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84E05FB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01312774, Krajský pozemkový úřad pro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Středočeský kraj a hl.</w:t>
      </w:r>
      <w:r w:rsidR="00095B06">
        <w:rPr>
          <w:rFonts w:ascii="Arial" w:hAnsi="Arial" w:cs="Arial"/>
          <w:snapToGrid w:val="0"/>
          <w:sz w:val="22"/>
          <w:szCs w:val="22"/>
        </w:rPr>
        <w:t xml:space="preserve">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m.</w:t>
      </w:r>
      <w:r w:rsidR="00095B06">
        <w:rPr>
          <w:rFonts w:ascii="Arial" w:hAnsi="Arial" w:cs="Arial"/>
          <w:snapToGrid w:val="0"/>
          <w:sz w:val="22"/>
          <w:szCs w:val="22"/>
        </w:rPr>
        <w:t xml:space="preserve">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Praha</w:t>
      </w:r>
      <w:r w:rsidR="00E23F34">
        <w:rPr>
          <w:rFonts w:ascii="Arial" w:hAnsi="Arial" w:cs="Arial"/>
          <w:snapToGrid w:val="0"/>
          <w:sz w:val="22"/>
          <w:szCs w:val="22"/>
        </w:rPr>
        <w:t xml:space="preserve">, </w:t>
      </w:r>
      <w:r w:rsidRPr="00014665">
        <w:rPr>
          <w:rFonts w:ascii="Arial" w:hAnsi="Arial" w:cs="Arial"/>
          <w:sz w:val="22"/>
          <w:szCs w:val="22"/>
        </w:rPr>
        <w:t>Pobočka</w:t>
      </w:r>
      <w:r w:rsidR="00E23F34">
        <w:rPr>
          <w:rFonts w:ascii="Arial" w:hAnsi="Arial" w:cs="Arial"/>
          <w:sz w:val="22"/>
          <w:szCs w:val="22"/>
        </w:rPr>
        <w:t xml:space="preserve"> Benešov,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Žižkova 360, 256 01 Benešov</w:t>
      </w:r>
    </w:p>
    <w:p w14:paraId="1E55C822" w14:textId="70BCB98B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E23F34" w:rsidRPr="00E23F34">
        <w:rPr>
          <w:rFonts w:ascii="Arial" w:hAnsi="Arial" w:cs="Arial"/>
          <w:sz w:val="22"/>
          <w:szCs w:val="22"/>
        </w:rPr>
        <w:t>Ing. Rostislavem Trochtou, vedoucím Pobočky</w:t>
      </w:r>
    </w:p>
    <w:p w14:paraId="5BEB8762" w14:textId="2C4CFAA5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E23F34" w:rsidRPr="00E23F34">
        <w:rPr>
          <w:rFonts w:ascii="Arial" w:hAnsi="Arial" w:cs="Arial"/>
          <w:sz w:val="22"/>
          <w:szCs w:val="22"/>
        </w:rPr>
        <w:t>Ing. Rostislavem Trochtou, vedoucím Pobočky</w:t>
      </w:r>
    </w:p>
    <w:p w14:paraId="75B59BEE" w14:textId="17303958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Ing. Rostislavem Trochtou, vedoucím Pobočky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CE3C66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+ 420 725 385 662</w:t>
      </w:r>
    </w:p>
    <w:p w14:paraId="6DA97DD3" w14:textId="537CE5AB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E23F34" w:rsidRPr="00E23F34">
        <w:rPr>
          <w:rFonts w:ascii="Arial" w:hAnsi="Arial" w:cs="Arial"/>
          <w:snapToGrid w:val="0"/>
          <w:sz w:val="22"/>
          <w:szCs w:val="22"/>
        </w:rPr>
        <w:t>r.trochta@spucr.cz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61A6FCE0" w:rsidR="00797092" w:rsidRPr="00014665" w:rsidRDefault="00D71C48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G.K., spol. s r. o.</w:t>
      </w:r>
    </w:p>
    <w:p w14:paraId="6CB3C788" w14:textId="70A2E018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095B06">
        <w:rPr>
          <w:rFonts w:ascii="Arial" w:hAnsi="Arial" w:cs="Arial"/>
          <w:bCs/>
          <w:sz w:val="22"/>
          <w:szCs w:val="22"/>
        </w:rPr>
        <w:br/>
      </w:r>
      <w:r w:rsidR="001A48F9">
        <w:rPr>
          <w:rFonts w:ascii="Arial" w:hAnsi="Arial" w:cs="Arial"/>
          <w:snapToGrid w:val="0"/>
          <w:sz w:val="22"/>
          <w:szCs w:val="22"/>
        </w:rPr>
        <w:t>U Elektry 650, Praha 9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1A48F9">
        <w:rPr>
          <w:rFonts w:ascii="Arial" w:hAnsi="Arial" w:cs="Arial"/>
          <w:snapToGrid w:val="0"/>
          <w:sz w:val="22"/>
          <w:szCs w:val="22"/>
        </w:rPr>
        <w:t>25094459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095B06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u </w:t>
      </w:r>
      <w:proofErr w:type="spellStart"/>
      <w:r w:rsidR="001A48F9">
        <w:rPr>
          <w:rFonts w:ascii="Arial" w:hAnsi="Arial" w:cs="Arial"/>
          <w:snapToGrid w:val="0"/>
          <w:sz w:val="22"/>
          <w:szCs w:val="22"/>
        </w:rPr>
        <w:t>Městkého</w:t>
      </w:r>
      <w:proofErr w:type="spellEnd"/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1A48F9">
        <w:rPr>
          <w:rFonts w:ascii="Arial" w:hAnsi="Arial" w:cs="Arial"/>
          <w:snapToGrid w:val="0"/>
          <w:sz w:val="22"/>
          <w:szCs w:val="22"/>
        </w:rPr>
        <w:t>Praze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1A48F9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1A48F9">
        <w:rPr>
          <w:rFonts w:ascii="Arial" w:hAnsi="Arial" w:cs="Arial"/>
          <w:snapToGrid w:val="0"/>
          <w:sz w:val="22"/>
          <w:szCs w:val="22"/>
        </w:rPr>
        <w:t>49143</w:t>
      </w:r>
      <w:r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47FA9FF2" w14:textId="36DB9E21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1A48F9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4D6E459" w14:textId="3A9FDBE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1A48F9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3031793" w14:textId="01156939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="001A48F9">
        <w:rPr>
          <w:rFonts w:ascii="Arial" w:hAnsi="Arial" w:cs="Arial"/>
          <w:snapToGrid w:val="0"/>
          <w:sz w:val="22"/>
          <w:szCs w:val="22"/>
        </w:rPr>
        <w:t xml:space="preserve"> </w:t>
      </w:r>
      <w:r w:rsidR="0020786D">
        <w:rPr>
          <w:rFonts w:ascii="Arial" w:hAnsi="Arial" w:cs="Arial"/>
          <w:snapToGrid w:val="0"/>
          <w:sz w:val="22"/>
          <w:szCs w:val="22"/>
        </w:rPr>
        <w:t>XXX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8445EE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20786D">
        <w:rPr>
          <w:rFonts w:ascii="Arial" w:hAnsi="Arial" w:cs="Arial"/>
          <w:snapToGrid w:val="0"/>
          <w:sz w:val="22"/>
          <w:szCs w:val="22"/>
        </w:rPr>
        <w:t>XXX</w:t>
      </w:r>
    </w:p>
    <w:p w14:paraId="238788A1" w14:textId="4E86CD7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20786D">
        <w:rPr>
          <w:rFonts w:ascii="Arial" w:hAnsi="Arial" w:cs="Arial"/>
          <w:snapToGrid w:val="0"/>
          <w:sz w:val="22"/>
          <w:szCs w:val="22"/>
        </w:rPr>
        <w:t>XXX</w:t>
      </w:r>
    </w:p>
    <w:p w14:paraId="2191597D" w14:textId="12BD6EB0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A48F9">
        <w:rPr>
          <w:rFonts w:ascii="Arial" w:hAnsi="Arial" w:cs="Arial"/>
          <w:snapToGrid w:val="0"/>
          <w:sz w:val="22"/>
          <w:szCs w:val="22"/>
        </w:rPr>
        <w:t>jyem6ry</w:t>
      </w:r>
    </w:p>
    <w:p w14:paraId="6022D172" w14:textId="60ECFED3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A48F9">
        <w:rPr>
          <w:rFonts w:ascii="Arial" w:hAnsi="Arial" w:cs="Arial"/>
          <w:snapToGrid w:val="0"/>
          <w:sz w:val="22"/>
          <w:szCs w:val="22"/>
        </w:rPr>
        <w:t>Komerční banka, a. s.</w:t>
      </w:r>
    </w:p>
    <w:p w14:paraId="32C9F5BB" w14:textId="6130B11E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</w:t>
      </w:r>
      <w:r w:rsidR="001A48F9">
        <w:rPr>
          <w:rFonts w:ascii="Arial" w:hAnsi="Arial" w:cs="Arial"/>
          <w:snapToGrid w:val="0"/>
          <w:sz w:val="22"/>
          <w:szCs w:val="22"/>
        </w:rPr>
        <w:t xml:space="preserve"> 19-4040960207/0100</w:t>
      </w:r>
    </w:p>
    <w:p w14:paraId="08E4CF51" w14:textId="4308FDA2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1A48F9">
        <w:rPr>
          <w:rFonts w:ascii="Arial" w:hAnsi="Arial" w:cs="Arial"/>
          <w:snapToGrid w:val="0"/>
          <w:sz w:val="22"/>
          <w:szCs w:val="22"/>
        </w:rPr>
        <w:t>CZ25094459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3D5C7C44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</w:t>
      </w:r>
      <w:r w:rsidR="0083149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0A273D20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83149A" w:rsidRPr="0083149A">
        <w:rPr>
          <w:rFonts w:ascii="Arial" w:hAnsi="Arial" w:cs="Arial"/>
          <w:snapToGrid w:val="0"/>
          <w:sz w:val="22"/>
          <w:szCs w:val="22"/>
        </w:rPr>
        <w:t xml:space="preserve">Vytyčení pozemků po KoPÚ – Pobočka </w:t>
      </w:r>
      <w:r w:rsidR="0083149A">
        <w:rPr>
          <w:rFonts w:ascii="Arial" w:hAnsi="Arial" w:cs="Arial"/>
          <w:snapToGrid w:val="0"/>
          <w:sz w:val="22"/>
          <w:szCs w:val="22"/>
        </w:rPr>
        <w:t>Benešov</w:t>
      </w:r>
      <w:r w:rsidR="0083149A" w:rsidRPr="0083149A">
        <w:rPr>
          <w:rFonts w:ascii="Arial" w:hAnsi="Arial" w:cs="Arial"/>
          <w:snapToGrid w:val="0"/>
          <w:sz w:val="22"/>
          <w:szCs w:val="22"/>
        </w:rPr>
        <w:t xml:space="preserve"> 2023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28547A1B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83149A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1A860827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1A48F9">
        <w:rPr>
          <w:rFonts w:ascii="Arial" w:hAnsi="Arial" w:cs="Arial"/>
          <w:sz w:val="22"/>
          <w:szCs w:val="22"/>
        </w:rPr>
        <w:t>6. 9. 2023.</w:t>
      </w:r>
    </w:p>
    <w:p w14:paraId="085E7CB4" w14:textId="72FD7E57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83149A">
        <w:rPr>
          <w:rFonts w:ascii="Arial" w:hAnsi="Arial" w:cs="Arial"/>
          <w:sz w:val="22"/>
          <w:szCs w:val="22"/>
        </w:rPr>
        <w:t xml:space="preserve">KPÚ </w:t>
      </w:r>
      <w:r w:rsidR="0083149A" w:rsidRPr="00014665">
        <w:rPr>
          <w:rFonts w:ascii="Arial" w:hAnsi="Arial" w:cs="Arial"/>
          <w:sz w:val="22"/>
          <w:szCs w:val="22"/>
        </w:rPr>
        <w:t xml:space="preserve">pro </w:t>
      </w:r>
      <w:r w:rsidR="0083149A">
        <w:rPr>
          <w:rFonts w:ascii="Arial" w:hAnsi="Arial" w:cs="Arial"/>
          <w:sz w:val="22"/>
          <w:szCs w:val="22"/>
        </w:rPr>
        <w:t xml:space="preserve">Středočeský kraj a hlavní město </w:t>
      </w:r>
      <w:proofErr w:type="gramStart"/>
      <w:r w:rsidR="0083149A">
        <w:rPr>
          <w:rFonts w:ascii="Arial" w:hAnsi="Arial" w:cs="Arial"/>
          <w:sz w:val="22"/>
          <w:szCs w:val="22"/>
        </w:rPr>
        <w:t>Praha</w:t>
      </w:r>
      <w:r w:rsidR="0083149A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83149A" w:rsidRPr="00014665">
        <w:rPr>
          <w:rFonts w:ascii="Arial" w:hAnsi="Arial" w:cs="Arial"/>
          <w:sz w:val="22"/>
          <w:szCs w:val="22"/>
        </w:rPr>
        <w:t>,</w:t>
      </w:r>
      <w:proofErr w:type="gramEnd"/>
      <w:r w:rsidR="0083149A" w:rsidRPr="00014665">
        <w:rPr>
          <w:rFonts w:ascii="Arial" w:hAnsi="Arial" w:cs="Arial"/>
          <w:sz w:val="22"/>
          <w:szCs w:val="22"/>
        </w:rPr>
        <w:t xml:space="preserve"> Pobočky</w:t>
      </w:r>
      <w:r w:rsidR="0083149A">
        <w:rPr>
          <w:rFonts w:ascii="Arial" w:hAnsi="Arial" w:cs="Arial"/>
          <w:sz w:val="22"/>
          <w:szCs w:val="22"/>
        </w:rPr>
        <w:t xml:space="preserve"> Benešov.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01E4C0D4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6A3CA64D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149A">
        <w:rPr>
          <w:rFonts w:ascii="Arial" w:hAnsi="Arial" w:cs="Arial"/>
          <w:sz w:val="22"/>
          <w:szCs w:val="22"/>
        </w:rPr>
        <w:t>Milovanice</w:t>
      </w:r>
      <w:proofErr w:type="spellEnd"/>
      <w:r w:rsidR="0083149A">
        <w:rPr>
          <w:rFonts w:ascii="Arial" w:hAnsi="Arial" w:cs="Arial"/>
          <w:sz w:val="22"/>
          <w:szCs w:val="22"/>
        </w:rPr>
        <w:t>, Nová Ves u Postupic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5B82FBC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013053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7981C77A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013053">
        <w:rPr>
          <w:rFonts w:ascii="Arial" w:hAnsi="Arial" w:cs="Arial"/>
          <w:sz w:val="22"/>
          <w:szCs w:val="22"/>
        </w:rPr>
        <w:t>Středočeský</w:t>
      </w:r>
      <w:r w:rsidR="00013053" w:rsidRPr="00014665">
        <w:rPr>
          <w:rFonts w:ascii="Arial" w:hAnsi="Arial" w:cs="Arial"/>
          <w:sz w:val="22"/>
          <w:szCs w:val="22"/>
        </w:rPr>
        <w:t xml:space="preserve"> kraj</w:t>
      </w:r>
      <w:r w:rsidR="00013053">
        <w:rPr>
          <w:rFonts w:ascii="Arial" w:hAnsi="Arial" w:cs="Arial"/>
          <w:sz w:val="22"/>
          <w:szCs w:val="22"/>
        </w:rPr>
        <w:t xml:space="preserve"> a hlavní město Praha</w:t>
      </w:r>
      <w:r w:rsidR="00013053" w:rsidRPr="00014665">
        <w:rPr>
          <w:rFonts w:ascii="Arial" w:hAnsi="Arial" w:cs="Arial"/>
          <w:sz w:val="22"/>
          <w:szCs w:val="22"/>
        </w:rPr>
        <w:t xml:space="preserve">, Pobočku </w:t>
      </w:r>
      <w:r w:rsidR="00013053">
        <w:rPr>
          <w:rFonts w:ascii="Arial" w:hAnsi="Arial" w:cs="Arial"/>
          <w:sz w:val="22"/>
          <w:szCs w:val="22"/>
        </w:rPr>
        <w:t>Benešov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013053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C62EAA4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013053">
        <w:rPr>
          <w:rFonts w:ascii="Arial" w:hAnsi="Arial" w:cs="Arial"/>
          <w:sz w:val="22"/>
          <w:szCs w:val="22"/>
        </w:rPr>
        <w:t>30.11.2023</w:t>
      </w:r>
    </w:p>
    <w:p w14:paraId="77C0220C" w14:textId="77777777" w:rsidR="00013053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</w:p>
    <w:p w14:paraId="23E6534C" w14:textId="734C2055" w:rsidR="00013053" w:rsidRDefault="00013053" w:rsidP="00013053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Milovanice</w:t>
      </w:r>
      <w:proofErr w:type="spellEnd"/>
      <w:r>
        <w:rPr>
          <w:rFonts w:ascii="Arial" w:hAnsi="Arial" w:cs="Arial"/>
          <w:sz w:val="22"/>
          <w:szCs w:val="22"/>
        </w:rPr>
        <w:t>, obec Postupice, okres Benešov</w:t>
      </w:r>
    </w:p>
    <w:p w14:paraId="5B81728E" w14:textId="06EBA6CC" w:rsidR="00013053" w:rsidRDefault="00013053" w:rsidP="00013053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Ves u Postupic,</w:t>
      </w:r>
      <w:r w:rsidRPr="0001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 Postupice, okres Benešov </w:t>
      </w:r>
    </w:p>
    <w:p w14:paraId="07965649" w14:textId="20FB342C" w:rsidR="00FD4817" w:rsidRPr="00014665" w:rsidRDefault="00013053" w:rsidP="00013053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Louňovice pod Blaníkem</w:t>
      </w:r>
      <w:r w:rsidR="00687B9F">
        <w:rPr>
          <w:rFonts w:ascii="Arial" w:hAnsi="Arial" w:cs="Arial"/>
          <w:sz w:val="22"/>
          <w:szCs w:val="22"/>
        </w:rPr>
        <w:t>, městys Louňovice pod Blaníkem, okres Benešov</w:t>
      </w:r>
      <w:r w:rsidR="00500B0F" w:rsidRPr="00014665">
        <w:rPr>
          <w:rFonts w:ascii="Arial" w:hAnsi="Arial" w:cs="Arial"/>
          <w:sz w:val="22"/>
          <w:szCs w:val="22"/>
        </w:rPr>
        <w:t>.</w:t>
      </w:r>
    </w:p>
    <w:p w14:paraId="2D78EFEF" w14:textId="6AB6C38D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687B9F" w:rsidRPr="00687B9F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687B9F" w:rsidRPr="00687B9F">
        <w:rPr>
          <w:rFonts w:ascii="Arial" w:hAnsi="Arial" w:cs="Arial"/>
          <w:sz w:val="22"/>
          <w:szCs w:val="22"/>
        </w:rPr>
        <w:t>hl.m.Praha</w:t>
      </w:r>
      <w:proofErr w:type="spellEnd"/>
      <w:r w:rsidR="00687B9F" w:rsidRPr="00687B9F">
        <w:rPr>
          <w:rFonts w:ascii="Arial" w:hAnsi="Arial" w:cs="Arial"/>
          <w:sz w:val="22"/>
          <w:szCs w:val="22"/>
        </w:rPr>
        <w:t>, Pobočka Benešov, Žižkova 360, 256 01 Benešov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3AD60FF3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6A38F293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03F4407A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B52EA7">
        <w:rPr>
          <w:rFonts w:ascii="Arial" w:hAnsi="Arial" w:cs="Arial"/>
          <w:sz w:val="22"/>
          <w:szCs w:val="22"/>
        </w:rPr>
        <w:t>15 d</w:t>
      </w:r>
      <w:r w:rsidR="00163AEF" w:rsidRPr="00014665">
        <w:rPr>
          <w:rFonts w:ascii="Arial" w:hAnsi="Arial" w:cs="Arial"/>
          <w:sz w:val="22"/>
          <w:szCs w:val="22"/>
        </w:rPr>
        <w:t xml:space="preserve">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4C5A4131" w:rsidR="00AC2F0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3D83C978" w14:textId="77777777" w:rsidR="00B52EA7" w:rsidRPr="00B52EA7" w:rsidRDefault="00B52EA7" w:rsidP="00B52EA7"/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lastRenderedPageBreak/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E39F221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B52EA7">
        <w:rPr>
          <w:rFonts w:ascii="Arial" w:hAnsi="Arial" w:cs="Arial"/>
          <w:b/>
          <w:bCs/>
          <w:sz w:val="22"/>
          <w:szCs w:val="22"/>
        </w:rPr>
        <w:br/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B52EA7">
        <w:rPr>
          <w:rFonts w:ascii="Arial" w:hAnsi="Arial" w:cs="Arial"/>
          <w:b/>
          <w:bCs/>
          <w:sz w:val="22"/>
          <w:szCs w:val="22"/>
        </w:rPr>
        <w:t>27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430838D8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proofErr w:type="gramStart"/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1A48F9">
        <w:rPr>
          <w:rFonts w:ascii="Arial" w:hAnsi="Arial" w:cs="Arial"/>
          <w:b/>
          <w:sz w:val="22"/>
          <w:szCs w:val="22"/>
        </w:rPr>
        <w:t xml:space="preserve"> </w:t>
      </w:r>
      <w:r w:rsidR="007B68CC">
        <w:rPr>
          <w:rFonts w:ascii="Arial" w:hAnsi="Arial" w:cs="Arial"/>
          <w:b/>
          <w:sz w:val="22"/>
          <w:szCs w:val="22"/>
        </w:rPr>
        <w:t xml:space="preserve"> </w:t>
      </w:r>
      <w:r w:rsidR="001A48F9">
        <w:rPr>
          <w:rFonts w:ascii="Arial" w:hAnsi="Arial" w:cs="Arial"/>
          <w:b/>
          <w:sz w:val="22"/>
          <w:szCs w:val="22"/>
        </w:rPr>
        <w:t>1</w:t>
      </w:r>
      <w:proofErr w:type="gramEnd"/>
      <w:r w:rsidR="007B68CC">
        <w:rPr>
          <w:rFonts w:ascii="Arial" w:hAnsi="Arial" w:cs="Arial"/>
          <w:b/>
          <w:sz w:val="22"/>
          <w:szCs w:val="22"/>
        </w:rPr>
        <w:t xml:space="preserve"> </w:t>
      </w:r>
      <w:r w:rsidR="001A48F9">
        <w:rPr>
          <w:rFonts w:ascii="Arial" w:hAnsi="Arial" w:cs="Arial"/>
          <w:b/>
          <w:sz w:val="22"/>
          <w:szCs w:val="22"/>
        </w:rPr>
        <w:t>190,00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021F6AE7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1A48F9">
        <w:rPr>
          <w:rFonts w:ascii="Arial" w:hAnsi="Arial" w:cs="Arial"/>
          <w:b/>
          <w:sz w:val="22"/>
          <w:szCs w:val="22"/>
        </w:rPr>
        <w:t>32 130,00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C94B9AA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1A48F9">
        <w:rPr>
          <w:rFonts w:ascii="Arial" w:hAnsi="Arial" w:cs="Arial"/>
          <w:b/>
          <w:sz w:val="22"/>
          <w:szCs w:val="22"/>
          <w:u w:val="single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1A48F9">
        <w:rPr>
          <w:rFonts w:ascii="Arial" w:hAnsi="Arial" w:cs="Arial"/>
          <w:b/>
          <w:sz w:val="22"/>
          <w:szCs w:val="22"/>
          <w:u w:val="single"/>
        </w:rPr>
        <w:t xml:space="preserve">  6 747,30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C291031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1A48F9">
        <w:rPr>
          <w:rFonts w:ascii="Arial" w:hAnsi="Arial" w:cs="Arial"/>
          <w:b/>
          <w:sz w:val="22"/>
          <w:szCs w:val="22"/>
          <w:u w:val="double"/>
        </w:rPr>
        <w:t xml:space="preserve"> 38 877,30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2CC3676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B52EA7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B52EA7" w:rsidRPr="00B52EA7">
        <w:rPr>
          <w:rFonts w:ascii="Arial" w:hAnsi="Arial" w:cs="Arial"/>
          <w:b/>
          <w:sz w:val="22"/>
          <w:szCs w:val="22"/>
        </w:rPr>
        <w:t xml:space="preserve">Krajský pozemkový úřad pro </w:t>
      </w:r>
      <w:r w:rsidR="00B52EA7" w:rsidRPr="00B52EA7">
        <w:rPr>
          <w:rFonts w:ascii="Arial" w:hAnsi="Arial" w:cs="Arial"/>
          <w:b/>
          <w:snapToGrid w:val="0"/>
          <w:sz w:val="22"/>
          <w:szCs w:val="22"/>
        </w:rPr>
        <w:t>Středočeský kraj a hl.</w:t>
      </w:r>
      <w:r w:rsidR="007B68C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52EA7" w:rsidRPr="00B52EA7">
        <w:rPr>
          <w:rFonts w:ascii="Arial" w:hAnsi="Arial" w:cs="Arial"/>
          <w:b/>
          <w:snapToGrid w:val="0"/>
          <w:sz w:val="22"/>
          <w:szCs w:val="22"/>
        </w:rPr>
        <w:t>m.</w:t>
      </w:r>
      <w:r w:rsidR="007B68C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52EA7" w:rsidRPr="00B52EA7">
        <w:rPr>
          <w:rFonts w:ascii="Arial" w:hAnsi="Arial" w:cs="Arial"/>
          <w:b/>
          <w:snapToGrid w:val="0"/>
          <w:sz w:val="22"/>
          <w:szCs w:val="22"/>
        </w:rPr>
        <w:t xml:space="preserve">Praha, </w:t>
      </w:r>
      <w:r w:rsidR="00B52EA7" w:rsidRPr="00B52EA7">
        <w:rPr>
          <w:rFonts w:ascii="Arial" w:hAnsi="Arial" w:cs="Arial"/>
          <w:b/>
          <w:sz w:val="22"/>
          <w:szCs w:val="22"/>
        </w:rPr>
        <w:t xml:space="preserve">Pobočka Benešov, </w:t>
      </w:r>
      <w:r w:rsidR="00B52EA7" w:rsidRPr="00B52EA7">
        <w:rPr>
          <w:rFonts w:ascii="Arial" w:hAnsi="Arial" w:cs="Arial"/>
          <w:b/>
          <w:snapToGrid w:val="0"/>
          <w:sz w:val="22"/>
          <w:szCs w:val="22"/>
        </w:rPr>
        <w:t>adres</w:t>
      </w:r>
      <w:r w:rsidR="007B68CC">
        <w:rPr>
          <w:rFonts w:ascii="Arial" w:hAnsi="Arial" w:cs="Arial"/>
          <w:b/>
          <w:snapToGrid w:val="0"/>
          <w:sz w:val="22"/>
          <w:szCs w:val="22"/>
        </w:rPr>
        <w:t>a</w:t>
      </w:r>
      <w:r w:rsidR="00B52EA7" w:rsidRPr="00B52EA7">
        <w:rPr>
          <w:rFonts w:ascii="Arial" w:hAnsi="Arial" w:cs="Arial"/>
          <w:b/>
          <w:snapToGrid w:val="0"/>
          <w:sz w:val="22"/>
          <w:szCs w:val="22"/>
        </w:rPr>
        <w:t>: Ž</w:t>
      </w:r>
      <w:r w:rsidR="00B52EA7" w:rsidRPr="00B52EA7">
        <w:rPr>
          <w:rFonts w:ascii="Arial" w:hAnsi="Arial" w:cs="Arial"/>
          <w:b/>
          <w:bCs/>
          <w:snapToGrid w:val="0"/>
          <w:sz w:val="22"/>
          <w:szCs w:val="22"/>
        </w:rPr>
        <w:t>ižkova 360, 256 01 Benešov</w:t>
      </w:r>
      <w:r w:rsidR="00B52EA7" w:rsidRPr="00B52EA7">
        <w:rPr>
          <w:rFonts w:ascii="Arial" w:hAnsi="Arial" w:cs="Arial"/>
          <w:bCs/>
          <w:snapToGrid w:val="0"/>
          <w:sz w:val="22"/>
          <w:szCs w:val="22"/>
        </w:rPr>
        <w:t>.</w:t>
      </w:r>
      <w:r w:rsidR="00B52E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9B1B631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807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80765">
        <w:rPr>
          <w:rFonts w:ascii="Arial" w:hAnsi="Arial" w:cs="Arial"/>
          <w:sz w:val="22"/>
          <w:szCs w:val="22"/>
        </w:rPr>
        <w:t xml:space="preserve"> Benešov.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160A8CA1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2DC1B968" w14:textId="7BF2981B" w:rsidR="00180765" w:rsidRDefault="00180765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4C22F08" w14:textId="0761FCDD" w:rsidR="00180765" w:rsidRDefault="00180765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52E6D92" w14:textId="712E5839" w:rsidR="00442794" w:rsidRDefault="00442794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9FB68E9" w14:textId="77777777" w:rsidR="00442794" w:rsidRDefault="00442794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98BCB08" w14:textId="62F8C959" w:rsidR="00180765" w:rsidRDefault="00180765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A99693C" w14:textId="77777777" w:rsidR="00180765" w:rsidRDefault="00180765" w:rsidP="00180765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PODPISOVÁ STRANA</w:t>
      </w:r>
    </w:p>
    <w:p w14:paraId="1D1967EB" w14:textId="77777777" w:rsidR="00180765" w:rsidRPr="00014665" w:rsidRDefault="00180765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1CBC7175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1A48F9" w:rsidRPr="001A48F9">
        <w:rPr>
          <w:rFonts w:ascii="Arial" w:hAnsi="Arial" w:cs="Arial"/>
          <w:b/>
          <w:bCs/>
          <w:sz w:val="22"/>
          <w:szCs w:val="22"/>
        </w:rPr>
        <w:t>Area G.K.</w:t>
      </w:r>
      <w:r w:rsidR="00BD49D4">
        <w:rPr>
          <w:rFonts w:ascii="Arial" w:hAnsi="Arial" w:cs="Arial"/>
          <w:b/>
          <w:bCs/>
          <w:sz w:val="22"/>
          <w:szCs w:val="22"/>
        </w:rPr>
        <w:t>,</w:t>
      </w:r>
      <w:r w:rsidR="001A48F9" w:rsidRPr="001A48F9">
        <w:rPr>
          <w:rFonts w:ascii="Arial" w:hAnsi="Arial" w:cs="Arial"/>
          <w:b/>
          <w:bCs/>
          <w:sz w:val="22"/>
          <w:szCs w:val="22"/>
        </w:rPr>
        <w:t xml:space="preserve"> spol. s r. o.</w:t>
      </w:r>
    </w:p>
    <w:p w14:paraId="0780E320" w14:textId="77F6AB24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80765">
        <w:rPr>
          <w:rFonts w:ascii="Arial" w:hAnsi="Arial" w:cs="Arial"/>
          <w:sz w:val="22"/>
          <w:szCs w:val="22"/>
        </w:rPr>
        <w:t>Benešov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1A48F9">
        <w:rPr>
          <w:rFonts w:ascii="Arial" w:hAnsi="Arial" w:cs="Arial"/>
          <w:sz w:val="22"/>
          <w:szCs w:val="22"/>
        </w:rPr>
        <w:t>Praha</w:t>
      </w:r>
    </w:p>
    <w:p w14:paraId="0265D94E" w14:textId="0DC859BF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20786D">
        <w:rPr>
          <w:rFonts w:ascii="Arial" w:hAnsi="Arial" w:cs="Arial"/>
          <w:sz w:val="22"/>
          <w:szCs w:val="22"/>
        </w:rPr>
        <w:t>18. 9. 2023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20786D">
        <w:rPr>
          <w:rFonts w:ascii="Arial" w:hAnsi="Arial" w:cs="Arial"/>
          <w:sz w:val="22"/>
          <w:szCs w:val="22"/>
        </w:rPr>
        <w:t>18. 9. 2023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CD668DF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180765">
        <w:rPr>
          <w:rFonts w:ascii="Arial" w:hAnsi="Arial" w:cs="Arial"/>
          <w:sz w:val="22"/>
          <w:szCs w:val="22"/>
        </w:rPr>
        <w:t>Ing. Rostislav Trochta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1A48F9">
        <w:rPr>
          <w:rFonts w:ascii="Arial" w:hAnsi="Arial" w:cs="Arial"/>
          <w:sz w:val="22"/>
          <w:szCs w:val="22"/>
        </w:rPr>
        <w:t>Milan Nový</w:t>
      </w:r>
    </w:p>
    <w:p w14:paraId="1F5A5897" w14:textId="2A1BA680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180765">
        <w:rPr>
          <w:rFonts w:ascii="Arial" w:hAnsi="Arial" w:cs="Arial"/>
          <w:sz w:val="22"/>
          <w:szCs w:val="22"/>
        </w:rPr>
        <w:t>ved</w:t>
      </w:r>
      <w:r w:rsidR="009E40D8">
        <w:rPr>
          <w:rFonts w:ascii="Arial" w:hAnsi="Arial" w:cs="Arial"/>
          <w:sz w:val="22"/>
          <w:szCs w:val="22"/>
        </w:rPr>
        <w:t>o</w:t>
      </w:r>
      <w:r w:rsidR="00180765">
        <w:rPr>
          <w:rFonts w:ascii="Arial" w:hAnsi="Arial" w:cs="Arial"/>
          <w:sz w:val="22"/>
          <w:szCs w:val="22"/>
        </w:rPr>
        <w:t>ucí Pobočky Benešov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1A48F9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06F4935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FC57753" w14:textId="77777777" w:rsidR="00180765" w:rsidRPr="00014665" w:rsidRDefault="00180765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72FFEA2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F2047E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05A9534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5D554F3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9A38ED1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8C4B14F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7C24CDF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581AB18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2F6798E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7BC36DC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6293827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4A538A5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B53C9CE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F3E5F52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F868EDA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EBB2B8C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F4D1AD4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2C5AE5F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08D18A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0FA304B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A65EA5D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AAC2436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078B3F9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2687118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63664F2" w14:textId="77777777" w:rsidR="00E9054B" w:rsidRDefault="00E905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2BC7ACA1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</w:t>
      </w:r>
      <w:r w:rsidR="00180765" w:rsidRPr="00014665">
        <w:rPr>
          <w:rFonts w:ascii="Arial" w:hAnsi="Arial" w:cs="Arial"/>
          <w:sz w:val="22"/>
          <w:szCs w:val="22"/>
        </w:rPr>
        <w:t>katastrálního území v</w:t>
      </w:r>
      <w:r w:rsidR="00180765">
        <w:rPr>
          <w:rFonts w:ascii="Arial" w:hAnsi="Arial" w:cs="Arial"/>
          <w:sz w:val="22"/>
          <w:szCs w:val="22"/>
        </w:rPr>
        <w:t> </w:t>
      </w:r>
      <w:r w:rsidR="00180765" w:rsidRPr="00014665">
        <w:rPr>
          <w:rFonts w:ascii="Arial" w:hAnsi="Arial" w:cs="Arial"/>
          <w:sz w:val="22"/>
          <w:szCs w:val="22"/>
        </w:rPr>
        <w:t>okrese</w:t>
      </w:r>
      <w:r w:rsidR="00180765">
        <w:rPr>
          <w:rFonts w:ascii="Arial" w:hAnsi="Arial" w:cs="Arial"/>
          <w:sz w:val="22"/>
          <w:szCs w:val="22"/>
        </w:rPr>
        <w:t xml:space="preserve"> Benešov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075"/>
        <w:gridCol w:w="1984"/>
        <w:gridCol w:w="1985"/>
      </w:tblGrid>
      <w:tr w:rsidR="00E9054B" w:rsidRPr="00E9054B" w14:paraId="183B6B3A" w14:textId="77777777" w:rsidTr="00A87651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12D21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D21AD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21F01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Pozemek </w:t>
            </w:r>
            <w:proofErr w:type="spellStart"/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59BEB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</w:tr>
      <w:tr w:rsidR="00E9054B" w:rsidRPr="00E9054B" w14:paraId="14681A65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647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Milovanice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333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A76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007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E9054B" w:rsidRPr="00E9054B" w14:paraId="64F00E97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3F6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Milovanice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DB50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B26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78A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9054B" w:rsidRPr="00E9054B" w14:paraId="3AF21AF9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F4E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Milovanice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51E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B4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69E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E9054B" w:rsidRPr="00E9054B" w14:paraId="509D6C72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88C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Nová Ves u Postupic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7B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202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FEF3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E9054B" w:rsidRPr="00E9054B" w14:paraId="30D75BD4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5C9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Nová Ves u Postupic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7B9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DE5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D12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E9054B" w:rsidRPr="00E9054B" w14:paraId="47BDBCB5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802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 xml:space="preserve">Louňovice pod Blaníkem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651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95B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910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9054B" w:rsidRPr="00E9054B" w14:paraId="3A9FF387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A0C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 xml:space="preserve">Louňovice pod Blaníkem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696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55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EEC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9054B" w:rsidRPr="00E9054B" w14:paraId="54089DAE" w14:textId="77777777" w:rsidTr="00A87651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C2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 xml:space="preserve">Louňovice pod Blaníkem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41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32E2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7D4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E9054B" w:rsidRPr="00E9054B" w14:paraId="66F728A3" w14:textId="77777777" w:rsidTr="00A87651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8DB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1EF" w14:textId="77777777" w:rsidR="00E9054B" w:rsidRPr="00E9054B" w:rsidRDefault="00E9054B" w:rsidP="00E9054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5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</w:tbl>
    <w:p w14:paraId="2B2679E1" w14:textId="07EC88E8" w:rsidR="008B50BB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84CDD23" w14:textId="77777777" w:rsidR="00E9054B" w:rsidRPr="00014665" w:rsidRDefault="00E9054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E9054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0055" w14:textId="77777777" w:rsidR="00AF08EA" w:rsidRDefault="00AF08EA" w:rsidP="003C2E23">
      <w:pPr>
        <w:spacing w:before="0"/>
      </w:pPr>
      <w:r>
        <w:separator/>
      </w:r>
    </w:p>
  </w:endnote>
  <w:endnote w:type="continuationSeparator" w:id="0">
    <w:p w14:paraId="72983871" w14:textId="77777777" w:rsidR="00AF08EA" w:rsidRDefault="00AF08EA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C138" w14:textId="77777777" w:rsidR="00AF08EA" w:rsidRDefault="00AF08EA" w:rsidP="003C2E23">
      <w:pPr>
        <w:spacing w:before="0"/>
      </w:pPr>
      <w:r>
        <w:separator/>
      </w:r>
    </w:p>
  </w:footnote>
  <w:footnote w:type="continuationSeparator" w:id="0">
    <w:p w14:paraId="1557A74C" w14:textId="77777777" w:rsidR="00AF08EA" w:rsidRDefault="00AF08EA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BFC5567" w:rsidR="00FF0C21" w:rsidRPr="00DC4D21" w:rsidRDefault="00FF0C21" w:rsidP="00687B9F">
    <w:pPr>
      <w:pStyle w:val="Zhlav"/>
      <w:pBdr>
        <w:bottom w:val="single" w:sz="6" w:space="0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ú. </w:t>
    </w:r>
    <w:proofErr w:type="spellStart"/>
    <w:r w:rsidR="00687B9F" w:rsidRPr="00687B9F">
      <w:rPr>
        <w:rFonts w:ascii="Arial" w:hAnsi="Arial" w:cs="Arial"/>
        <w:sz w:val="16"/>
        <w:szCs w:val="16"/>
      </w:rPr>
      <w:t>Milovanice</w:t>
    </w:r>
    <w:proofErr w:type="spellEnd"/>
    <w:r w:rsidR="00687B9F" w:rsidRPr="00687B9F">
      <w:rPr>
        <w:rFonts w:ascii="Arial" w:hAnsi="Arial" w:cs="Arial"/>
        <w:sz w:val="16"/>
        <w:szCs w:val="16"/>
      </w:rPr>
      <w:t>, Nová Ves u Postupic, Louňovice pod Blaníkem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656E" w14:textId="77A819FE" w:rsidR="00687B9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6E14BF" w:rsidRPr="006E14BF">
      <w:rPr>
        <w:rFonts w:ascii="Arial" w:hAnsi="Arial" w:cs="Arial"/>
        <w:sz w:val="16"/>
        <w:szCs w:val="16"/>
      </w:rPr>
      <w:t>1018-2023-537202</w:t>
    </w:r>
  </w:p>
  <w:p w14:paraId="6E5A20B8" w14:textId="1D0784DA" w:rsidR="00FF0C21" w:rsidRPr="00FF7DBF" w:rsidRDefault="00687B9F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Č.j.:</w:t>
    </w:r>
    <w:r w:rsidR="006E14BF">
      <w:rPr>
        <w:rFonts w:ascii="Arial" w:hAnsi="Arial" w:cs="Arial"/>
        <w:sz w:val="16"/>
        <w:szCs w:val="16"/>
      </w:rPr>
      <w:t xml:space="preserve"> </w:t>
    </w:r>
    <w:r w:rsidR="006E14BF" w:rsidRPr="006E14BF">
      <w:rPr>
        <w:rFonts w:ascii="Arial" w:hAnsi="Arial" w:cs="Arial"/>
        <w:sz w:val="16"/>
        <w:szCs w:val="16"/>
      </w:rPr>
      <w:t>SPU 342310/2023</w:t>
    </w:r>
    <w:r w:rsidR="006E14BF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UID:</w:t>
    </w:r>
    <w:r w:rsidR="006E14BF">
      <w:rPr>
        <w:rFonts w:ascii="Arial" w:hAnsi="Arial" w:cs="Arial"/>
        <w:sz w:val="16"/>
        <w:szCs w:val="16"/>
      </w:rPr>
      <w:t xml:space="preserve"> </w:t>
    </w:r>
    <w:r w:rsidR="006E14BF" w:rsidRPr="006E14BF">
      <w:rPr>
        <w:rFonts w:ascii="Arial" w:hAnsi="Arial" w:cs="Arial"/>
        <w:sz w:val="16"/>
        <w:szCs w:val="16"/>
      </w:rPr>
      <w:t>spudms00000013920256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6E5EE429" w14:textId="6206DA94" w:rsidR="00FF0C21" w:rsidRPr="0025120D" w:rsidRDefault="00FF0C21" w:rsidP="00687B9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FF7DBF">
      <w:rPr>
        <w:rFonts w:ascii="Arial" w:hAnsi="Arial" w:cs="Arial"/>
        <w:sz w:val="16"/>
        <w:szCs w:val="16"/>
      </w:rPr>
      <w:t xml:space="preserve">Vytyčení pozemků v k. ú. </w:t>
    </w:r>
    <w:proofErr w:type="spellStart"/>
    <w:r w:rsidR="00687B9F" w:rsidRPr="00687B9F">
      <w:rPr>
        <w:rFonts w:ascii="Arial" w:hAnsi="Arial" w:cs="Arial"/>
        <w:sz w:val="16"/>
        <w:szCs w:val="16"/>
      </w:rPr>
      <w:t>Milovanice</w:t>
    </w:r>
    <w:proofErr w:type="spellEnd"/>
    <w:r w:rsidR="00687B9F" w:rsidRPr="00687B9F">
      <w:rPr>
        <w:rFonts w:ascii="Arial" w:hAnsi="Arial" w:cs="Arial"/>
        <w:sz w:val="16"/>
        <w:szCs w:val="16"/>
      </w:rPr>
      <w:t>, Nová Ves u Postupic, Louňovice pod Blaníkem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3053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5B06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0765"/>
    <w:rsid w:val="00181E7A"/>
    <w:rsid w:val="00182CB8"/>
    <w:rsid w:val="00183368"/>
    <w:rsid w:val="00191275"/>
    <w:rsid w:val="0019385C"/>
    <w:rsid w:val="00195BCD"/>
    <w:rsid w:val="001A2928"/>
    <w:rsid w:val="001A2E35"/>
    <w:rsid w:val="001A48F9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0786D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2794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134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3101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65321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87B9F"/>
    <w:rsid w:val="006902C6"/>
    <w:rsid w:val="006A2316"/>
    <w:rsid w:val="006A6A69"/>
    <w:rsid w:val="006B2EE2"/>
    <w:rsid w:val="006B7D60"/>
    <w:rsid w:val="006D0149"/>
    <w:rsid w:val="006D681C"/>
    <w:rsid w:val="006E0028"/>
    <w:rsid w:val="006E14BF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8CC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49A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E40D8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87651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E77AE"/>
    <w:rsid w:val="00AF08EA"/>
    <w:rsid w:val="00AF0F3B"/>
    <w:rsid w:val="00AF1651"/>
    <w:rsid w:val="00AF265D"/>
    <w:rsid w:val="00B0012F"/>
    <w:rsid w:val="00B04418"/>
    <w:rsid w:val="00B2052C"/>
    <w:rsid w:val="00B24B48"/>
    <w:rsid w:val="00B26FC9"/>
    <w:rsid w:val="00B33054"/>
    <w:rsid w:val="00B33B52"/>
    <w:rsid w:val="00B40096"/>
    <w:rsid w:val="00B467FB"/>
    <w:rsid w:val="00B51C4C"/>
    <w:rsid w:val="00B52EA7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9D4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5A33"/>
    <w:rsid w:val="00D172A1"/>
    <w:rsid w:val="00D3488C"/>
    <w:rsid w:val="00D34B0D"/>
    <w:rsid w:val="00D35738"/>
    <w:rsid w:val="00D42D02"/>
    <w:rsid w:val="00D44B76"/>
    <w:rsid w:val="00D6451F"/>
    <w:rsid w:val="00D71C48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3F34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054B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5f4b5cc-4033-44c7-b405-f5eed34c8154"/>
    <ds:schemaRef ds:uri="http://purl.org/dc/elements/1.1/"/>
    <ds:schemaRef ds:uri="ada3fa48-c231-4f9d-a491-19361e04fcb4"/>
    <ds:schemaRef ds:uri="2046fdb6-fa60-49a6-a635-1115ab0d20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4845</Words>
  <Characters>28591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Chromá Jana Ing.</cp:lastModifiedBy>
  <cp:revision>2</cp:revision>
  <cp:lastPrinted>2023-09-14T09:10:00Z</cp:lastPrinted>
  <dcterms:created xsi:type="dcterms:W3CDTF">2023-09-18T14:25:00Z</dcterms:created>
  <dcterms:modified xsi:type="dcterms:W3CDTF">2023-09-18T14:25:00Z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