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55" w:rsidRDefault="00E9192C">
      <w:pPr>
        <w:spacing w:before="178"/>
        <w:ind w:left="5340" w:right="850"/>
        <w:rPr>
          <w:b/>
          <w:sz w:val="32"/>
        </w:rPr>
      </w:pPr>
      <w:bookmarkStart w:id="0" w:name="_GoBack"/>
      <w:bookmarkEnd w:id="0"/>
      <w:r>
        <w:rPr>
          <w:b/>
          <w:sz w:val="32"/>
        </w:rPr>
        <w:t>POJISTNÁ SMLOUVA č. 2738325794</w:t>
      </w:r>
    </w:p>
    <w:p w:rsidR="00123455" w:rsidRDefault="00E9192C">
      <w:pPr>
        <w:pStyle w:val="Nadpis2"/>
        <w:spacing w:before="253" w:line="240" w:lineRule="auto"/>
      </w:pPr>
      <w:r>
        <w:t>Pojistitel:</w:t>
      </w:r>
    </w:p>
    <w:p w:rsidR="00123455" w:rsidRDefault="00E9192C">
      <w:pPr>
        <w:spacing w:before="51"/>
        <w:ind w:left="112"/>
        <w:rPr>
          <w:b/>
        </w:rPr>
      </w:pPr>
      <w:r>
        <w:rPr>
          <w:b/>
        </w:rPr>
        <w:t>UNIQA pojišťovna, a.s.</w:t>
      </w:r>
    </w:p>
    <w:p w:rsidR="00123455" w:rsidRDefault="00E9192C">
      <w:pPr>
        <w:pStyle w:val="Zkladntext"/>
        <w:tabs>
          <w:tab w:val="left" w:pos="1062"/>
        </w:tabs>
        <w:spacing w:before="49" w:line="290" w:lineRule="auto"/>
        <w:ind w:left="112" w:right="7600"/>
      </w:pPr>
      <w:r>
        <w:t>Evropská 810/136 160 00</w:t>
      </w:r>
      <w:r>
        <w:tab/>
        <w:t>Praha 6</w:t>
      </w:r>
    </w:p>
    <w:p w:rsidR="00123455" w:rsidRDefault="00E9192C">
      <w:pPr>
        <w:pStyle w:val="Zkladntext"/>
        <w:spacing w:line="251" w:lineRule="exact"/>
        <w:ind w:left="112"/>
      </w:pPr>
      <w:r>
        <w:t>IČ: 49240480</w:t>
      </w:r>
    </w:p>
    <w:p w:rsidR="00123455" w:rsidRDefault="00E9192C">
      <w:pPr>
        <w:pStyle w:val="Zkladntext"/>
        <w:spacing w:before="52"/>
        <w:ind w:left="112"/>
      </w:pPr>
      <w:r>
        <w:t>Zapsaná v obchodním rejstříku vedeném u Městského soudu v Praze, oddíl B, vložka 2012.</w:t>
      </w:r>
    </w:p>
    <w:p w:rsidR="00123455" w:rsidRDefault="00123455">
      <w:pPr>
        <w:pStyle w:val="Zkladntext"/>
        <w:rPr>
          <w:sz w:val="24"/>
        </w:rPr>
      </w:pPr>
    </w:p>
    <w:p w:rsidR="00123455" w:rsidRDefault="00123455">
      <w:pPr>
        <w:pStyle w:val="Zkladntext"/>
        <w:rPr>
          <w:sz w:val="33"/>
        </w:rPr>
      </w:pPr>
    </w:p>
    <w:p w:rsidR="00123455" w:rsidRDefault="00E9192C">
      <w:pPr>
        <w:pStyle w:val="Nadpis2"/>
        <w:spacing w:before="1" w:line="240" w:lineRule="auto"/>
      </w:pPr>
      <w:r>
        <w:t>Pojistník:</w:t>
      </w:r>
    </w:p>
    <w:p w:rsidR="00123455" w:rsidRDefault="00E9192C">
      <w:pPr>
        <w:tabs>
          <w:tab w:val="left" w:pos="5340"/>
        </w:tabs>
        <w:spacing w:before="52" w:line="252" w:lineRule="exact"/>
        <w:ind w:left="112"/>
        <w:rPr>
          <w:b/>
        </w:rPr>
      </w:pPr>
      <w:r>
        <w:rPr>
          <w:b/>
        </w:rPr>
        <w:t>Fyzikální ústav AV</w:t>
      </w:r>
      <w:r>
        <w:rPr>
          <w:b/>
          <w:spacing w:val="-6"/>
        </w:rPr>
        <w:t xml:space="preserve"> </w:t>
      </w:r>
      <w:r>
        <w:rPr>
          <w:b/>
        </w:rPr>
        <w:t>ČR,</w:t>
      </w:r>
      <w:r>
        <w:rPr>
          <w:b/>
          <w:spacing w:val="-2"/>
        </w:rPr>
        <w:t xml:space="preserve"> </w:t>
      </w:r>
      <w:r>
        <w:rPr>
          <w:b/>
        </w:rPr>
        <w:t>v.v.i.</w:t>
      </w:r>
      <w:r>
        <w:rPr>
          <w:b/>
        </w:rPr>
        <w:tab/>
        <w:t>.</w:t>
      </w:r>
    </w:p>
    <w:p w:rsidR="00123455" w:rsidRDefault="00E9192C">
      <w:pPr>
        <w:pStyle w:val="Zkladntext"/>
        <w:spacing w:line="252" w:lineRule="exact"/>
        <w:ind w:left="112"/>
      </w:pPr>
      <w:r>
        <w:t>Na Slovance 2</w:t>
      </w:r>
    </w:p>
    <w:p w:rsidR="00123455" w:rsidRDefault="00E9192C">
      <w:pPr>
        <w:pStyle w:val="Zkladntext"/>
        <w:tabs>
          <w:tab w:val="left" w:pos="1062"/>
        </w:tabs>
        <w:ind w:left="112" w:right="7653"/>
      </w:pPr>
      <w:r>
        <w:t xml:space="preserve">182 </w:t>
      </w:r>
      <w:r>
        <w:rPr>
          <w:spacing w:val="2"/>
        </w:rPr>
        <w:t xml:space="preserve"> </w:t>
      </w:r>
      <w:r>
        <w:t>21</w:t>
      </w:r>
      <w:r>
        <w:tab/>
        <w:t>Praha 8 IČ:</w:t>
      </w:r>
      <w:r>
        <w:rPr>
          <w:spacing w:val="-2"/>
        </w:rPr>
        <w:t xml:space="preserve"> </w:t>
      </w:r>
      <w:r>
        <w:t>68378271</w:t>
      </w:r>
    </w:p>
    <w:p w:rsidR="00123455" w:rsidRDefault="00E9192C">
      <w:pPr>
        <w:pStyle w:val="Zkladntext"/>
        <w:ind w:left="112" w:right="3829"/>
      </w:pPr>
      <w:r>
        <w:t>Zastoupená RNDr. Michaelem Prouzou, Ph.D., ředitelem pro účely pojištění Výzkumného centra HiLASE</w:t>
      </w:r>
    </w:p>
    <w:p w:rsidR="00123455" w:rsidRDefault="00123455">
      <w:pPr>
        <w:pStyle w:val="Zkladntext"/>
        <w:rPr>
          <w:sz w:val="24"/>
        </w:rPr>
      </w:pPr>
    </w:p>
    <w:p w:rsidR="00123455" w:rsidRDefault="00123455">
      <w:pPr>
        <w:pStyle w:val="Zkladntext"/>
        <w:spacing w:before="11"/>
        <w:rPr>
          <w:sz w:val="23"/>
        </w:rPr>
      </w:pPr>
    </w:p>
    <w:p w:rsidR="00123455" w:rsidRDefault="00E9192C">
      <w:pPr>
        <w:pStyle w:val="Nadpis2"/>
      </w:pPr>
      <w:r>
        <w:t>The Extreme Light Infrastructure ERIC</w:t>
      </w:r>
    </w:p>
    <w:p w:rsidR="00123455" w:rsidRDefault="00E9192C">
      <w:pPr>
        <w:pStyle w:val="Zkladntext"/>
        <w:spacing w:line="252" w:lineRule="exact"/>
        <w:ind w:left="112"/>
      </w:pPr>
      <w:r>
        <w:t>Za Radnicí 835</w:t>
      </w:r>
    </w:p>
    <w:p w:rsidR="00123455" w:rsidRDefault="00E9192C">
      <w:pPr>
        <w:pStyle w:val="Zkladntext"/>
        <w:tabs>
          <w:tab w:val="left" w:pos="1062"/>
        </w:tabs>
        <w:spacing w:before="1"/>
        <w:ind w:left="112" w:right="7041"/>
      </w:pPr>
      <w:r>
        <w:t xml:space="preserve">252 </w:t>
      </w:r>
      <w:r>
        <w:rPr>
          <w:spacing w:val="2"/>
        </w:rPr>
        <w:t xml:space="preserve"> </w:t>
      </w:r>
      <w:r>
        <w:t>41</w:t>
      </w:r>
      <w:r>
        <w:tab/>
        <w:t>Dolní</w:t>
      </w:r>
      <w:r>
        <w:rPr>
          <w:spacing w:val="-1"/>
        </w:rPr>
        <w:t xml:space="preserve"> </w:t>
      </w:r>
      <w:r>
        <w:t>Břežany IČ:</w:t>
      </w:r>
      <w:r>
        <w:rPr>
          <w:spacing w:val="-1"/>
        </w:rPr>
        <w:t xml:space="preserve"> </w:t>
      </w:r>
      <w:r>
        <w:t>10974938</w:t>
      </w:r>
    </w:p>
    <w:p w:rsidR="00123455" w:rsidRDefault="00E9192C">
      <w:pPr>
        <w:pStyle w:val="Zkladntext"/>
        <w:ind w:left="112" w:right="3877"/>
      </w:pPr>
      <w:r>
        <w:t>Zastoupená Allenem Weeksem, generálním ředitelem pro účely pojištění Výzkumného centra ELI BEAMLINES</w:t>
      </w:r>
    </w:p>
    <w:p w:rsidR="00123455" w:rsidRDefault="00123455">
      <w:pPr>
        <w:pStyle w:val="Zkladntext"/>
        <w:rPr>
          <w:sz w:val="24"/>
        </w:rPr>
      </w:pPr>
    </w:p>
    <w:p w:rsidR="00123455" w:rsidRDefault="00123455">
      <w:pPr>
        <w:pStyle w:val="Zkladntext"/>
        <w:spacing w:before="8"/>
        <w:rPr>
          <w:sz w:val="30"/>
        </w:rPr>
      </w:pPr>
    </w:p>
    <w:p w:rsidR="00123455" w:rsidRDefault="00E9192C">
      <w:pPr>
        <w:pStyle w:val="Nadpis2"/>
        <w:spacing w:line="240" w:lineRule="auto"/>
      </w:pPr>
      <w:r>
        <w:t>Pojištěný a oprávněná osoba:</w:t>
      </w:r>
    </w:p>
    <w:p w:rsidR="00123455" w:rsidRDefault="00E9192C">
      <w:pPr>
        <w:tabs>
          <w:tab w:val="left" w:pos="5340"/>
        </w:tabs>
        <w:spacing w:before="49"/>
        <w:ind w:left="112"/>
        <w:rPr>
          <w:b/>
        </w:rPr>
      </w:pPr>
      <w:r>
        <w:rPr>
          <w:b/>
        </w:rPr>
        <w:t>Fyzikální ústav AV</w:t>
      </w:r>
      <w:r>
        <w:rPr>
          <w:b/>
          <w:spacing w:val="-6"/>
        </w:rPr>
        <w:t xml:space="preserve"> </w:t>
      </w:r>
      <w:r>
        <w:rPr>
          <w:b/>
        </w:rPr>
        <w:t>ČR,</w:t>
      </w:r>
      <w:r>
        <w:rPr>
          <w:b/>
          <w:spacing w:val="-2"/>
        </w:rPr>
        <w:t xml:space="preserve"> </w:t>
      </w:r>
      <w:r>
        <w:rPr>
          <w:b/>
        </w:rPr>
        <w:t>v.v.i.</w:t>
      </w:r>
      <w:r>
        <w:rPr>
          <w:b/>
        </w:rPr>
        <w:tab/>
        <w:t>.</w:t>
      </w:r>
    </w:p>
    <w:p w:rsidR="00123455" w:rsidRDefault="00E9192C">
      <w:pPr>
        <w:pStyle w:val="Zkladntext"/>
        <w:spacing w:before="1" w:line="253" w:lineRule="exact"/>
        <w:ind w:left="112"/>
      </w:pPr>
      <w:r>
        <w:t>Na Slovance 2</w:t>
      </w:r>
    </w:p>
    <w:p w:rsidR="00123455" w:rsidRDefault="00E9192C">
      <w:pPr>
        <w:pStyle w:val="Zkladntext"/>
        <w:tabs>
          <w:tab w:val="left" w:pos="1062"/>
        </w:tabs>
        <w:ind w:left="112" w:right="7653"/>
      </w:pPr>
      <w:r>
        <w:t xml:space="preserve">182 </w:t>
      </w:r>
      <w:r>
        <w:rPr>
          <w:spacing w:val="2"/>
        </w:rPr>
        <w:t xml:space="preserve"> </w:t>
      </w:r>
      <w:r>
        <w:t>21</w:t>
      </w:r>
      <w:r>
        <w:tab/>
        <w:t>Praha 8 IČ:</w:t>
      </w:r>
      <w:r>
        <w:rPr>
          <w:spacing w:val="-2"/>
        </w:rPr>
        <w:t xml:space="preserve"> </w:t>
      </w:r>
      <w:r>
        <w:t>68378271</w:t>
      </w:r>
    </w:p>
    <w:p w:rsidR="00123455" w:rsidRDefault="00123455">
      <w:pPr>
        <w:pStyle w:val="Zkladntext"/>
        <w:spacing w:before="10"/>
        <w:rPr>
          <w:sz w:val="21"/>
        </w:rPr>
      </w:pPr>
    </w:p>
    <w:p w:rsidR="00123455" w:rsidRDefault="00E9192C">
      <w:pPr>
        <w:pStyle w:val="Zkladntext"/>
        <w:ind w:left="112"/>
      </w:pPr>
      <w:r>
        <w:t>a</w:t>
      </w:r>
    </w:p>
    <w:p w:rsidR="00123455" w:rsidRDefault="00123455">
      <w:pPr>
        <w:pStyle w:val="Zkladntext"/>
      </w:pPr>
    </w:p>
    <w:p w:rsidR="00123455" w:rsidRDefault="00E9192C">
      <w:pPr>
        <w:pStyle w:val="Nadpis2"/>
        <w:spacing w:line="240" w:lineRule="auto"/>
      </w:pPr>
      <w:r>
        <w:t>The Extreme Light Infrastructure ERIC</w:t>
      </w:r>
    </w:p>
    <w:p w:rsidR="00123455" w:rsidRDefault="00E9192C">
      <w:pPr>
        <w:pStyle w:val="Zkladntext"/>
        <w:spacing w:before="1" w:line="252" w:lineRule="exact"/>
        <w:ind w:left="112"/>
      </w:pPr>
      <w:r>
        <w:t>Za Radnicí 835</w:t>
      </w:r>
    </w:p>
    <w:p w:rsidR="00123455" w:rsidRDefault="00E9192C">
      <w:pPr>
        <w:pStyle w:val="Zkladntext"/>
        <w:tabs>
          <w:tab w:val="left" w:pos="1062"/>
        </w:tabs>
        <w:ind w:left="112" w:right="7041"/>
      </w:pPr>
      <w:r>
        <w:t xml:space="preserve">252 </w:t>
      </w:r>
      <w:r>
        <w:rPr>
          <w:spacing w:val="1"/>
        </w:rPr>
        <w:t xml:space="preserve"> </w:t>
      </w:r>
      <w:r>
        <w:t>41</w:t>
      </w:r>
      <w:r>
        <w:tab/>
        <w:t>Dolní</w:t>
      </w:r>
      <w:r>
        <w:rPr>
          <w:spacing w:val="-4"/>
        </w:rPr>
        <w:t xml:space="preserve"> </w:t>
      </w:r>
      <w:r>
        <w:t>Břežany</w:t>
      </w:r>
      <w:r>
        <w:rPr>
          <w:spacing w:val="-1"/>
        </w:rPr>
        <w:t xml:space="preserve"> </w:t>
      </w:r>
      <w:r>
        <w:t>IČ:</w:t>
      </w:r>
      <w:r>
        <w:rPr>
          <w:spacing w:val="-1"/>
        </w:rPr>
        <w:t xml:space="preserve"> </w:t>
      </w:r>
      <w:r>
        <w:t>10974938</w:t>
      </w:r>
    </w:p>
    <w:p w:rsidR="00123455" w:rsidRDefault="00E9192C">
      <w:pPr>
        <w:pStyle w:val="Zkladntext"/>
        <w:spacing w:line="252" w:lineRule="exact"/>
        <w:ind w:left="112"/>
      </w:pPr>
      <w:r>
        <w:t>Zastoupená Allenem Weeksem, generálním ředitelem</w:t>
      </w:r>
    </w:p>
    <w:p w:rsidR="00123455" w:rsidRDefault="00123455">
      <w:pPr>
        <w:spacing w:line="252" w:lineRule="exact"/>
        <w:sectPr w:rsidR="00123455">
          <w:headerReference w:type="default" r:id="rId7"/>
          <w:footerReference w:type="default" r:id="rId8"/>
          <w:type w:val="continuous"/>
          <w:pgSz w:w="11920" w:h="16840"/>
          <w:pgMar w:top="3120" w:right="1680" w:bottom="1980" w:left="740" w:header="1798" w:footer="1785" w:gutter="0"/>
          <w:pgNumType w:start="1"/>
          <w:cols w:space="720"/>
        </w:sectPr>
      </w:pPr>
    </w:p>
    <w:p w:rsidR="00123455" w:rsidRDefault="00E9192C">
      <w:pPr>
        <w:pStyle w:val="Nadpis2"/>
        <w:spacing w:before="178" w:line="240" w:lineRule="auto"/>
        <w:ind w:left="1685" w:right="1640"/>
        <w:jc w:val="center"/>
      </w:pPr>
      <w:r>
        <w:lastRenderedPageBreak/>
        <w:t>uzavírají tuto pojistnou smlouvu o pojištění majetku a odpovědnosti</w:t>
      </w:r>
    </w:p>
    <w:p w:rsidR="00123455" w:rsidRDefault="00123455">
      <w:pPr>
        <w:pStyle w:val="Zkladntext"/>
        <w:spacing w:before="9"/>
        <w:rPr>
          <w:b/>
          <w:sz w:val="30"/>
        </w:rPr>
      </w:pPr>
    </w:p>
    <w:p w:rsidR="00123455" w:rsidRDefault="00E9192C">
      <w:pPr>
        <w:pStyle w:val="Zkladntext"/>
        <w:spacing w:line="288" w:lineRule="auto"/>
        <w:ind w:left="152" w:right="142"/>
      </w:pPr>
      <w:r>
        <w:t>Odchylně od znění článku 4 Všeobecných pojistných podmínek – obecná část UCZ/14 se ujednává, že pojištění vzniká dnem uvedeným v této pojistné smlouvě.</w:t>
      </w:r>
    </w:p>
    <w:p w:rsidR="00123455" w:rsidRDefault="00E9192C">
      <w:pPr>
        <w:pStyle w:val="Zkladntext"/>
        <w:spacing w:line="288" w:lineRule="auto"/>
        <w:ind w:left="152" w:right="104"/>
        <w:jc w:val="both"/>
      </w:pPr>
      <w:r>
        <w:t>Je-li pojistná smlouva uzavírána po datu počátku pojištění, pojištění vzniká pouze tehdy, pokud pojistník podepíše pojistnou smlouvu nejpozději do 14 dnů od podpisu pojistitelem a neprodleně ji doručí zpět pojistiteli.</w:t>
      </w:r>
    </w:p>
    <w:p w:rsidR="00123455" w:rsidRDefault="00123455">
      <w:pPr>
        <w:pStyle w:val="Zkladntext"/>
        <w:spacing w:before="7" w:after="1"/>
      </w:pPr>
    </w:p>
    <w:tbl>
      <w:tblPr>
        <w:tblStyle w:val="TableNormal"/>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2433"/>
        <w:gridCol w:w="1709"/>
        <w:gridCol w:w="3449"/>
      </w:tblGrid>
      <w:tr w:rsidR="00123455">
        <w:trPr>
          <w:trHeight w:hRule="exact" w:val="249"/>
        </w:trPr>
        <w:tc>
          <w:tcPr>
            <w:tcW w:w="2433" w:type="dxa"/>
          </w:tcPr>
          <w:p w:rsidR="00123455" w:rsidRDefault="00E9192C">
            <w:pPr>
              <w:pStyle w:val="TableParagraph"/>
              <w:spacing w:line="247" w:lineRule="exact"/>
              <w:ind w:left="50"/>
              <w:rPr>
                <w:b/>
              </w:rPr>
            </w:pPr>
            <w:r>
              <w:rPr>
                <w:b/>
              </w:rPr>
              <w:t>Počátek pojištění:</w:t>
            </w:r>
          </w:p>
        </w:tc>
        <w:tc>
          <w:tcPr>
            <w:tcW w:w="1709" w:type="dxa"/>
          </w:tcPr>
          <w:p w:rsidR="00123455" w:rsidRDefault="00E9192C">
            <w:pPr>
              <w:pStyle w:val="TableParagraph"/>
              <w:spacing w:line="247" w:lineRule="exact"/>
              <w:ind w:left="497"/>
            </w:pPr>
            <w:r>
              <w:t>1. 8. 2021</w:t>
            </w:r>
          </w:p>
        </w:tc>
        <w:tc>
          <w:tcPr>
            <w:tcW w:w="3449" w:type="dxa"/>
          </w:tcPr>
          <w:p w:rsidR="00123455" w:rsidRDefault="00E9192C">
            <w:pPr>
              <w:pStyle w:val="TableParagraph"/>
              <w:spacing w:line="247" w:lineRule="exact"/>
              <w:ind w:left="229"/>
            </w:pPr>
            <w:r>
              <w:t>bez čekací doby</w:t>
            </w:r>
          </w:p>
        </w:tc>
      </w:tr>
      <w:tr w:rsidR="00123455">
        <w:trPr>
          <w:trHeight w:hRule="exact" w:val="253"/>
        </w:trPr>
        <w:tc>
          <w:tcPr>
            <w:tcW w:w="2433" w:type="dxa"/>
          </w:tcPr>
          <w:p w:rsidR="00123455" w:rsidRDefault="00E9192C">
            <w:pPr>
              <w:pStyle w:val="TableParagraph"/>
              <w:spacing w:line="249" w:lineRule="exact"/>
              <w:ind w:left="50"/>
              <w:rPr>
                <w:b/>
              </w:rPr>
            </w:pPr>
            <w:r>
              <w:rPr>
                <w:b/>
              </w:rPr>
              <w:t>Konec pojištění:</w:t>
            </w:r>
          </w:p>
        </w:tc>
        <w:tc>
          <w:tcPr>
            <w:tcW w:w="1709" w:type="dxa"/>
          </w:tcPr>
          <w:p w:rsidR="00123455" w:rsidRDefault="00E9192C">
            <w:pPr>
              <w:pStyle w:val="TableParagraph"/>
              <w:spacing w:line="249" w:lineRule="exact"/>
              <w:ind w:left="497"/>
            </w:pPr>
            <w:r>
              <w:t>1. 8. 2026</w:t>
            </w:r>
          </w:p>
        </w:tc>
        <w:tc>
          <w:tcPr>
            <w:tcW w:w="3449" w:type="dxa"/>
          </w:tcPr>
          <w:p w:rsidR="00123455" w:rsidRDefault="00E9192C">
            <w:pPr>
              <w:pStyle w:val="TableParagraph"/>
              <w:spacing w:line="249" w:lineRule="exact"/>
              <w:ind w:left="229"/>
            </w:pPr>
            <w:r>
              <w:t>bez automatického prodlužování</w:t>
            </w:r>
          </w:p>
        </w:tc>
      </w:tr>
      <w:tr w:rsidR="00123455">
        <w:trPr>
          <w:trHeight w:hRule="exact" w:val="253"/>
        </w:trPr>
        <w:tc>
          <w:tcPr>
            <w:tcW w:w="2433" w:type="dxa"/>
          </w:tcPr>
          <w:p w:rsidR="00123455" w:rsidRDefault="00E9192C">
            <w:pPr>
              <w:pStyle w:val="TableParagraph"/>
              <w:spacing w:line="250" w:lineRule="exact"/>
              <w:ind w:left="50"/>
              <w:rPr>
                <w:b/>
              </w:rPr>
            </w:pPr>
            <w:r>
              <w:rPr>
                <w:b/>
              </w:rPr>
              <w:t>Změna platná od:</w:t>
            </w:r>
          </w:p>
        </w:tc>
        <w:tc>
          <w:tcPr>
            <w:tcW w:w="1709" w:type="dxa"/>
          </w:tcPr>
          <w:p w:rsidR="00123455" w:rsidRDefault="00E9192C">
            <w:pPr>
              <w:pStyle w:val="TableParagraph"/>
              <w:spacing w:line="250" w:lineRule="exact"/>
              <w:ind w:left="497"/>
            </w:pPr>
            <w:r>
              <w:t>1. 8. 2023</w:t>
            </w:r>
          </w:p>
        </w:tc>
        <w:tc>
          <w:tcPr>
            <w:tcW w:w="3449" w:type="dxa"/>
          </w:tcPr>
          <w:p w:rsidR="00123455" w:rsidRDefault="00E9192C">
            <w:pPr>
              <w:pStyle w:val="TableParagraph"/>
              <w:spacing w:line="250" w:lineRule="exact"/>
              <w:ind w:left="229"/>
            </w:pPr>
            <w:r>
              <w:t>dodatek č.006</w:t>
            </w:r>
          </w:p>
        </w:tc>
      </w:tr>
      <w:tr w:rsidR="00123455">
        <w:trPr>
          <w:trHeight w:hRule="exact" w:val="249"/>
        </w:trPr>
        <w:tc>
          <w:tcPr>
            <w:tcW w:w="2433" w:type="dxa"/>
          </w:tcPr>
          <w:p w:rsidR="00123455" w:rsidRDefault="00E9192C">
            <w:pPr>
              <w:pStyle w:val="TableParagraph"/>
              <w:spacing w:line="249" w:lineRule="exact"/>
              <w:ind w:left="50"/>
              <w:rPr>
                <w:b/>
              </w:rPr>
            </w:pPr>
            <w:r>
              <w:rPr>
                <w:b/>
              </w:rPr>
              <w:t>Pojistné období:</w:t>
            </w:r>
          </w:p>
        </w:tc>
        <w:tc>
          <w:tcPr>
            <w:tcW w:w="1709" w:type="dxa"/>
          </w:tcPr>
          <w:p w:rsidR="00123455" w:rsidRDefault="00E9192C">
            <w:pPr>
              <w:pStyle w:val="TableParagraph"/>
              <w:spacing w:line="249" w:lineRule="exact"/>
              <w:ind w:left="497"/>
            </w:pPr>
            <w:r>
              <w:t>1 rok</w:t>
            </w:r>
          </w:p>
        </w:tc>
        <w:tc>
          <w:tcPr>
            <w:tcW w:w="3449" w:type="dxa"/>
          </w:tcPr>
          <w:p w:rsidR="00123455" w:rsidRDefault="00123455"/>
        </w:tc>
      </w:tr>
    </w:tbl>
    <w:p w:rsidR="00123455" w:rsidRDefault="00E9192C">
      <w:pPr>
        <w:pStyle w:val="Zkladntext"/>
        <w:spacing w:before="1"/>
        <w:ind w:left="152"/>
        <w:jc w:val="both"/>
      </w:pPr>
      <w:r>
        <w:t>-------------------------------------------------------------------------------------------------------------------------------------------</w:t>
      </w:r>
    </w:p>
    <w:p w:rsidR="00123455" w:rsidRDefault="00E9192C">
      <w:pPr>
        <w:spacing w:before="49" w:line="252" w:lineRule="exact"/>
        <w:ind w:left="152"/>
        <w:jc w:val="both"/>
        <w:rPr>
          <w:b/>
        </w:rPr>
      </w:pPr>
      <w:r>
        <w:rPr>
          <w:b/>
        </w:rPr>
        <w:t xml:space="preserve">Místo pojištění, </w:t>
      </w:r>
      <w:r>
        <w:t>pokud není níže uvedeno jinak</w:t>
      </w:r>
      <w:r>
        <w:rPr>
          <w:b/>
        </w:rPr>
        <w:t>:</w:t>
      </w:r>
    </w:p>
    <w:p w:rsidR="00123455" w:rsidRDefault="00E9192C">
      <w:pPr>
        <w:pStyle w:val="Zkladntext"/>
        <w:ind w:left="152" w:right="142"/>
      </w:pPr>
      <w:r>
        <w:t>Výzkumné centrum ELI BEAMLINES, Za Radnicí 835, Dolní Břežany, 252 41 (vlastník The Extreme Light Infrastructure</w:t>
      </w:r>
      <w:r>
        <w:rPr>
          <w:spacing w:val="-11"/>
        </w:rPr>
        <w:t xml:space="preserve"> </w:t>
      </w:r>
      <w:r>
        <w:t>ERIC)</w:t>
      </w:r>
    </w:p>
    <w:p w:rsidR="00123455" w:rsidRDefault="00E9192C">
      <w:pPr>
        <w:pStyle w:val="Zkladntext"/>
        <w:ind w:left="152" w:right="142"/>
      </w:pPr>
      <w:r>
        <w:t>Výzkumné centrum HiLASE, Za Radnicí 828, 252 41, Dolní Břežany (vlastník Fyzikální ústav AV ČR, v.v.i.)</w:t>
      </w:r>
    </w:p>
    <w:p w:rsidR="00123455" w:rsidRDefault="00E9192C">
      <w:pPr>
        <w:pStyle w:val="Zkladntext"/>
        <w:ind w:left="152" w:right="142"/>
      </w:pPr>
      <w:r>
        <w:t>součástí areálu centra ELI Beamlines jsou také tyto dvě další budovy v jeho bezprostředním okolí (vlastník the Extreme Light Infrastructure ERIC):</w:t>
      </w:r>
    </w:p>
    <w:p w:rsidR="00123455" w:rsidRDefault="00E9192C">
      <w:pPr>
        <w:pStyle w:val="Odstavecseseznamem"/>
        <w:numPr>
          <w:ilvl w:val="0"/>
          <w:numId w:val="19"/>
        </w:numPr>
        <w:tabs>
          <w:tab w:val="left" w:pos="873"/>
        </w:tabs>
        <w:spacing w:before="2" w:line="252" w:lineRule="exact"/>
        <w:ind w:hanging="720"/>
        <w:jc w:val="both"/>
      </w:pPr>
      <w:r>
        <w:t>budova bez č.p./č.e. stojící na pozemku p. č. st. 399, k.ú. Dolní</w:t>
      </w:r>
      <w:r>
        <w:rPr>
          <w:spacing w:val="-20"/>
        </w:rPr>
        <w:t xml:space="preserve"> </w:t>
      </w:r>
      <w:r>
        <w:t>Břežany,</w:t>
      </w:r>
    </w:p>
    <w:p w:rsidR="00123455" w:rsidRDefault="00E9192C">
      <w:pPr>
        <w:pStyle w:val="Odstavecseseznamem"/>
        <w:numPr>
          <w:ilvl w:val="0"/>
          <w:numId w:val="19"/>
        </w:numPr>
        <w:tabs>
          <w:tab w:val="left" w:pos="902"/>
        </w:tabs>
        <w:spacing w:line="252" w:lineRule="exact"/>
        <w:ind w:left="901" w:hanging="749"/>
        <w:jc w:val="both"/>
      </w:pPr>
      <w:r>
        <w:t>budova č.p. 247 stojící na pozemku p. č. st. 455, k.ú. Dolní</w:t>
      </w:r>
      <w:r>
        <w:rPr>
          <w:spacing w:val="-22"/>
        </w:rPr>
        <w:t xml:space="preserve"> </w:t>
      </w:r>
      <w:r>
        <w:t>Břežany</w:t>
      </w:r>
    </w:p>
    <w:p w:rsidR="00123455" w:rsidRDefault="00E9192C">
      <w:pPr>
        <w:pStyle w:val="Zkladntext"/>
        <w:spacing w:before="1"/>
        <w:ind w:left="152" w:right="142"/>
      </w:pPr>
      <w:r>
        <w:t>a další lokality na území ČR anebo Evropa, která pojistník / pojištěný po právu používá, nebo se na nich nachází jeho předmět pojištění</w:t>
      </w:r>
    </w:p>
    <w:p w:rsidR="00123455" w:rsidRDefault="00E9192C">
      <w:pPr>
        <w:pStyle w:val="Zkladntext"/>
        <w:spacing w:before="1"/>
        <w:ind w:left="152"/>
        <w:jc w:val="both"/>
      </w:pPr>
      <w:r>
        <w:t>-------------------------------------------------------------------------------------------------------------------------------------------</w:t>
      </w:r>
    </w:p>
    <w:p w:rsidR="00123455" w:rsidRDefault="00123455">
      <w:pPr>
        <w:pStyle w:val="Zkladntext"/>
        <w:spacing w:before="11"/>
        <w:rPr>
          <w:sz w:val="19"/>
        </w:rPr>
      </w:pPr>
    </w:p>
    <w:p w:rsidR="00123455" w:rsidRDefault="00E9192C">
      <w:pPr>
        <w:pStyle w:val="Nadpis2"/>
        <w:spacing w:line="240" w:lineRule="auto"/>
        <w:ind w:left="152"/>
        <w:jc w:val="both"/>
      </w:pPr>
      <w:r>
        <w:t>Sjednaný rozsah pojištění (pojistná nebezpečí) a předměty pojištění:</w:t>
      </w:r>
    </w:p>
    <w:p w:rsidR="00123455" w:rsidRDefault="00123455">
      <w:pPr>
        <w:pStyle w:val="Zkladntext"/>
        <w:spacing w:before="4"/>
        <w:rPr>
          <w:b/>
          <w:sz w:val="26"/>
        </w:rPr>
      </w:pPr>
    </w:p>
    <w:p w:rsidR="00123455" w:rsidRDefault="00E9192C">
      <w:pPr>
        <w:spacing w:before="1"/>
        <w:ind w:left="152"/>
        <w:jc w:val="both"/>
      </w:pPr>
      <w:r>
        <w:rPr>
          <w:b/>
        </w:rPr>
        <w:t xml:space="preserve">Všerizikové pojištění (ALLRISK) </w:t>
      </w:r>
      <w:r>
        <w:t>- v rozsahu VPP UCZ/AR/14/A, DPP UCZ/AR/14/B, VPP UCZ/14</w:t>
      </w:r>
    </w:p>
    <w:p w:rsidR="00123455" w:rsidRDefault="00123455">
      <w:pPr>
        <w:pStyle w:val="Zkladntext"/>
        <w:spacing w:before="9"/>
        <w:rPr>
          <w:sz w:val="21"/>
        </w:rPr>
      </w:pPr>
    </w:p>
    <w:p w:rsidR="00123455" w:rsidRDefault="00E9192C">
      <w:pPr>
        <w:pStyle w:val="Nadpis2"/>
        <w:numPr>
          <w:ilvl w:val="0"/>
          <w:numId w:val="18"/>
        </w:numPr>
        <w:tabs>
          <w:tab w:val="left" w:pos="416"/>
        </w:tabs>
        <w:spacing w:line="240" w:lineRule="auto"/>
        <w:ind w:right="101" w:firstLine="0"/>
        <w:jc w:val="both"/>
      </w:pPr>
      <w:r>
        <w:t>Soubor nemovitostí, vlastních i cizích – budovy vč. stavebních součástí (vnitřních i vnějších), příslušenství, strojních i elektronických součástí budov (např. instalace elektro, vody, topení, plynu, výtahů, EZS, EPS, vnější a vnitřní kamerový systém, antény, dešťové svody, apod.), energetických zařízení (trafostanice, výměníkové stanice), technického zhodnocení, zpevněné a umělé ploch (včetně hřišť a dalších povrchů), komunikace a plochy, stožáry, oplocení, terénní a stavební úpravy, inženýrské sítě, rozvodné sítě, hráze, lavičky, osvětlení v rámci areálu, soubor investic, apod. – navýšení pojistné částky o 164.016.924 Kč na celkovou pojistnou částku 2.861.297.604</w:t>
      </w:r>
      <w:r>
        <w:rPr>
          <w:spacing w:val="-4"/>
        </w:rPr>
        <w:t xml:space="preserve"> </w:t>
      </w:r>
      <w:r>
        <w:t>Kč</w:t>
      </w:r>
    </w:p>
    <w:p w:rsidR="00123455" w:rsidRDefault="00E9192C">
      <w:pPr>
        <w:pStyle w:val="Zkladntext"/>
        <w:tabs>
          <w:tab w:val="left" w:pos="3450"/>
          <w:tab w:val="left" w:pos="6777"/>
        </w:tabs>
        <w:spacing w:line="252" w:lineRule="exact"/>
        <w:ind w:left="152"/>
        <w:jc w:val="both"/>
      </w:pPr>
      <w:r>
        <w:t>pojistná částka</w:t>
      </w:r>
      <w:r>
        <w:rPr>
          <w:spacing w:val="-2"/>
        </w:rPr>
        <w:t xml:space="preserve"> </w:t>
      </w:r>
      <w:r>
        <w:t>v</w:t>
      </w:r>
      <w:r>
        <w:rPr>
          <w:spacing w:val="-1"/>
        </w:rPr>
        <w:t xml:space="preserve"> </w:t>
      </w:r>
      <w:r>
        <w:t>Kč</w:t>
      </w:r>
      <w:r>
        <w:tab/>
        <w:t>pojistná</w:t>
      </w:r>
      <w:r>
        <w:rPr>
          <w:spacing w:val="-2"/>
        </w:rPr>
        <w:t xml:space="preserve"> </w:t>
      </w:r>
      <w:r>
        <w:t>hodnota</w:t>
      </w:r>
      <w:r>
        <w:tab/>
        <w:t>spoluúčast v</w:t>
      </w:r>
      <w:r>
        <w:rPr>
          <w:spacing w:val="-2"/>
        </w:rPr>
        <w:t xml:space="preserve"> </w:t>
      </w:r>
      <w:r>
        <w:t>Kč</w:t>
      </w:r>
    </w:p>
    <w:p w:rsidR="00123455" w:rsidRDefault="00E9192C">
      <w:pPr>
        <w:pStyle w:val="Zkladntext"/>
        <w:tabs>
          <w:tab w:val="left" w:pos="3450"/>
          <w:tab w:val="left" w:pos="6777"/>
        </w:tabs>
        <w:spacing w:line="252" w:lineRule="exact"/>
        <w:ind w:left="152"/>
        <w:jc w:val="both"/>
      </w:pPr>
      <w:r>
        <w:t>2.861.297.604</w:t>
      </w:r>
      <w:r>
        <w:tab/>
        <w:t>nová cena</w:t>
      </w:r>
      <w:r>
        <w:tab/>
        <w:t>viz</w:t>
      </w:r>
      <w:r>
        <w:rPr>
          <w:spacing w:val="1"/>
        </w:rPr>
        <w:t xml:space="preserve"> </w:t>
      </w:r>
      <w:r>
        <w:t>níže</w:t>
      </w:r>
    </w:p>
    <w:p w:rsidR="00123455" w:rsidRDefault="00123455">
      <w:pPr>
        <w:spacing w:line="252" w:lineRule="exact"/>
        <w:jc w:val="both"/>
        <w:sectPr w:rsidR="00123455">
          <w:pgSz w:w="11920" w:h="16840"/>
          <w:pgMar w:top="3120" w:right="740" w:bottom="1980" w:left="700" w:header="1798" w:footer="1785" w:gutter="0"/>
          <w:cols w:space="720"/>
        </w:sectPr>
      </w:pPr>
    </w:p>
    <w:p w:rsidR="00123455" w:rsidRDefault="00E9192C">
      <w:pPr>
        <w:pStyle w:val="Zkladntext"/>
        <w:spacing w:before="178"/>
        <w:ind w:left="232"/>
        <w:jc w:val="both"/>
      </w:pPr>
      <w:r>
        <w:lastRenderedPageBreak/>
        <w:t>Rozdělení pojistných částek dle pojištěných společností:</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3339"/>
        <w:gridCol w:w="1306"/>
        <w:gridCol w:w="2982"/>
      </w:tblGrid>
      <w:tr w:rsidR="00123455">
        <w:trPr>
          <w:trHeight w:hRule="exact" w:val="312"/>
        </w:trPr>
        <w:tc>
          <w:tcPr>
            <w:tcW w:w="2801" w:type="dxa"/>
          </w:tcPr>
          <w:p w:rsidR="00123455" w:rsidRDefault="00E9192C">
            <w:pPr>
              <w:pStyle w:val="TableParagraph"/>
              <w:spacing w:before="2"/>
              <w:ind w:left="103"/>
              <w:rPr>
                <w:b/>
              </w:rPr>
            </w:pPr>
            <w:r>
              <w:rPr>
                <w:b/>
              </w:rPr>
              <w:t>ELI BEAMLINES</w:t>
            </w:r>
          </w:p>
        </w:tc>
        <w:tc>
          <w:tcPr>
            <w:tcW w:w="3339" w:type="dxa"/>
          </w:tcPr>
          <w:p w:rsidR="00123455" w:rsidRDefault="00E9192C">
            <w:pPr>
              <w:pStyle w:val="TableParagraph"/>
              <w:spacing w:before="2"/>
              <w:ind w:left="101"/>
              <w:rPr>
                <w:b/>
              </w:rPr>
            </w:pPr>
            <w:r>
              <w:rPr>
                <w:b/>
              </w:rPr>
              <w:t>HiLASE</w:t>
            </w:r>
          </w:p>
        </w:tc>
        <w:tc>
          <w:tcPr>
            <w:tcW w:w="1306" w:type="dxa"/>
          </w:tcPr>
          <w:p w:rsidR="00123455" w:rsidRDefault="00123455"/>
        </w:tc>
        <w:tc>
          <w:tcPr>
            <w:tcW w:w="2982" w:type="dxa"/>
          </w:tcPr>
          <w:p w:rsidR="00123455" w:rsidRDefault="00E9192C">
            <w:pPr>
              <w:pStyle w:val="TableParagraph"/>
              <w:spacing w:before="2"/>
              <w:ind w:left="103"/>
              <w:rPr>
                <w:b/>
              </w:rPr>
            </w:pPr>
            <w:r>
              <w:rPr>
                <w:b/>
              </w:rPr>
              <w:t>Celkem</w:t>
            </w:r>
          </w:p>
        </w:tc>
      </w:tr>
      <w:tr w:rsidR="00123455">
        <w:trPr>
          <w:trHeight w:hRule="exact" w:val="310"/>
        </w:trPr>
        <w:tc>
          <w:tcPr>
            <w:tcW w:w="2801" w:type="dxa"/>
          </w:tcPr>
          <w:p w:rsidR="00123455" w:rsidRDefault="00E9192C">
            <w:pPr>
              <w:pStyle w:val="TableParagraph"/>
              <w:ind w:left="103"/>
            </w:pPr>
            <w:r>
              <w:t>2 620 996 394,34 Kč</w:t>
            </w:r>
          </w:p>
        </w:tc>
        <w:tc>
          <w:tcPr>
            <w:tcW w:w="3339" w:type="dxa"/>
          </w:tcPr>
          <w:p w:rsidR="00123455" w:rsidRDefault="00E9192C">
            <w:pPr>
              <w:pStyle w:val="TableParagraph"/>
              <w:ind w:left="101"/>
            </w:pPr>
            <w:r>
              <w:t>240 301 209,85 Kč</w:t>
            </w:r>
          </w:p>
        </w:tc>
        <w:tc>
          <w:tcPr>
            <w:tcW w:w="1306" w:type="dxa"/>
          </w:tcPr>
          <w:p w:rsidR="00123455" w:rsidRDefault="00123455"/>
        </w:tc>
        <w:tc>
          <w:tcPr>
            <w:tcW w:w="2982" w:type="dxa"/>
          </w:tcPr>
          <w:p w:rsidR="00123455" w:rsidRDefault="00E9192C">
            <w:pPr>
              <w:pStyle w:val="TableParagraph"/>
              <w:ind w:left="103"/>
            </w:pPr>
            <w:r>
              <w:t>2 861 297 604,19 Kč</w:t>
            </w:r>
          </w:p>
        </w:tc>
      </w:tr>
    </w:tbl>
    <w:p w:rsidR="00123455" w:rsidRDefault="00123455">
      <w:pPr>
        <w:pStyle w:val="Zkladntext"/>
        <w:spacing w:before="9"/>
        <w:rPr>
          <w:sz w:val="21"/>
        </w:rPr>
      </w:pPr>
    </w:p>
    <w:p w:rsidR="00123455" w:rsidRDefault="00E9192C">
      <w:pPr>
        <w:pStyle w:val="Nadpis2"/>
        <w:numPr>
          <w:ilvl w:val="0"/>
          <w:numId w:val="18"/>
        </w:numPr>
        <w:tabs>
          <w:tab w:val="left" w:pos="506"/>
        </w:tabs>
        <w:spacing w:line="240" w:lineRule="auto"/>
        <w:ind w:left="232" w:right="221" w:firstLine="0"/>
        <w:jc w:val="both"/>
      </w:pPr>
      <w:r>
        <w:t>Soubor věcí movitých a zásob, vlastních a cizích – vč. přístrojů, strojů, zařízení, elektroniky, vybavení. Inventáře (vč. DDHM), ostatních vlastních a cizích věcí movitých včetně modelů,  vzorků, exponátů, nosičů dat, software, nákladů na znovupořízení dat, dokumentace, písemností, plánů, výkresů, map, vzácných tisků, archiválií, knih a časopisů (knižní fond apod.), zabezpečovacích zařízení, antén, materiálů, potravin, zboží, zvířat, rostlin, stromů, lodí, DHIM, apod. vedený v účetní, operativní či jiné evidenci - navýšení pojistné částky o 327.915.350 Kč na celkovou pojistnou částku 7.529.712.888</w:t>
      </w:r>
      <w:r>
        <w:rPr>
          <w:spacing w:val="-11"/>
        </w:rPr>
        <w:t xml:space="preserve"> </w:t>
      </w:r>
      <w:r>
        <w:t>Kč</w:t>
      </w:r>
    </w:p>
    <w:p w:rsidR="00123455" w:rsidRDefault="00E9192C">
      <w:pPr>
        <w:pStyle w:val="Zkladntext"/>
        <w:tabs>
          <w:tab w:val="left" w:pos="3530"/>
          <w:tab w:val="left" w:pos="6857"/>
        </w:tabs>
        <w:spacing w:line="252" w:lineRule="exact"/>
        <w:ind w:left="232"/>
        <w:jc w:val="both"/>
      </w:pPr>
      <w:r>
        <w:t>pojistná částka</w:t>
      </w:r>
      <w:r>
        <w:rPr>
          <w:spacing w:val="-2"/>
        </w:rPr>
        <w:t xml:space="preserve"> </w:t>
      </w:r>
      <w:r>
        <w:t>v</w:t>
      </w:r>
      <w:r>
        <w:rPr>
          <w:spacing w:val="-1"/>
        </w:rPr>
        <w:t xml:space="preserve"> </w:t>
      </w:r>
      <w:r>
        <w:t>Kč</w:t>
      </w:r>
      <w:r>
        <w:tab/>
        <w:t>pojistná</w:t>
      </w:r>
      <w:r>
        <w:rPr>
          <w:spacing w:val="-2"/>
        </w:rPr>
        <w:t xml:space="preserve"> </w:t>
      </w:r>
      <w:r>
        <w:t>hodnota</w:t>
      </w:r>
      <w:r>
        <w:tab/>
        <w:t>spoluúčast v</w:t>
      </w:r>
      <w:r>
        <w:rPr>
          <w:spacing w:val="-1"/>
        </w:rPr>
        <w:t xml:space="preserve"> </w:t>
      </w:r>
      <w:r>
        <w:t>Kč</w:t>
      </w:r>
    </w:p>
    <w:p w:rsidR="00123455" w:rsidRDefault="00DA78FB">
      <w:pPr>
        <w:pStyle w:val="Zkladntext"/>
        <w:tabs>
          <w:tab w:val="left" w:pos="3530"/>
          <w:tab w:val="left" w:pos="6857"/>
        </w:tabs>
        <w:spacing w:before="1" w:line="458" w:lineRule="auto"/>
        <w:ind w:left="232" w:right="3063"/>
      </w:pPr>
      <w:r>
        <w:rPr>
          <w:noProof/>
          <w:lang w:val="cs-CZ" w:eastAsia="cs-CZ"/>
        </w:rPr>
        <mc:AlternateContent>
          <mc:Choice Requires="wps">
            <w:drawing>
              <wp:anchor distT="0" distB="0" distL="114300" distR="114300" simplePos="0" relativeHeight="251658240" behindDoc="0" locked="0" layoutInCell="1" allowOverlap="1">
                <wp:simplePos x="0" y="0"/>
                <wp:positionH relativeFrom="page">
                  <wp:posOffset>469265</wp:posOffset>
                </wp:positionH>
                <wp:positionV relativeFrom="paragraph">
                  <wp:posOffset>466725</wp:posOffset>
                </wp:positionV>
                <wp:extent cx="5801995" cy="401320"/>
                <wp:effectExtent l="2540" t="3810" r="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3339"/>
                              <w:gridCol w:w="2981"/>
                            </w:tblGrid>
                            <w:tr w:rsidR="00123455">
                              <w:trPr>
                                <w:trHeight w:hRule="exact" w:val="310"/>
                              </w:trPr>
                              <w:tc>
                                <w:tcPr>
                                  <w:tcW w:w="2801" w:type="dxa"/>
                                </w:tcPr>
                                <w:p w:rsidR="00123455" w:rsidRDefault="00E9192C">
                                  <w:pPr>
                                    <w:pStyle w:val="TableParagraph"/>
                                    <w:ind w:left="103"/>
                                    <w:rPr>
                                      <w:b/>
                                    </w:rPr>
                                  </w:pPr>
                                  <w:r>
                                    <w:rPr>
                                      <w:b/>
                                    </w:rPr>
                                    <w:t>ELI BEAMLINES</w:t>
                                  </w:r>
                                </w:p>
                              </w:tc>
                              <w:tc>
                                <w:tcPr>
                                  <w:tcW w:w="3339" w:type="dxa"/>
                                </w:tcPr>
                                <w:p w:rsidR="00123455" w:rsidRDefault="00E9192C">
                                  <w:pPr>
                                    <w:pStyle w:val="TableParagraph"/>
                                    <w:ind w:left="101"/>
                                    <w:rPr>
                                      <w:b/>
                                    </w:rPr>
                                  </w:pPr>
                                  <w:r>
                                    <w:rPr>
                                      <w:b/>
                                    </w:rPr>
                                    <w:t>HiLASE</w:t>
                                  </w:r>
                                </w:p>
                              </w:tc>
                              <w:tc>
                                <w:tcPr>
                                  <w:tcW w:w="2981" w:type="dxa"/>
                                </w:tcPr>
                                <w:p w:rsidR="00123455" w:rsidRDefault="00E9192C">
                                  <w:pPr>
                                    <w:pStyle w:val="TableParagraph"/>
                                    <w:ind w:left="103"/>
                                    <w:rPr>
                                      <w:b/>
                                    </w:rPr>
                                  </w:pPr>
                                  <w:r>
                                    <w:rPr>
                                      <w:b/>
                                    </w:rPr>
                                    <w:t>Celkem</w:t>
                                  </w:r>
                                </w:p>
                              </w:tc>
                            </w:tr>
                            <w:tr w:rsidR="00123455">
                              <w:trPr>
                                <w:trHeight w:hRule="exact" w:val="312"/>
                              </w:trPr>
                              <w:tc>
                                <w:tcPr>
                                  <w:tcW w:w="2801" w:type="dxa"/>
                                </w:tcPr>
                                <w:p w:rsidR="00123455" w:rsidRDefault="00E9192C">
                                  <w:pPr>
                                    <w:pStyle w:val="TableParagraph"/>
                                    <w:spacing w:before="2"/>
                                    <w:ind w:left="103"/>
                                  </w:pPr>
                                  <w:r>
                                    <w:t>6 661 081 462,39 Kč</w:t>
                                  </w:r>
                                </w:p>
                              </w:tc>
                              <w:tc>
                                <w:tcPr>
                                  <w:tcW w:w="3339" w:type="dxa"/>
                                </w:tcPr>
                                <w:p w:rsidR="00123455" w:rsidRDefault="00E9192C">
                                  <w:pPr>
                                    <w:pStyle w:val="TableParagraph"/>
                                    <w:spacing w:before="2"/>
                                    <w:ind w:left="101"/>
                                  </w:pPr>
                                  <w:r>
                                    <w:t>868 631 425,77 Kč</w:t>
                                  </w:r>
                                </w:p>
                              </w:tc>
                              <w:tc>
                                <w:tcPr>
                                  <w:tcW w:w="2981" w:type="dxa"/>
                                </w:tcPr>
                                <w:p w:rsidR="00123455" w:rsidRDefault="00E9192C">
                                  <w:pPr>
                                    <w:pStyle w:val="TableParagraph"/>
                                    <w:spacing w:before="2"/>
                                    <w:ind w:left="103"/>
                                  </w:pPr>
                                  <w:r>
                                    <w:t>7 529 712 888,16 Kč</w:t>
                                  </w:r>
                                </w:p>
                              </w:tc>
                            </w:tr>
                          </w:tbl>
                          <w:p w:rsidR="00123455" w:rsidRDefault="00123455">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5pt;margin-top:36.75pt;width:456.85pt;height:3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HArgIAAKk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3339"/>
                        <w:gridCol w:w="2981"/>
                      </w:tblGrid>
                      <w:tr w:rsidR="00123455">
                        <w:trPr>
                          <w:trHeight w:hRule="exact" w:val="310"/>
                        </w:trPr>
                        <w:tc>
                          <w:tcPr>
                            <w:tcW w:w="2801" w:type="dxa"/>
                          </w:tcPr>
                          <w:p w:rsidR="00123455" w:rsidRDefault="00E9192C">
                            <w:pPr>
                              <w:pStyle w:val="TableParagraph"/>
                              <w:ind w:left="103"/>
                              <w:rPr>
                                <w:b/>
                              </w:rPr>
                            </w:pPr>
                            <w:r>
                              <w:rPr>
                                <w:b/>
                              </w:rPr>
                              <w:t>ELI BEAMLINES</w:t>
                            </w:r>
                          </w:p>
                        </w:tc>
                        <w:tc>
                          <w:tcPr>
                            <w:tcW w:w="3339" w:type="dxa"/>
                          </w:tcPr>
                          <w:p w:rsidR="00123455" w:rsidRDefault="00E9192C">
                            <w:pPr>
                              <w:pStyle w:val="TableParagraph"/>
                              <w:ind w:left="101"/>
                              <w:rPr>
                                <w:b/>
                              </w:rPr>
                            </w:pPr>
                            <w:r>
                              <w:rPr>
                                <w:b/>
                              </w:rPr>
                              <w:t>HiLASE</w:t>
                            </w:r>
                          </w:p>
                        </w:tc>
                        <w:tc>
                          <w:tcPr>
                            <w:tcW w:w="2981" w:type="dxa"/>
                          </w:tcPr>
                          <w:p w:rsidR="00123455" w:rsidRDefault="00E9192C">
                            <w:pPr>
                              <w:pStyle w:val="TableParagraph"/>
                              <w:ind w:left="103"/>
                              <w:rPr>
                                <w:b/>
                              </w:rPr>
                            </w:pPr>
                            <w:r>
                              <w:rPr>
                                <w:b/>
                              </w:rPr>
                              <w:t>Celkem</w:t>
                            </w:r>
                          </w:p>
                        </w:tc>
                      </w:tr>
                      <w:tr w:rsidR="00123455">
                        <w:trPr>
                          <w:trHeight w:hRule="exact" w:val="312"/>
                        </w:trPr>
                        <w:tc>
                          <w:tcPr>
                            <w:tcW w:w="2801" w:type="dxa"/>
                          </w:tcPr>
                          <w:p w:rsidR="00123455" w:rsidRDefault="00E9192C">
                            <w:pPr>
                              <w:pStyle w:val="TableParagraph"/>
                              <w:spacing w:before="2"/>
                              <w:ind w:left="103"/>
                            </w:pPr>
                            <w:r>
                              <w:t>6 661 081 462,39 Kč</w:t>
                            </w:r>
                          </w:p>
                        </w:tc>
                        <w:tc>
                          <w:tcPr>
                            <w:tcW w:w="3339" w:type="dxa"/>
                          </w:tcPr>
                          <w:p w:rsidR="00123455" w:rsidRDefault="00E9192C">
                            <w:pPr>
                              <w:pStyle w:val="TableParagraph"/>
                              <w:spacing w:before="2"/>
                              <w:ind w:left="101"/>
                            </w:pPr>
                            <w:r>
                              <w:t>868 631 425,77 Kč</w:t>
                            </w:r>
                          </w:p>
                        </w:tc>
                        <w:tc>
                          <w:tcPr>
                            <w:tcW w:w="2981" w:type="dxa"/>
                          </w:tcPr>
                          <w:p w:rsidR="00123455" w:rsidRDefault="00E9192C">
                            <w:pPr>
                              <w:pStyle w:val="TableParagraph"/>
                              <w:spacing w:before="2"/>
                              <w:ind w:left="103"/>
                            </w:pPr>
                            <w:r>
                              <w:t>7 529 712 888,16 Kč</w:t>
                            </w:r>
                          </w:p>
                        </w:tc>
                      </w:tr>
                    </w:tbl>
                    <w:p w:rsidR="00123455" w:rsidRDefault="00123455">
                      <w:pPr>
                        <w:pStyle w:val="Zkladntext"/>
                      </w:pPr>
                    </w:p>
                  </w:txbxContent>
                </v:textbox>
                <w10:wrap anchorx="page"/>
              </v:shape>
            </w:pict>
          </mc:Fallback>
        </mc:AlternateContent>
      </w:r>
      <w:r w:rsidR="00E9192C">
        <w:t>7.529.712.888</w:t>
      </w:r>
      <w:r w:rsidR="00E9192C">
        <w:tab/>
        <w:t>nová cena</w:t>
      </w:r>
      <w:r w:rsidR="00E9192C">
        <w:tab/>
        <w:t>viz</w:t>
      </w:r>
      <w:r w:rsidR="00E9192C">
        <w:rPr>
          <w:spacing w:val="1"/>
        </w:rPr>
        <w:t xml:space="preserve"> </w:t>
      </w:r>
      <w:r w:rsidR="00E9192C">
        <w:t>níže Rozdělení pojistných částek dle pojištěných</w:t>
      </w:r>
      <w:r w:rsidR="00E9192C">
        <w:rPr>
          <w:spacing w:val="-12"/>
        </w:rPr>
        <w:t xml:space="preserve"> </w:t>
      </w:r>
      <w:r w:rsidR="00E9192C">
        <w:t>společností:</w:t>
      </w:r>
    </w:p>
    <w:p w:rsidR="00123455" w:rsidRDefault="00123455">
      <w:pPr>
        <w:pStyle w:val="Zkladntext"/>
        <w:rPr>
          <w:sz w:val="24"/>
        </w:rPr>
      </w:pPr>
    </w:p>
    <w:p w:rsidR="00123455" w:rsidRDefault="00123455">
      <w:pPr>
        <w:pStyle w:val="Zkladntext"/>
        <w:spacing w:before="3"/>
        <w:rPr>
          <w:sz w:val="31"/>
        </w:rPr>
      </w:pPr>
    </w:p>
    <w:p w:rsidR="00123455" w:rsidRDefault="00E9192C">
      <w:pPr>
        <w:pStyle w:val="Odstavecseseznamem"/>
        <w:numPr>
          <w:ilvl w:val="0"/>
          <w:numId w:val="18"/>
        </w:numPr>
        <w:tabs>
          <w:tab w:val="left" w:pos="480"/>
        </w:tabs>
        <w:spacing w:after="5"/>
        <w:ind w:left="232" w:right="223" w:firstLine="0"/>
        <w:jc w:val="left"/>
      </w:pPr>
      <w:r>
        <w:t>Peníze, ceniny a cennosti vlastní v příručních pokladnách (uzamykatelná plná schránka) – pojištění se sjednává na 1.</w:t>
      </w:r>
      <w:r>
        <w:rPr>
          <w:spacing w:val="-5"/>
        </w:rPr>
        <w:t xml:space="preserve"> </w:t>
      </w:r>
      <w:r>
        <w:t>riziko</w:t>
      </w:r>
    </w:p>
    <w:tbl>
      <w:tblPr>
        <w:tblStyle w:val="TableNormal"/>
        <w:tblW w:w="0" w:type="auto"/>
        <w:tblInd w:w="182" w:type="dxa"/>
        <w:tblBorders>
          <w:top w:val="nil"/>
          <w:left w:val="nil"/>
          <w:bottom w:val="nil"/>
          <w:right w:val="nil"/>
          <w:insideH w:val="nil"/>
          <w:insideV w:val="nil"/>
        </w:tblBorders>
        <w:tblLayout w:type="fixed"/>
        <w:tblLook w:val="01E0" w:firstRow="1" w:lastRow="1" w:firstColumn="1" w:lastColumn="1" w:noHBand="0" w:noVBand="0"/>
      </w:tblPr>
      <w:tblGrid>
        <w:gridCol w:w="2673"/>
        <w:gridCol w:w="3148"/>
        <w:gridCol w:w="2449"/>
      </w:tblGrid>
      <w:tr w:rsidR="00123455">
        <w:trPr>
          <w:trHeight w:hRule="exact" w:val="251"/>
        </w:trPr>
        <w:tc>
          <w:tcPr>
            <w:tcW w:w="2673" w:type="dxa"/>
          </w:tcPr>
          <w:p w:rsidR="00123455" w:rsidRDefault="00E9192C">
            <w:pPr>
              <w:pStyle w:val="TableParagraph"/>
              <w:spacing w:line="247" w:lineRule="exact"/>
              <w:ind w:left="50"/>
            </w:pPr>
            <w:r>
              <w:t>pojistná částka v Kč</w:t>
            </w:r>
          </w:p>
        </w:tc>
        <w:tc>
          <w:tcPr>
            <w:tcW w:w="3148" w:type="dxa"/>
          </w:tcPr>
          <w:p w:rsidR="00123455" w:rsidRDefault="00E9192C">
            <w:pPr>
              <w:pStyle w:val="TableParagraph"/>
              <w:spacing w:line="247" w:lineRule="exact"/>
              <w:ind w:left="675"/>
            </w:pPr>
            <w:r>
              <w:t>pojistná hodnota</w:t>
            </w:r>
          </w:p>
        </w:tc>
        <w:tc>
          <w:tcPr>
            <w:tcW w:w="2449" w:type="dxa"/>
          </w:tcPr>
          <w:p w:rsidR="00123455" w:rsidRDefault="00E9192C">
            <w:pPr>
              <w:pStyle w:val="TableParagraph"/>
              <w:spacing w:line="247" w:lineRule="exact"/>
              <w:ind w:left="854"/>
            </w:pPr>
            <w:r>
              <w:t>spoluúčast v Kč</w:t>
            </w:r>
          </w:p>
        </w:tc>
      </w:tr>
      <w:tr w:rsidR="00123455">
        <w:trPr>
          <w:trHeight w:hRule="exact" w:val="251"/>
        </w:trPr>
        <w:tc>
          <w:tcPr>
            <w:tcW w:w="2673" w:type="dxa"/>
          </w:tcPr>
          <w:p w:rsidR="00123455" w:rsidRDefault="00E9192C">
            <w:pPr>
              <w:pStyle w:val="TableParagraph"/>
              <w:spacing w:line="250" w:lineRule="exact"/>
              <w:ind w:left="50"/>
            </w:pPr>
            <w:r>
              <w:t>100.000</w:t>
            </w:r>
          </w:p>
        </w:tc>
        <w:tc>
          <w:tcPr>
            <w:tcW w:w="3148" w:type="dxa"/>
          </w:tcPr>
          <w:p w:rsidR="00123455" w:rsidRDefault="00E9192C">
            <w:pPr>
              <w:pStyle w:val="TableParagraph"/>
              <w:spacing w:line="250" w:lineRule="exact"/>
              <w:ind w:left="675"/>
            </w:pPr>
            <w:r>
              <w:t>pojistná částka</w:t>
            </w:r>
          </w:p>
        </w:tc>
        <w:tc>
          <w:tcPr>
            <w:tcW w:w="2449" w:type="dxa"/>
          </w:tcPr>
          <w:p w:rsidR="00123455" w:rsidRDefault="00E9192C">
            <w:pPr>
              <w:pStyle w:val="TableParagraph"/>
              <w:spacing w:line="250" w:lineRule="exact"/>
              <w:ind w:left="854"/>
            </w:pPr>
            <w:r>
              <w:t>viz níže</w:t>
            </w:r>
          </w:p>
        </w:tc>
      </w:tr>
      <w:tr w:rsidR="00123455">
        <w:trPr>
          <w:trHeight w:hRule="exact" w:val="506"/>
        </w:trPr>
        <w:tc>
          <w:tcPr>
            <w:tcW w:w="8269" w:type="dxa"/>
            <w:gridSpan w:val="3"/>
          </w:tcPr>
          <w:p w:rsidR="00123455" w:rsidRDefault="00123455">
            <w:pPr>
              <w:pStyle w:val="TableParagraph"/>
            </w:pPr>
          </w:p>
          <w:p w:rsidR="00123455" w:rsidRDefault="00E9192C">
            <w:pPr>
              <w:pStyle w:val="TableParagraph"/>
              <w:ind w:left="50"/>
            </w:pPr>
            <w:r>
              <w:t>4. Peníze, ceniny a cennosti vlastní v trezoru - pojištění se sjednává na 1. riziko</w:t>
            </w:r>
          </w:p>
        </w:tc>
      </w:tr>
      <w:tr w:rsidR="00123455">
        <w:trPr>
          <w:trHeight w:hRule="exact" w:val="255"/>
        </w:trPr>
        <w:tc>
          <w:tcPr>
            <w:tcW w:w="2673" w:type="dxa"/>
          </w:tcPr>
          <w:p w:rsidR="00123455" w:rsidRDefault="00E9192C">
            <w:pPr>
              <w:pStyle w:val="TableParagraph"/>
              <w:spacing w:line="247" w:lineRule="exact"/>
              <w:ind w:left="50"/>
            </w:pPr>
            <w:r>
              <w:t>pojistná částka v Kč</w:t>
            </w:r>
          </w:p>
        </w:tc>
        <w:tc>
          <w:tcPr>
            <w:tcW w:w="3148" w:type="dxa"/>
          </w:tcPr>
          <w:p w:rsidR="00123455" w:rsidRDefault="00E9192C">
            <w:pPr>
              <w:pStyle w:val="TableParagraph"/>
              <w:spacing w:line="247" w:lineRule="exact"/>
              <w:ind w:left="675"/>
            </w:pPr>
            <w:r>
              <w:t>pojistná hodnota</w:t>
            </w:r>
          </w:p>
        </w:tc>
        <w:tc>
          <w:tcPr>
            <w:tcW w:w="2449" w:type="dxa"/>
          </w:tcPr>
          <w:p w:rsidR="00123455" w:rsidRDefault="00E9192C">
            <w:pPr>
              <w:pStyle w:val="TableParagraph"/>
              <w:spacing w:line="247" w:lineRule="exact"/>
              <w:ind w:left="854"/>
            </w:pPr>
            <w:r>
              <w:t>spoluúčast v Kč</w:t>
            </w:r>
          </w:p>
        </w:tc>
      </w:tr>
      <w:tr w:rsidR="00123455">
        <w:trPr>
          <w:trHeight w:hRule="exact" w:val="249"/>
        </w:trPr>
        <w:tc>
          <w:tcPr>
            <w:tcW w:w="2673" w:type="dxa"/>
          </w:tcPr>
          <w:p w:rsidR="00123455" w:rsidRDefault="00E9192C">
            <w:pPr>
              <w:pStyle w:val="TableParagraph"/>
              <w:spacing w:line="249" w:lineRule="exact"/>
              <w:ind w:left="50"/>
            </w:pPr>
            <w:r>
              <w:t>300.000</w:t>
            </w:r>
          </w:p>
        </w:tc>
        <w:tc>
          <w:tcPr>
            <w:tcW w:w="3148" w:type="dxa"/>
          </w:tcPr>
          <w:p w:rsidR="00123455" w:rsidRDefault="00E9192C">
            <w:pPr>
              <w:pStyle w:val="TableParagraph"/>
              <w:spacing w:line="249" w:lineRule="exact"/>
              <w:ind w:left="675"/>
            </w:pPr>
            <w:r>
              <w:t>pojistná částka</w:t>
            </w:r>
          </w:p>
        </w:tc>
        <w:tc>
          <w:tcPr>
            <w:tcW w:w="2449" w:type="dxa"/>
          </w:tcPr>
          <w:p w:rsidR="00123455" w:rsidRDefault="00E9192C">
            <w:pPr>
              <w:pStyle w:val="TableParagraph"/>
              <w:spacing w:line="249" w:lineRule="exact"/>
              <w:ind w:left="854"/>
            </w:pPr>
            <w:r>
              <w:t>viz níže</w:t>
            </w:r>
          </w:p>
        </w:tc>
      </w:tr>
      <w:tr w:rsidR="00123455">
        <w:trPr>
          <w:trHeight w:hRule="exact" w:val="506"/>
        </w:trPr>
        <w:tc>
          <w:tcPr>
            <w:tcW w:w="8269" w:type="dxa"/>
            <w:gridSpan w:val="3"/>
          </w:tcPr>
          <w:p w:rsidR="00123455" w:rsidRDefault="00123455">
            <w:pPr>
              <w:pStyle w:val="TableParagraph"/>
            </w:pPr>
          </w:p>
          <w:p w:rsidR="00123455" w:rsidRDefault="00E9192C">
            <w:pPr>
              <w:pStyle w:val="TableParagraph"/>
              <w:ind w:left="50"/>
            </w:pPr>
            <w:r>
              <w:t>5. Náklady na obnovu dat na jejich nosičích - pojištění se sjednává na 1. riziko</w:t>
            </w:r>
          </w:p>
        </w:tc>
      </w:tr>
      <w:tr w:rsidR="00123455">
        <w:trPr>
          <w:trHeight w:hRule="exact" w:val="257"/>
        </w:trPr>
        <w:tc>
          <w:tcPr>
            <w:tcW w:w="2673" w:type="dxa"/>
          </w:tcPr>
          <w:p w:rsidR="00123455" w:rsidRDefault="00E9192C">
            <w:pPr>
              <w:pStyle w:val="TableParagraph"/>
              <w:spacing w:line="247" w:lineRule="exact"/>
              <w:ind w:left="50"/>
            </w:pPr>
            <w:r>
              <w:t>pojistná částka v Kč</w:t>
            </w:r>
          </w:p>
        </w:tc>
        <w:tc>
          <w:tcPr>
            <w:tcW w:w="3148" w:type="dxa"/>
          </w:tcPr>
          <w:p w:rsidR="00123455" w:rsidRDefault="00E9192C">
            <w:pPr>
              <w:pStyle w:val="TableParagraph"/>
              <w:spacing w:line="247" w:lineRule="exact"/>
              <w:ind w:left="675"/>
            </w:pPr>
            <w:r>
              <w:t>pojistná hodnota</w:t>
            </w:r>
          </w:p>
        </w:tc>
        <w:tc>
          <w:tcPr>
            <w:tcW w:w="2449" w:type="dxa"/>
          </w:tcPr>
          <w:p w:rsidR="00123455" w:rsidRDefault="00E9192C">
            <w:pPr>
              <w:pStyle w:val="TableParagraph"/>
              <w:spacing w:line="247" w:lineRule="exact"/>
              <w:ind w:left="854"/>
            </w:pPr>
            <w:r>
              <w:t>spoluúčast v Kč</w:t>
            </w:r>
          </w:p>
        </w:tc>
      </w:tr>
      <w:tr w:rsidR="00123455">
        <w:trPr>
          <w:trHeight w:hRule="exact" w:val="249"/>
        </w:trPr>
        <w:tc>
          <w:tcPr>
            <w:tcW w:w="2673" w:type="dxa"/>
          </w:tcPr>
          <w:p w:rsidR="00123455" w:rsidRDefault="00E9192C">
            <w:pPr>
              <w:pStyle w:val="TableParagraph"/>
              <w:spacing w:line="249" w:lineRule="exact"/>
              <w:ind w:left="50"/>
            </w:pPr>
            <w:r>
              <w:t>1.000.000</w:t>
            </w:r>
          </w:p>
        </w:tc>
        <w:tc>
          <w:tcPr>
            <w:tcW w:w="3148" w:type="dxa"/>
          </w:tcPr>
          <w:p w:rsidR="00123455" w:rsidRDefault="00E9192C">
            <w:pPr>
              <w:pStyle w:val="TableParagraph"/>
              <w:spacing w:line="249" w:lineRule="exact"/>
              <w:ind w:left="675"/>
            </w:pPr>
            <w:r>
              <w:t>pojistná částka</w:t>
            </w:r>
          </w:p>
        </w:tc>
        <w:tc>
          <w:tcPr>
            <w:tcW w:w="2449" w:type="dxa"/>
          </w:tcPr>
          <w:p w:rsidR="00123455" w:rsidRDefault="00E9192C">
            <w:pPr>
              <w:pStyle w:val="TableParagraph"/>
              <w:spacing w:line="249" w:lineRule="exact"/>
              <w:ind w:left="854"/>
            </w:pPr>
            <w:r>
              <w:t>viz níže</w:t>
            </w:r>
          </w:p>
        </w:tc>
      </w:tr>
    </w:tbl>
    <w:p w:rsidR="00123455" w:rsidRDefault="00123455">
      <w:pPr>
        <w:pStyle w:val="Zkladntext"/>
      </w:pPr>
    </w:p>
    <w:p w:rsidR="00123455" w:rsidRDefault="00E9192C">
      <w:pPr>
        <w:pStyle w:val="Zkladntext"/>
        <w:ind w:left="232" w:right="500"/>
      </w:pPr>
      <w:r>
        <w:t>6. Stavební součásti budov (kamery, dešťové svody apod.) pevně připevněné zvnějšku na pojištěných budovách - pojištění se sjednává na 1. riziko</w:t>
      </w:r>
    </w:p>
    <w:p w:rsidR="00123455" w:rsidRDefault="00E9192C">
      <w:pPr>
        <w:pStyle w:val="Zkladntext"/>
        <w:tabs>
          <w:tab w:val="left" w:pos="3530"/>
          <w:tab w:val="left" w:pos="6857"/>
        </w:tabs>
        <w:spacing w:before="1" w:line="253" w:lineRule="exact"/>
        <w:ind w:left="232"/>
        <w:jc w:val="both"/>
      </w:pPr>
      <w:r>
        <w:t>pojistná částka</w:t>
      </w:r>
      <w:r>
        <w:rPr>
          <w:spacing w:val="-2"/>
        </w:rPr>
        <w:t xml:space="preserve"> </w:t>
      </w:r>
      <w:r>
        <w:t>v</w:t>
      </w:r>
      <w:r>
        <w:rPr>
          <w:spacing w:val="-1"/>
        </w:rPr>
        <w:t xml:space="preserve"> </w:t>
      </w:r>
      <w:r>
        <w:t>Kč</w:t>
      </w:r>
      <w:r>
        <w:tab/>
        <w:t>pojistná</w:t>
      </w:r>
      <w:r>
        <w:rPr>
          <w:spacing w:val="-2"/>
        </w:rPr>
        <w:t xml:space="preserve"> </w:t>
      </w:r>
      <w:r>
        <w:t>hodnota</w:t>
      </w:r>
      <w:r>
        <w:tab/>
        <w:t>spoluúčast v Kč</w:t>
      </w:r>
    </w:p>
    <w:p w:rsidR="00123455" w:rsidRDefault="00E9192C">
      <w:pPr>
        <w:pStyle w:val="Zkladntext"/>
        <w:tabs>
          <w:tab w:val="left" w:pos="3530"/>
          <w:tab w:val="left" w:pos="6857"/>
        </w:tabs>
        <w:ind w:left="232"/>
        <w:jc w:val="both"/>
      </w:pPr>
      <w:r>
        <w:t>1.000.000</w:t>
      </w:r>
      <w:r>
        <w:tab/>
        <w:t>nová cena</w:t>
      </w:r>
      <w:r>
        <w:tab/>
        <w:t>viz</w:t>
      </w:r>
      <w:r>
        <w:rPr>
          <w:spacing w:val="1"/>
        </w:rPr>
        <w:t xml:space="preserve"> </w:t>
      </w:r>
      <w:r>
        <w:t>níže</w:t>
      </w:r>
    </w:p>
    <w:p w:rsidR="00123455" w:rsidRDefault="00123455">
      <w:pPr>
        <w:pStyle w:val="Zkladntext"/>
      </w:pPr>
    </w:p>
    <w:p w:rsidR="00123455" w:rsidRDefault="00E9192C">
      <w:pPr>
        <w:pStyle w:val="Zkladntext"/>
        <w:ind w:left="232" w:right="500"/>
      </w:pPr>
      <w:r>
        <w:t>Pojištění se vztahuje i na náklady na hašení, likvidaci trosek, vyklizení, zbourání po pojistné dle smluvního ujednání viz níže a na další náklady spojené s pojistnou událostí uvedené viz níže.</w:t>
      </w:r>
    </w:p>
    <w:p w:rsidR="00123455" w:rsidRDefault="00123455">
      <w:pPr>
        <w:sectPr w:rsidR="00123455">
          <w:pgSz w:w="11920" w:h="16840"/>
          <w:pgMar w:top="3120" w:right="620" w:bottom="1980" w:left="620" w:header="1798" w:footer="1785" w:gutter="0"/>
          <w:cols w:space="720"/>
        </w:sectPr>
      </w:pPr>
    </w:p>
    <w:p w:rsidR="00123455" w:rsidRDefault="00123455">
      <w:pPr>
        <w:pStyle w:val="Zkladntext"/>
        <w:spacing w:before="5"/>
        <w:rPr>
          <w:sz w:val="15"/>
        </w:rPr>
      </w:pPr>
    </w:p>
    <w:tbl>
      <w:tblPr>
        <w:tblStyle w:val="TableNormal"/>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7"/>
        <w:gridCol w:w="2069"/>
      </w:tblGrid>
      <w:tr w:rsidR="00123455">
        <w:trPr>
          <w:trHeight w:hRule="exact" w:val="264"/>
        </w:trPr>
        <w:tc>
          <w:tcPr>
            <w:tcW w:w="5617" w:type="dxa"/>
            <w:tcBorders>
              <w:bottom w:val="single" w:sz="4" w:space="0" w:color="7E7E7E"/>
            </w:tcBorders>
          </w:tcPr>
          <w:p w:rsidR="00123455" w:rsidRDefault="00E9192C">
            <w:pPr>
              <w:pStyle w:val="TableParagraph"/>
              <w:ind w:left="770"/>
              <w:rPr>
                <w:b/>
              </w:rPr>
            </w:pPr>
            <w:r>
              <w:rPr>
                <w:b/>
              </w:rPr>
              <w:t>Limity plnění a pojištění na první riziko</w:t>
            </w:r>
          </w:p>
        </w:tc>
        <w:tc>
          <w:tcPr>
            <w:tcW w:w="2069" w:type="dxa"/>
            <w:tcBorders>
              <w:bottom w:val="single" w:sz="4" w:space="0" w:color="7E7E7E"/>
            </w:tcBorders>
          </w:tcPr>
          <w:p w:rsidR="00123455" w:rsidRDefault="00E9192C">
            <w:pPr>
              <w:pStyle w:val="TableParagraph"/>
              <w:ind w:left="410"/>
              <w:rPr>
                <w:b/>
              </w:rPr>
            </w:pPr>
            <w:r>
              <w:rPr>
                <w:b/>
              </w:rPr>
              <w:t>Limit plnění</w:t>
            </w:r>
          </w:p>
        </w:tc>
      </w:tr>
      <w:tr w:rsidR="00123455">
        <w:trPr>
          <w:trHeight w:hRule="exact" w:val="262"/>
        </w:trPr>
        <w:tc>
          <w:tcPr>
            <w:tcW w:w="5617" w:type="dxa"/>
            <w:tcBorders>
              <w:top w:val="single" w:sz="4" w:space="0" w:color="7E7E7E"/>
            </w:tcBorders>
          </w:tcPr>
          <w:p w:rsidR="00123455" w:rsidRDefault="00E9192C">
            <w:pPr>
              <w:pStyle w:val="TableParagraph"/>
              <w:ind w:left="100"/>
            </w:pPr>
            <w:r>
              <w:t>Soubor lehkých staveb a přístřešků na 1. riziko</w:t>
            </w:r>
          </w:p>
        </w:tc>
        <w:tc>
          <w:tcPr>
            <w:tcW w:w="2069" w:type="dxa"/>
            <w:tcBorders>
              <w:top w:val="single" w:sz="4" w:space="0" w:color="7E7E7E"/>
            </w:tcBorders>
          </w:tcPr>
          <w:p w:rsidR="00123455" w:rsidRDefault="00E9192C">
            <w:pPr>
              <w:pStyle w:val="TableParagraph"/>
              <w:ind w:right="103"/>
              <w:jc w:val="right"/>
            </w:pPr>
            <w:r>
              <w:t>1 000 000 Kč</w:t>
            </w:r>
          </w:p>
        </w:tc>
      </w:tr>
      <w:tr w:rsidR="00123455">
        <w:trPr>
          <w:trHeight w:hRule="exact" w:val="264"/>
        </w:trPr>
        <w:tc>
          <w:tcPr>
            <w:tcW w:w="5617" w:type="dxa"/>
          </w:tcPr>
          <w:p w:rsidR="00123455" w:rsidRDefault="00E9192C">
            <w:pPr>
              <w:pStyle w:val="TableParagraph"/>
              <w:ind w:left="100"/>
            </w:pPr>
            <w:r>
              <w:t>Soubor zásob, vlastních a cizích na 1. riziko</w:t>
            </w:r>
          </w:p>
        </w:tc>
        <w:tc>
          <w:tcPr>
            <w:tcW w:w="2069" w:type="dxa"/>
          </w:tcPr>
          <w:p w:rsidR="00123455" w:rsidRDefault="00E9192C">
            <w:pPr>
              <w:pStyle w:val="TableParagraph"/>
              <w:ind w:right="103"/>
              <w:jc w:val="right"/>
            </w:pPr>
            <w:r>
              <w:t>5 000 000 Kč</w:t>
            </w:r>
          </w:p>
        </w:tc>
      </w:tr>
      <w:tr w:rsidR="00123455">
        <w:trPr>
          <w:trHeight w:hRule="exact" w:val="262"/>
        </w:trPr>
        <w:tc>
          <w:tcPr>
            <w:tcW w:w="5617" w:type="dxa"/>
          </w:tcPr>
          <w:p w:rsidR="00123455" w:rsidRDefault="00E9192C">
            <w:pPr>
              <w:pStyle w:val="TableParagraph"/>
              <w:ind w:left="100"/>
            </w:pPr>
            <w:r>
              <w:t>Náklady na čištění drenáží nebo odpadů</w:t>
            </w:r>
          </w:p>
        </w:tc>
        <w:tc>
          <w:tcPr>
            <w:tcW w:w="2069" w:type="dxa"/>
          </w:tcPr>
          <w:p w:rsidR="00123455" w:rsidRDefault="00E9192C">
            <w:pPr>
              <w:pStyle w:val="TableParagraph"/>
              <w:ind w:right="101"/>
              <w:jc w:val="right"/>
            </w:pPr>
            <w:r>
              <w:t>100 000 Kč</w:t>
            </w:r>
          </w:p>
        </w:tc>
      </w:tr>
      <w:tr w:rsidR="00123455">
        <w:trPr>
          <w:trHeight w:hRule="exact" w:val="518"/>
        </w:trPr>
        <w:tc>
          <w:tcPr>
            <w:tcW w:w="5617" w:type="dxa"/>
          </w:tcPr>
          <w:p w:rsidR="00123455" w:rsidRDefault="00E9192C">
            <w:pPr>
              <w:pStyle w:val="TableParagraph"/>
              <w:spacing w:before="2" w:line="252" w:lineRule="exact"/>
              <w:ind w:left="100"/>
            </w:pPr>
            <w:r>
              <w:t>Náklady na dokumentaci a náklady spojené</w:t>
            </w:r>
          </w:p>
          <w:p w:rsidR="00123455" w:rsidRDefault="00E9192C">
            <w:pPr>
              <w:pStyle w:val="TableParagraph"/>
              <w:spacing w:line="252" w:lineRule="exact"/>
              <w:ind w:left="100"/>
            </w:pPr>
            <w:r>
              <w:t>s přípravou podkladů pro likvidaci pojistných událostí</w:t>
            </w:r>
          </w:p>
        </w:tc>
        <w:tc>
          <w:tcPr>
            <w:tcW w:w="2069" w:type="dxa"/>
          </w:tcPr>
          <w:p w:rsidR="00123455" w:rsidRDefault="00E9192C">
            <w:pPr>
              <w:pStyle w:val="TableParagraph"/>
              <w:spacing w:before="2"/>
              <w:ind w:right="101"/>
              <w:jc w:val="right"/>
            </w:pPr>
            <w:r>
              <w:t>500 000 Kč</w:t>
            </w:r>
          </w:p>
        </w:tc>
      </w:tr>
    </w:tbl>
    <w:p w:rsidR="00123455" w:rsidRDefault="00123455">
      <w:pPr>
        <w:pStyle w:val="Zkladntext"/>
        <w:spacing w:before="9"/>
        <w:rPr>
          <w:sz w:val="13"/>
        </w:rPr>
      </w:pPr>
    </w:p>
    <w:p w:rsidR="00123455" w:rsidRDefault="00E9192C">
      <w:pPr>
        <w:pStyle w:val="Nadpis2"/>
        <w:spacing w:before="94" w:line="240" w:lineRule="auto"/>
      </w:pPr>
      <w:r>
        <w:t>Roční limity pojistného plnění:</w:t>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3260"/>
      </w:tblGrid>
      <w:tr w:rsidR="00123455">
        <w:trPr>
          <w:trHeight w:hRule="exact" w:val="264"/>
        </w:trPr>
        <w:tc>
          <w:tcPr>
            <w:tcW w:w="5389" w:type="dxa"/>
            <w:tcBorders>
              <w:bottom w:val="single" w:sz="4" w:space="0" w:color="7E7E7E"/>
            </w:tcBorders>
          </w:tcPr>
          <w:p w:rsidR="00123455" w:rsidRDefault="00E9192C">
            <w:pPr>
              <w:pStyle w:val="TableParagraph"/>
              <w:spacing w:before="2"/>
              <w:ind w:left="1699"/>
              <w:rPr>
                <w:b/>
              </w:rPr>
            </w:pPr>
            <w:r>
              <w:rPr>
                <w:b/>
              </w:rPr>
              <w:t>Pojistná nebezpečí</w:t>
            </w:r>
          </w:p>
        </w:tc>
        <w:tc>
          <w:tcPr>
            <w:tcW w:w="3260" w:type="dxa"/>
            <w:tcBorders>
              <w:bottom w:val="single" w:sz="4" w:space="0" w:color="7E7E7E"/>
            </w:tcBorders>
          </w:tcPr>
          <w:p w:rsidR="00123455" w:rsidRDefault="00E9192C">
            <w:pPr>
              <w:pStyle w:val="TableParagraph"/>
              <w:spacing w:before="2"/>
              <w:ind w:left="532"/>
              <w:rPr>
                <w:b/>
              </w:rPr>
            </w:pPr>
            <w:r>
              <w:rPr>
                <w:b/>
              </w:rPr>
              <w:t>Roční limit plnění Kč</w:t>
            </w:r>
          </w:p>
        </w:tc>
      </w:tr>
      <w:tr w:rsidR="00123455">
        <w:trPr>
          <w:trHeight w:hRule="exact" w:val="264"/>
        </w:trPr>
        <w:tc>
          <w:tcPr>
            <w:tcW w:w="5389" w:type="dxa"/>
            <w:tcBorders>
              <w:top w:val="single" w:sz="4" w:space="0" w:color="7E7E7E"/>
            </w:tcBorders>
          </w:tcPr>
          <w:p w:rsidR="00123455" w:rsidRDefault="00E9192C">
            <w:pPr>
              <w:pStyle w:val="TableParagraph"/>
              <w:ind w:left="103"/>
            </w:pPr>
            <w:r>
              <w:t>Flexa</w:t>
            </w:r>
          </w:p>
        </w:tc>
        <w:tc>
          <w:tcPr>
            <w:tcW w:w="3260" w:type="dxa"/>
            <w:tcBorders>
              <w:top w:val="single" w:sz="4" w:space="0" w:color="7E7E7E"/>
            </w:tcBorders>
          </w:tcPr>
          <w:p w:rsidR="00123455" w:rsidRDefault="00E9192C">
            <w:pPr>
              <w:pStyle w:val="TableParagraph"/>
              <w:ind w:right="101"/>
              <w:jc w:val="right"/>
            </w:pPr>
            <w:r>
              <w:t>3.000.000.000 Kč</w:t>
            </w:r>
          </w:p>
        </w:tc>
      </w:tr>
      <w:tr w:rsidR="00123455">
        <w:trPr>
          <w:trHeight w:hRule="exact" w:val="262"/>
        </w:trPr>
        <w:tc>
          <w:tcPr>
            <w:tcW w:w="5389" w:type="dxa"/>
          </w:tcPr>
          <w:p w:rsidR="00123455" w:rsidRDefault="00E9192C">
            <w:pPr>
              <w:pStyle w:val="TableParagraph"/>
              <w:ind w:left="103"/>
            </w:pPr>
            <w:r>
              <w:t>Vodovodní škody</w:t>
            </w:r>
          </w:p>
        </w:tc>
        <w:tc>
          <w:tcPr>
            <w:tcW w:w="3260" w:type="dxa"/>
          </w:tcPr>
          <w:p w:rsidR="00123455" w:rsidRDefault="00E9192C">
            <w:pPr>
              <w:pStyle w:val="TableParagraph"/>
              <w:ind w:right="104"/>
              <w:jc w:val="right"/>
            </w:pPr>
            <w:r>
              <w:t>200.000.000 Kč</w:t>
            </w:r>
          </w:p>
        </w:tc>
      </w:tr>
      <w:tr w:rsidR="00123455">
        <w:trPr>
          <w:trHeight w:hRule="exact" w:val="264"/>
        </w:trPr>
        <w:tc>
          <w:tcPr>
            <w:tcW w:w="5389" w:type="dxa"/>
          </w:tcPr>
          <w:p w:rsidR="00123455" w:rsidRDefault="00E9192C">
            <w:pPr>
              <w:pStyle w:val="TableParagraph"/>
              <w:ind w:left="103"/>
            </w:pPr>
            <w:r>
              <w:t>Vichřice a krupobití</w:t>
            </w:r>
          </w:p>
        </w:tc>
        <w:tc>
          <w:tcPr>
            <w:tcW w:w="3260" w:type="dxa"/>
          </w:tcPr>
          <w:p w:rsidR="00123455" w:rsidRDefault="00E9192C">
            <w:pPr>
              <w:pStyle w:val="TableParagraph"/>
              <w:ind w:right="101"/>
              <w:jc w:val="right"/>
            </w:pPr>
            <w:r>
              <w:t>50.000.000 Kč</w:t>
            </w:r>
          </w:p>
        </w:tc>
      </w:tr>
      <w:tr w:rsidR="00123455">
        <w:trPr>
          <w:trHeight w:hRule="exact" w:val="262"/>
        </w:trPr>
        <w:tc>
          <w:tcPr>
            <w:tcW w:w="5389" w:type="dxa"/>
          </w:tcPr>
          <w:p w:rsidR="00123455" w:rsidRDefault="00E9192C">
            <w:pPr>
              <w:pStyle w:val="TableParagraph"/>
              <w:ind w:left="103"/>
            </w:pPr>
            <w:r>
              <w:t>Povodeň a záplava, zemětřesení</w:t>
            </w:r>
          </w:p>
        </w:tc>
        <w:tc>
          <w:tcPr>
            <w:tcW w:w="3260" w:type="dxa"/>
          </w:tcPr>
          <w:p w:rsidR="00123455" w:rsidRDefault="00E9192C">
            <w:pPr>
              <w:pStyle w:val="TableParagraph"/>
              <w:ind w:right="104"/>
              <w:jc w:val="right"/>
            </w:pPr>
            <w:r>
              <w:t>150.000.000 Kč</w:t>
            </w:r>
          </w:p>
        </w:tc>
      </w:tr>
      <w:tr w:rsidR="00123455">
        <w:trPr>
          <w:trHeight w:hRule="exact" w:val="264"/>
        </w:trPr>
        <w:tc>
          <w:tcPr>
            <w:tcW w:w="5389" w:type="dxa"/>
          </w:tcPr>
          <w:p w:rsidR="00123455" w:rsidRDefault="00E9192C">
            <w:pPr>
              <w:pStyle w:val="TableParagraph"/>
              <w:ind w:left="103"/>
            </w:pPr>
            <w:r>
              <w:t>Atmosférické srážky, vlivy, zatečení</w:t>
            </w:r>
          </w:p>
        </w:tc>
        <w:tc>
          <w:tcPr>
            <w:tcW w:w="3260" w:type="dxa"/>
          </w:tcPr>
          <w:p w:rsidR="00123455" w:rsidRDefault="00E9192C">
            <w:pPr>
              <w:pStyle w:val="TableParagraph"/>
              <w:ind w:right="100"/>
              <w:jc w:val="right"/>
            </w:pPr>
            <w:r>
              <w:t>200 000 Kč</w:t>
            </w:r>
          </w:p>
        </w:tc>
      </w:tr>
      <w:tr w:rsidR="00123455">
        <w:trPr>
          <w:trHeight w:hRule="exact" w:val="262"/>
        </w:trPr>
        <w:tc>
          <w:tcPr>
            <w:tcW w:w="5389" w:type="dxa"/>
          </w:tcPr>
          <w:p w:rsidR="00123455" w:rsidRDefault="00E9192C">
            <w:pPr>
              <w:pStyle w:val="TableParagraph"/>
              <w:ind w:left="103"/>
            </w:pPr>
            <w:r>
              <w:t>Zpětné vystoupnutí vody z kanalizace</w:t>
            </w:r>
          </w:p>
        </w:tc>
        <w:tc>
          <w:tcPr>
            <w:tcW w:w="3260" w:type="dxa"/>
          </w:tcPr>
          <w:p w:rsidR="00123455" w:rsidRDefault="00E9192C">
            <w:pPr>
              <w:pStyle w:val="TableParagraph"/>
              <w:ind w:right="101"/>
              <w:jc w:val="right"/>
            </w:pPr>
            <w:r>
              <w:t>20.000.000 Kč</w:t>
            </w:r>
          </w:p>
        </w:tc>
      </w:tr>
      <w:tr w:rsidR="00123455">
        <w:trPr>
          <w:trHeight w:hRule="exact" w:val="770"/>
        </w:trPr>
        <w:tc>
          <w:tcPr>
            <w:tcW w:w="5389" w:type="dxa"/>
          </w:tcPr>
          <w:p w:rsidR="00123455" w:rsidRDefault="00E9192C">
            <w:pPr>
              <w:pStyle w:val="TableParagraph"/>
              <w:spacing w:before="2"/>
              <w:ind w:left="103"/>
            </w:pPr>
            <w:r>
              <w:t>Nepřímý úder blesku, elektronické poruchy v sítí, zejména zkrat, přepětí, anebo podpětí a indukce</w:t>
            </w:r>
          </w:p>
        </w:tc>
        <w:tc>
          <w:tcPr>
            <w:tcW w:w="3260" w:type="dxa"/>
          </w:tcPr>
          <w:p w:rsidR="00123455" w:rsidRDefault="00E9192C">
            <w:pPr>
              <w:pStyle w:val="TableParagraph"/>
              <w:spacing w:before="2"/>
              <w:ind w:right="101"/>
              <w:jc w:val="right"/>
            </w:pPr>
            <w:r>
              <w:t>10 000 000 Kč</w:t>
            </w:r>
          </w:p>
        </w:tc>
      </w:tr>
      <w:tr w:rsidR="00123455">
        <w:trPr>
          <w:trHeight w:hRule="exact" w:val="516"/>
        </w:trPr>
        <w:tc>
          <w:tcPr>
            <w:tcW w:w="5389" w:type="dxa"/>
          </w:tcPr>
          <w:p w:rsidR="00123455" w:rsidRDefault="00E9192C">
            <w:pPr>
              <w:pStyle w:val="TableParagraph"/>
              <w:ind w:left="103" w:right="854"/>
            </w:pPr>
            <w:r>
              <w:t>Náklady na hašení, likvidaci trosek, vyklizení, zbourání</w:t>
            </w:r>
          </w:p>
        </w:tc>
        <w:tc>
          <w:tcPr>
            <w:tcW w:w="3260" w:type="dxa"/>
          </w:tcPr>
          <w:p w:rsidR="00123455" w:rsidRDefault="00E9192C">
            <w:pPr>
              <w:pStyle w:val="TableParagraph"/>
              <w:ind w:right="101"/>
              <w:jc w:val="right"/>
            </w:pPr>
            <w:r>
              <w:t>50 000 000 Kč</w:t>
            </w:r>
          </w:p>
        </w:tc>
      </w:tr>
      <w:tr w:rsidR="00123455">
        <w:trPr>
          <w:trHeight w:hRule="exact" w:val="516"/>
        </w:trPr>
        <w:tc>
          <w:tcPr>
            <w:tcW w:w="5389" w:type="dxa"/>
          </w:tcPr>
          <w:p w:rsidR="00123455" w:rsidRDefault="00E9192C">
            <w:pPr>
              <w:pStyle w:val="TableParagraph"/>
              <w:ind w:left="103"/>
            </w:pPr>
            <w:r>
              <w:t>Limity plnění uvedené ve smluvních ujednáních</w:t>
            </w:r>
          </w:p>
        </w:tc>
        <w:tc>
          <w:tcPr>
            <w:tcW w:w="3260" w:type="dxa"/>
          </w:tcPr>
          <w:p w:rsidR="00123455" w:rsidRDefault="00E9192C">
            <w:pPr>
              <w:pStyle w:val="TableParagraph"/>
              <w:ind w:right="102"/>
              <w:jc w:val="right"/>
            </w:pPr>
            <w:r>
              <w:t>dle smluvních ujednání</w:t>
            </w:r>
          </w:p>
        </w:tc>
      </w:tr>
      <w:tr w:rsidR="00123455">
        <w:trPr>
          <w:trHeight w:hRule="exact" w:val="264"/>
        </w:trPr>
        <w:tc>
          <w:tcPr>
            <w:tcW w:w="5389" w:type="dxa"/>
          </w:tcPr>
          <w:p w:rsidR="00123455" w:rsidRDefault="00E9192C">
            <w:pPr>
              <w:pStyle w:val="TableParagraph"/>
              <w:ind w:left="103"/>
            </w:pPr>
            <w:r>
              <w:t>Ostatní neuvedená nebezpečí</w:t>
            </w:r>
          </w:p>
        </w:tc>
        <w:tc>
          <w:tcPr>
            <w:tcW w:w="3260" w:type="dxa"/>
          </w:tcPr>
          <w:p w:rsidR="00123455" w:rsidRDefault="00E9192C">
            <w:pPr>
              <w:pStyle w:val="TableParagraph"/>
              <w:ind w:right="101"/>
              <w:jc w:val="right"/>
            </w:pPr>
            <w:r>
              <w:t>100 000 000 Kč</w:t>
            </w:r>
          </w:p>
        </w:tc>
      </w:tr>
    </w:tbl>
    <w:p w:rsidR="00123455" w:rsidRDefault="00123455">
      <w:pPr>
        <w:pStyle w:val="Zkladntext"/>
        <w:spacing w:before="9"/>
        <w:rPr>
          <w:b/>
          <w:sz w:val="21"/>
        </w:rPr>
      </w:pPr>
    </w:p>
    <w:p w:rsidR="00123455" w:rsidRDefault="00E9192C">
      <w:pPr>
        <w:pStyle w:val="Zkladntext"/>
        <w:ind w:left="112" w:right="93"/>
      </w:pPr>
      <w:r>
        <w:t>Výše uvedené maximální limity plnění platí pro jednu a všechny pojistné události nastalé během jednoho pojistného roku.</w:t>
      </w:r>
    </w:p>
    <w:p w:rsidR="00123455" w:rsidRDefault="00123455">
      <w:pPr>
        <w:pStyle w:val="Zkladntext"/>
      </w:pPr>
    </w:p>
    <w:p w:rsidR="00123455" w:rsidRDefault="00E9192C">
      <w:pPr>
        <w:pStyle w:val="Nadpis2"/>
        <w:spacing w:after="52" w:line="240" w:lineRule="auto"/>
        <w:ind w:left="395"/>
      </w:pPr>
      <w:r>
        <w:t>Spoluúčasti:</w:t>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977"/>
      </w:tblGrid>
      <w:tr w:rsidR="00123455">
        <w:trPr>
          <w:trHeight w:hRule="exact" w:val="262"/>
        </w:trPr>
        <w:tc>
          <w:tcPr>
            <w:tcW w:w="5389" w:type="dxa"/>
            <w:tcBorders>
              <w:bottom w:val="single" w:sz="4" w:space="0" w:color="7E7E7E"/>
            </w:tcBorders>
          </w:tcPr>
          <w:p w:rsidR="00123455" w:rsidRDefault="00E9192C">
            <w:pPr>
              <w:pStyle w:val="TableParagraph"/>
              <w:ind w:left="103"/>
            </w:pPr>
            <w:r>
              <w:t>Živelní nebezpečí</w:t>
            </w:r>
          </w:p>
        </w:tc>
        <w:tc>
          <w:tcPr>
            <w:tcW w:w="2977" w:type="dxa"/>
            <w:tcBorders>
              <w:bottom w:val="single" w:sz="4" w:space="0" w:color="7E7E7E"/>
            </w:tcBorders>
          </w:tcPr>
          <w:p w:rsidR="00123455" w:rsidRDefault="00E9192C">
            <w:pPr>
              <w:pStyle w:val="TableParagraph"/>
              <w:ind w:right="100"/>
              <w:jc w:val="right"/>
            </w:pPr>
            <w:r>
              <w:t>100 000 Kč</w:t>
            </w:r>
          </w:p>
        </w:tc>
      </w:tr>
      <w:tr w:rsidR="00123455">
        <w:trPr>
          <w:trHeight w:hRule="exact" w:val="1022"/>
        </w:trPr>
        <w:tc>
          <w:tcPr>
            <w:tcW w:w="5389" w:type="dxa"/>
            <w:tcBorders>
              <w:top w:val="single" w:sz="4" w:space="0" w:color="7E7E7E"/>
            </w:tcBorders>
          </w:tcPr>
          <w:p w:rsidR="00123455" w:rsidRDefault="00E9192C">
            <w:pPr>
              <w:pStyle w:val="TableParagraph"/>
              <w:spacing w:before="2"/>
              <w:ind w:left="103" w:right="353"/>
            </w:pPr>
            <w:r>
              <w:t>Atmosférické srážky, nepřímý úder blesku, elektronické poruchy v sítí, zejména zkrat, přepětí, anebo podpětí a indukce,</w:t>
            </w:r>
          </w:p>
          <w:p w:rsidR="00123455" w:rsidRDefault="00E9192C">
            <w:pPr>
              <w:pStyle w:val="TableParagraph"/>
              <w:spacing w:before="1"/>
              <w:ind w:left="103"/>
            </w:pPr>
            <w:r>
              <w:t>zatečení</w:t>
            </w:r>
          </w:p>
        </w:tc>
        <w:tc>
          <w:tcPr>
            <w:tcW w:w="2977" w:type="dxa"/>
            <w:tcBorders>
              <w:top w:val="single" w:sz="4" w:space="0" w:color="7E7E7E"/>
            </w:tcBorders>
          </w:tcPr>
          <w:p w:rsidR="00123455" w:rsidRDefault="00E9192C">
            <w:pPr>
              <w:pStyle w:val="TableParagraph"/>
              <w:spacing w:before="2"/>
              <w:ind w:right="100"/>
              <w:jc w:val="right"/>
            </w:pPr>
            <w:r>
              <w:t>1 000 Kč</w:t>
            </w:r>
          </w:p>
        </w:tc>
      </w:tr>
      <w:tr w:rsidR="00123455">
        <w:trPr>
          <w:trHeight w:hRule="exact" w:val="1023"/>
        </w:trPr>
        <w:tc>
          <w:tcPr>
            <w:tcW w:w="5389" w:type="dxa"/>
          </w:tcPr>
          <w:p w:rsidR="00123455" w:rsidRDefault="00E9192C">
            <w:pPr>
              <w:pStyle w:val="TableParagraph"/>
              <w:ind w:left="103"/>
            </w:pPr>
            <w:r>
              <w:t>Vodovodní škody</w:t>
            </w:r>
          </w:p>
        </w:tc>
        <w:tc>
          <w:tcPr>
            <w:tcW w:w="2977" w:type="dxa"/>
          </w:tcPr>
          <w:p w:rsidR="00123455" w:rsidRDefault="00E9192C">
            <w:pPr>
              <w:pStyle w:val="TableParagraph"/>
              <w:ind w:right="100"/>
              <w:jc w:val="right"/>
            </w:pPr>
            <w:r>
              <w:t>100 000 Kč pro škody na</w:t>
            </w:r>
          </w:p>
          <w:p w:rsidR="00123455" w:rsidRDefault="00E9192C">
            <w:pPr>
              <w:pStyle w:val="TableParagraph"/>
              <w:spacing w:before="2"/>
              <w:ind w:left="194" w:right="101" w:firstLine="1051"/>
              <w:jc w:val="right"/>
            </w:pPr>
            <w:r>
              <w:t>technologii – pro výzkumnou technologii, pro ostatní škody 10 000 Kč</w:t>
            </w:r>
          </w:p>
        </w:tc>
      </w:tr>
      <w:tr w:rsidR="00123455">
        <w:trPr>
          <w:trHeight w:hRule="exact" w:val="516"/>
        </w:trPr>
        <w:tc>
          <w:tcPr>
            <w:tcW w:w="5389" w:type="dxa"/>
          </w:tcPr>
          <w:p w:rsidR="00123455" w:rsidRDefault="00E9192C">
            <w:pPr>
              <w:pStyle w:val="TableParagraph"/>
              <w:ind w:left="103"/>
            </w:pPr>
            <w:r>
              <w:t>Povodeň a záplava</w:t>
            </w:r>
          </w:p>
        </w:tc>
        <w:tc>
          <w:tcPr>
            <w:tcW w:w="2977" w:type="dxa"/>
          </w:tcPr>
          <w:p w:rsidR="00123455" w:rsidRDefault="00E9192C">
            <w:pPr>
              <w:pStyle w:val="TableParagraph"/>
              <w:ind w:left="107"/>
            </w:pPr>
            <w:r>
              <w:t>5% z pojistného plnění, min.</w:t>
            </w:r>
          </w:p>
          <w:p w:rsidR="00123455" w:rsidRDefault="00E9192C">
            <w:pPr>
              <w:pStyle w:val="TableParagraph"/>
              <w:spacing w:before="1"/>
              <w:ind w:left="1747"/>
            </w:pPr>
            <w:r>
              <w:t>100 000 Kč</w:t>
            </w:r>
          </w:p>
        </w:tc>
      </w:tr>
      <w:tr w:rsidR="00123455">
        <w:trPr>
          <w:trHeight w:hRule="exact" w:val="516"/>
        </w:trPr>
        <w:tc>
          <w:tcPr>
            <w:tcW w:w="5389" w:type="dxa"/>
          </w:tcPr>
          <w:p w:rsidR="00123455" w:rsidRDefault="00E9192C">
            <w:pPr>
              <w:pStyle w:val="TableParagraph"/>
              <w:ind w:left="103" w:right="474"/>
            </w:pPr>
            <w:r>
              <w:t>Zpětné vystoupnutí vody z kanalizace v důsledku vodovodních škod</w:t>
            </w:r>
          </w:p>
        </w:tc>
        <w:tc>
          <w:tcPr>
            <w:tcW w:w="2977" w:type="dxa"/>
          </w:tcPr>
          <w:p w:rsidR="00123455" w:rsidRDefault="00E9192C">
            <w:pPr>
              <w:pStyle w:val="TableParagraph"/>
              <w:ind w:right="100"/>
              <w:jc w:val="right"/>
            </w:pPr>
            <w:r>
              <w:t>100 000 Kč</w:t>
            </w:r>
          </w:p>
        </w:tc>
      </w:tr>
      <w:tr w:rsidR="00123455">
        <w:trPr>
          <w:trHeight w:hRule="exact" w:val="264"/>
        </w:trPr>
        <w:tc>
          <w:tcPr>
            <w:tcW w:w="5389" w:type="dxa"/>
            <w:tcBorders>
              <w:bottom w:val="single" w:sz="4" w:space="0" w:color="7E7E7E"/>
            </w:tcBorders>
          </w:tcPr>
          <w:p w:rsidR="00123455" w:rsidRDefault="00E9192C">
            <w:pPr>
              <w:pStyle w:val="TableParagraph"/>
              <w:ind w:left="103"/>
            </w:pPr>
            <w:r>
              <w:t>Ostatní nebezpečí</w:t>
            </w:r>
          </w:p>
        </w:tc>
        <w:tc>
          <w:tcPr>
            <w:tcW w:w="2977" w:type="dxa"/>
            <w:tcBorders>
              <w:bottom w:val="single" w:sz="4" w:space="0" w:color="7E7E7E"/>
            </w:tcBorders>
          </w:tcPr>
          <w:p w:rsidR="00123455" w:rsidRDefault="00E9192C">
            <w:pPr>
              <w:pStyle w:val="TableParagraph"/>
              <w:ind w:right="102"/>
              <w:jc w:val="right"/>
            </w:pPr>
            <w:r>
              <w:t>100 000 Kč</w:t>
            </w:r>
          </w:p>
        </w:tc>
      </w:tr>
    </w:tbl>
    <w:p w:rsidR="00123455" w:rsidRDefault="00123455">
      <w:pPr>
        <w:jc w:val="right"/>
        <w:sectPr w:rsidR="00123455">
          <w:pgSz w:w="11920" w:h="16840"/>
          <w:pgMar w:top="3120" w:right="780" w:bottom="1980" w:left="740" w:header="1798" w:footer="1785" w:gutter="0"/>
          <w:cols w:space="720"/>
        </w:sectPr>
      </w:pPr>
    </w:p>
    <w:p w:rsidR="00123455" w:rsidRDefault="00E9192C">
      <w:pPr>
        <w:spacing w:before="178"/>
        <w:ind w:left="112" w:right="894"/>
        <w:rPr>
          <w:b/>
        </w:rPr>
      </w:pPr>
      <w:r>
        <w:rPr>
          <w:b/>
        </w:rPr>
        <w:lastRenderedPageBreak/>
        <w:t>Pro pojištění odcizení a vandalismu se sjednávají v rámci pojištění ALLRISK níže uvedené pojistné částky:</w:t>
      </w:r>
    </w:p>
    <w:p w:rsidR="00123455" w:rsidRDefault="00E9192C">
      <w:pPr>
        <w:pStyle w:val="Odstavecseseznamem"/>
        <w:numPr>
          <w:ilvl w:val="0"/>
          <w:numId w:val="17"/>
        </w:numPr>
        <w:tabs>
          <w:tab w:val="left" w:pos="819"/>
        </w:tabs>
        <w:spacing w:before="6" w:line="252" w:lineRule="exact"/>
        <w:ind w:right="101" w:hanging="360"/>
        <w:rPr>
          <w:rFonts w:ascii="Calibri Light" w:hAnsi="Calibri Light"/>
          <w:sz w:val="20"/>
        </w:rPr>
      </w:pPr>
      <w:r>
        <w:t>odchylně od VPP se pojištění krádeže vztahuje i na škody pohřešováním pojištěné věci bez zabezpečení zámkem a bez překonání jiné překážky (prostá</w:t>
      </w:r>
      <w:r>
        <w:rPr>
          <w:spacing w:val="-8"/>
        </w:rPr>
        <w:t xml:space="preserve"> </w:t>
      </w:r>
      <w:r>
        <w:t>krádež)</w:t>
      </w:r>
    </w:p>
    <w:p w:rsidR="00123455" w:rsidRDefault="00E9192C">
      <w:pPr>
        <w:pStyle w:val="Odstavecseseznamem"/>
        <w:numPr>
          <w:ilvl w:val="0"/>
          <w:numId w:val="17"/>
        </w:numPr>
        <w:tabs>
          <w:tab w:val="left" w:pos="817"/>
          <w:tab w:val="left" w:pos="819"/>
        </w:tabs>
        <w:spacing w:line="255" w:lineRule="exact"/>
        <w:ind w:left="818"/>
        <w:jc w:val="left"/>
        <w:rPr>
          <w:rFonts w:ascii="Calibri Light" w:hAnsi="Calibri Light"/>
          <w:sz w:val="20"/>
        </w:rPr>
      </w:pPr>
      <w:r>
        <w:t>pojištění se vztahuje i na náklady na výměnu zámků po pojistné</w:t>
      </w:r>
      <w:r>
        <w:rPr>
          <w:spacing w:val="-14"/>
        </w:rPr>
        <w:t xml:space="preserve"> </w:t>
      </w:r>
      <w:r>
        <w:t>události</w:t>
      </w:r>
    </w:p>
    <w:p w:rsidR="00123455" w:rsidRDefault="00E9192C">
      <w:pPr>
        <w:pStyle w:val="Nadpis2"/>
        <w:numPr>
          <w:ilvl w:val="0"/>
          <w:numId w:val="17"/>
        </w:numPr>
        <w:tabs>
          <w:tab w:val="left" w:pos="819"/>
        </w:tabs>
        <w:spacing w:before="1" w:line="235" w:lineRule="auto"/>
        <w:ind w:right="102" w:hanging="360"/>
        <w:jc w:val="both"/>
        <w:rPr>
          <w:rFonts w:ascii="Calibri Light" w:hAnsi="Calibri Light"/>
        </w:rPr>
      </w:pPr>
      <w:r>
        <w:t>pojištění se vztahuje i na škody způsobené nebezpečím odcizení s územní platností svět (mimo lokality na území ČR anebo Evropa, která pojistník / pojištěný po právu používá, nebo se na nich nachází jeho předmět pojištění) na maximální roční sublimit pojistného plnění ve výši 500.000 Kč se spoluúčastí 5.000</w:t>
      </w:r>
      <w:r>
        <w:rPr>
          <w:spacing w:val="-7"/>
        </w:rPr>
        <w:t xml:space="preserve"> </w:t>
      </w:r>
      <w:r>
        <w:t>Kč</w:t>
      </w:r>
    </w:p>
    <w:p w:rsidR="00123455" w:rsidRDefault="00123455">
      <w:pPr>
        <w:pStyle w:val="Zkladntext"/>
        <w:rPr>
          <w:b/>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9"/>
        <w:gridCol w:w="1988"/>
        <w:gridCol w:w="1402"/>
      </w:tblGrid>
      <w:tr w:rsidR="00123455">
        <w:trPr>
          <w:trHeight w:hRule="exact" w:val="768"/>
        </w:trPr>
        <w:tc>
          <w:tcPr>
            <w:tcW w:w="3289" w:type="dxa"/>
            <w:tcBorders>
              <w:bottom w:val="single" w:sz="4" w:space="0" w:color="7E7E7E"/>
            </w:tcBorders>
          </w:tcPr>
          <w:p w:rsidR="00123455" w:rsidRDefault="00E9192C">
            <w:pPr>
              <w:pStyle w:val="TableParagraph"/>
              <w:ind w:left="648"/>
              <w:rPr>
                <w:b/>
              </w:rPr>
            </w:pPr>
            <w:r>
              <w:rPr>
                <w:b/>
              </w:rPr>
              <w:t>Pojistné nebezpečí</w:t>
            </w:r>
          </w:p>
        </w:tc>
        <w:tc>
          <w:tcPr>
            <w:tcW w:w="1988" w:type="dxa"/>
            <w:tcBorders>
              <w:bottom w:val="single" w:sz="4" w:space="0" w:color="7E7E7E"/>
            </w:tcBorders>
          </w:tcPr>
          <w:p w:rsidR="00123455" w:rsidRDefault="00E9192C">
            <w:pPr>
              <w:pStyle w:val="TableParagraph"/>
              <w:ind w:left="374" w:right="332" w:hanging="41"/>
              <w:jc w:val="both"/>
              <w:rPr>
                <w:b/>
              </w:rPr>
            </w:pPr>
            <w:r>
              <w:rPr>
                <w:b/>
              </w:rPr>
              <w:t>Limit plnění- pojištění na první riziko</w:t>
            </w:r>
          </w:p>
        </w:tc>
        <w:tc>
          <w:tcPr>
            <w:tcW w:w="1402" w:type="dxa"/>
            <w:tcBorders>
              <w:bottom w:val="single" w:sz="4" w:space="0" w:color="7E7E7E"/>
            </w:tcBorders>
          </w:tcPr>
          <w:p w:rsidR="00123455" w:rsidRDefault="00E9192C">
            <w:pPr>
              <w:pStyle w:val="TableParagraph"/>
              <w:ind w:right="101"/>
              <w:jc w:val="right"/>
              <w:rPr>
                <w:b/>
              </w:rPr>
            </w:pPr>
            <w:r>
              <w:rPr>
                <w:b/>
              </w:rPr>
              <w:t>Spoluúčast</w:t>
            </w:r>
          </w:p>
        </w:tc>
      </w:tr>
      <w:tr w:rsidR="00123455">
        <w:trPr>
          <w:trHeight w:hRule="exact" w:val="1529"/>
        </w:trPr>
        <w:tc>
          <w:tcPr>
            <w:tcW w:w="3289" w:type="dxa"/>
            <w:tcBorders>
              <w:top w:val="single" w:sz="4" w:space="0" w:color="7E7E7E"/>
            </w:tcBorders>
          </w:tcPr>
          <w:p w:rsidR="00123455" w:rsidRDefault="00E9192C">
            <w:pPr>
              <w:pStyle w:val="TableParagraph"/>
              <w:ind w:left="103" w:right="429"/>
            </w:pPr>
            <w:r>
              <w:t>Krádež vloupáním a loupež, prostý vandalismus, vandalismus v souvislosti</w:t>
            </w:r>
          </w:p>
          <w:p w:rsidR="00123455" w:rsidRDefault="00E9192C">
            <w:pPr>
              <w:pStyle w:val="TableParagraph"/>
              <w:spacing w:before="1"/>
              <w:ind w:left="103" w:right="209"/>
            </w:pPr>
            <w:r>
              <w:t>s krádeží vloupáním (zjištěný i nezjištěný pachatel, grafity / sprejeři)</w:t>
            </w:r>
          </w:p>
        </w:tc>
        <w:tc>
          <w:tcPr>
            <w:tcW w:w="1988" w:type="dxa"/>
            <w:tcBorders>
              <w:top w:val="single" w:sz="4" w:space="0" w:color="7E7E7E"/>
            </w:tcBorders>
          </w:tcPr>
          <w:p w:rsidR="00123455" w:rsidRDefault="00E9192C">
            <w:pPr>
              <w:pStyle w:val="TableParagraph"/>
              <w:ind w:right="102"/>
              <w:jc w:val="right"/>
            </w:pPr>
            <w:r>
              <w:t>10 000 000 Kč</w:t>
            </w:r>
          </w:p>
        </w:tc>
        <w:tc>
          <w:tcPr>
            <w:tcW w:w="1402" w:type="dxa"/>
            <w:tcBorders>
              <w:top w:val="single" w:sz="4" w:space="0" w:color="7E7E7E"/>
            </w:tcBorders>
          </w:tcPr>
          <w:p w:rsidR="00123455" w:rsidRDefault="00E9192C">
            <w:pPr>
              <w:pStyle w:val="TableParagraph"/>
              <w:ind w:right="100"/>
              <w:jc w:val="right"/>
            </w:pPr>
            <w:r>
              <w:t>5 000 Kč</w:t>
            </w:r>
          </w:p>
        </w:tc>
      </w:tr>
      <w:tr w:rsidR="00123455">
        <w:trPr>
          <w:trHeight w:hRule="exact" w:val="516"/>
        </w:trPr>
        <w:tc>
          <w:tcPr>
            <w:tcW w:w="3289" w:type="dxa"/>
          </w:tcPr>
          <w:p w:rsidR="00123455" w:rsidRDefault="00E9192C">
            <w:pPr>
              <w:pStyle w:val="TableParagraph"/>
              <w:ind w:left="103" w:right="454"/>
            </w:pPr>
            <w:r>
              <w:t>Prostá krádež, prostá ztráta věci</w:t>
            </w:r>
          </w:p>
        </w:tc>
        <w:tc>
          <w:tcPr>
            <w:tcW w:w="1988" w:type="dxa"/>
          </w:tcPr>
          <w:p w:rsidR="00123455" w:rsidRDefault="00E9192C">
            <w:pPr>
              <w:pStyle w:val="TableParagraph"/>
              <w:ind w:right="101"/>
              <w:jc w:val="right"/>
            </w:pPr>
            <w:r>
              <w:t>100 000 Kč</w:t>
            </w:r>
          </w:p>
        </w:tc>
        <w:tc>
          <w:tcPr>
            <w:tcW w:w="1402" w:type="dxa"/>
          </w:tcPr>
          <w:p w:rsidR="00123455" w:rsidRDefault="00E9192C">
            <w:pPr>
              <w:pStyle w:val="TableParagraph"/>
              <w:ind w:right="100"/>
              <w:jc w:val="right"/>
            </w:pPr>
            <w:r>
              <w:t>5 000 Kč</w:t>
            </w:r>
          </w:p>
        </w:tc>
      </w:tr>
      <w:tr w:rsidR="00123455">
        <w:trPr>
          <w:trHeight w:hRule="exact" w:val="264"/>
        </w:trPr>
        <w:tc>
          <w:tcPr>
            <w:tcW w:w="3289" w:type="dxa"/>
            <w:tcBorders>
              <w:bottom w:val="single" w:sz="4" w:space="0" w:color="7E7E7E"/>
            </w:tcBorders>
          </w:tcPr>
          <w:p w:rsidR="00123455" w:rsidRDefault="00E9192C">
            <w:pPr>
              <w:pStyle w:val="TableParagraph"/>
              <w:ind w:left="103"/>
            </w:pPr>
            <w:r>
              <w:t>Náklady na výměnu zámků</w:t>
            </w:r>
          </w:p>
        </w:tc>
        <w:tc>
          <w:tcPr>
            <w:tcW w:w="1988" w:type="dxa"/>
            <w:tcBorders>
              <w:bottom w:val="single" w:sz="4" w:space="0" w:color="7E7E7E"/>
            </w:tcBorders>
          </w:tcPr>
          <w:p w:rsidR="00123455" w:rsidRDefault="00E9192C">
            <w:pPr>
              <w:pStyle w:val="TableParagraph"/>
              <w:ind w:right="101"/>
              <w:jc w:val="right"/>
            </w:pPr>
            <w:r>
              <w:t>500 000 Kč</w:t>
            </w:r>
          </w:p>
        </w:tc>
        <w:tc>
          <w:tcPr>
            <w:tcW w:w="1402" w:type="dxa"/>
            <w:tcBorders>
              <w:bottom w:val="single" w:sz="4" w:space="0" w:color="7E7E7E"/>
            </w:tcBorders>
          </w:tcPr>
          <w:p w:rsidR="00123455" w:rsidRDefault="00E9192C">
            <w:pPr>
              <w:pStyle w:val="TableParagraph"/>
              <w:ind w:right="102"/>
              <w:jc w:val="right"/>
            </w:pPr>
            <w:r>
              <w:t>----</w:t>
            </w:r>
          </w:p>
        </w:tc>
      </w:tr>
    </w:tbl>
    <w:p w:rsidR="00123455" w:rsidRDefault="00123455">
      <w:pPr>
        <w:pStyle w:val="Zkladntext"/>
        <w:spacing w:before="10"/>
        <w:rPr>
          <w:b/>
          <w:sz w:val="21"/>
        </w:rPr>
      </w:pPr>
    </w:p>
    <w:p w:rsidR="00123455" w:rsidRDefault="00E9192C">
      <w:pPr>
        <w:ind w:left="112"/>
      </w:pPr>
      <w:r>
        <w:rPr>
          <w:b/>
        </w:rPr>
        <w:t xml:space="preserve">Poškození nebo zničení skla </w:t>
      </w:r>
      <w:r>
        <w:t>- v rozsahu VPP UCZ/Skl/14</w:t>
      </w:r>
    </w:p>
    <w:p w:rsidR="00123455" w:rsidRDefault="00123455">
      <w:pPr>
        <w:pStyle w:val="Zkladntext"/>
        <w:spacing w:before="2"/>
      </w:pPr>
    </w:p>
    <w:p w:rsidR="00123455" w:rsidRDefault="00E9192C">
      <w:pPr>
        <w:pStyle w:val="Zkladntext"/>
        <w:ind w:left="112"/>
      </w:pPr>
      <w:r>
        <w:t>Pojištění se vztahuje i na nutné náklady související s pojistnou událostí jako jsou např.</w:t>
      </w:r>
    </w:p>
    <w:p w:rsidR="00123455" w:rsidRDefault="00E9192C">
      <w:pPr>
        <w:pStyle w:val="Odstavecseseznamem"/>
        <w:numPr>
          <w:ilvl w:val="0"/>
          <w:numId w:val="16"/>
        </w:numPr>
        <w:tabs>
          <w:tab w:val="left" w:pos="819"/>
        </w:tabs>
        <w:spacing w:before="80" w:line="256" w:lineRule="auto"/>
        <w:ind w:right="108"/>
      </w:pPr>
      <w:r>
        <w:t>náklady na speciální povrchovou úpravu (např. nátěr, malba, písmo, lept nebo jiné dekorace včetně skleněných písmen</w:t>
      </w:r>
      <w:r>
        <w:rPr>
          <w:spacing w:val="-6"/>
        </w:rPr>
        <w:t xml:space="preserve"> </w:t>
      </w:r>
      <w:r>
        <w:t>apod.);</w:t>
      </w:r>
    </w:p>
    <w:p w:rsidR="00123455" w:rsidRDefault="00E9192C">
      <w:pPr>
        <w:pStyle w:val="Odstavecseseznamem"/>
        <w:numPr>
          <w:ilvl w:val="0"/>
          <w:numId w:val="16"/>
        </w:numPr>
        <w:tabs>
          <w:tab w:val="left" w:pos="832"/>
          <w:tab w:val="left" w:pos="833"/>
        </w:tabs>
        <w:spacing w:before="63"/>
        <w:ind w:left="832" w:hanging="360"/>
        <w:jc w:val="left"/>
      </w:pPr>
      <w:r>
        <w:t>náklady na provizorní</w:t>
      </w:r>
      <w:r>
        <w:rPr>
          <w:spacing w:val="-4"/>
        </w:rPr>
        <w:t xml:space="preserve"> </w:t>
      </w:r>
      <w:r>
        <w:t>opravu;</w:t>
      </w:r>
    </w:p>
    <w:p w:rsidR="00123455" w:rsidRDefault="00E9192C">
      <w:pPr>
        <w:pStyle w:val="Odstavecseseznamem"/>
        <w:numPr>
          <w:ilvl w:val="0"/>
          <w:numId w:val="16"/>
        </w:numPr>
        <w:tabs>
          <w:tab w:val="left" w:pos="832"/>
          <w:tab w:val="left" w:pos="833"/>
        </w:tabs>
        <w:spacing w:before="80"/>
        <w:ind w:left="832" w:hanging="360"/>
        <w:jc w:val="left"/>
      </w:pPr>
      <w:r>
        <w:t>náklady na lešení nebo jiné pomocné prostředky nutné k provedení</w:t>
      </w:r>
      <w:r>
        <w:rPr>
          <w:spacing w:val="-15"/>
        </w:rPr>
        <w:t xml:space="preserve"> </w:t>
      </w:r>
      <w:r>
        <w:t>opravy;</w:t>
      </w:r>
    </w:p>
    <w:p w:rsidR="00123455" w:rsidRDefault="00E9192C">
      <w:pPr>
        <w:pStyle w:val="Odstavecseseznamem"/>
        <w:numPr>
          <w:ilvl w:val="0"/>
          <w:numId w:val="16"/>
        </w:numPr>
        <w:tabs>
          <w:tab w:val="left" w:pos="819"/>
        </w:tabs>
        <w:spacing w:before="80" w:line="259" w:lineRule="auto"/>
        <w:ind w:right="108"/>
      </w:pPr>
      <w:r>
        <w:t>na montáž a demontáž nutnou k provedení nouzového či opravy (např. ochranných mříží, markýz, uzávěrů oken</w:t>
      </w:r>
      <w:r>
        <w:rPr>
          <w:spacing w:val="-4"/>
        </w:rPr>
        <w:t xml:space="preserve"> </w:t>
      </w:r>
      <w:r>
        <w:t>apod.)</w:t>
      </w:r>
    </w:p>
    <w:p w:rsidR="00123455" w:rsidRDefault="00123455">
      <w:pPr>
        <w:spacing w:line="259" w:lineRule="auto"/>
        <w:jc w:val="both"/>
        <w:sectPr w:rsidR="00123455">
          <w:pgSz w:w="11920" w:h="16840"/>
          <w:pgMar w:top="3120" w:right="740" w:bottom="1980" w:left="740" w:header="1798" w:footer="1785" w:gutter="0"/>
          <w:cols w:space="720"/>
        </w:sectPr>
      </w:pPr>
    </w:p>
    <w:p w:rsidR="00123455" w:rsidRDefault="00123455">
      <w:pPr>
        <w:pStyle w:val="Zkladntext"/>
        <w:spacing w:before="5"/>
        <w:rPr>
          <w:sz w:val="15"/>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2"/>
        <w:gridCol w:w="1196"/>
        <w:gridCol w:w="1402"/>
      </w:tblGrid>
      <w:tr w:rsidR="00123455">
        <w:trPr>
          <w:trHeight w:hRule="exact" w:val="1274"/>
        </w:trPr>
        <w:tc>
          <w:tcPr>
            <w:tcW w:w="6702" w:type="dxa"/>
            <w:tcBorders>
              <w:bottom w:val="single" w:sz="4" w:space="0" w:color="7E7E7E"/>
            </w:tcBorders>
          </w:tcPr>
          <w:p w:rsidR="00123455" w:rsidRDefault="00E9192C">
            <w:pPr>
              <w:pStyle w:val="TableParagraph"/>
              <w:ind w:left="103"/>
              <w:rPr>
                <w:b/>
              </w:rPr>
            </w:pPr>
            <w:r>
              <w:rPr>
                <w:b/>
              </w:rPr>
              <w:t>Předmět pojištění</w:t>
            </w:r>
          </w:p>
        </w:tc>
        <w:tc>
          <w:tcPr>
            <w:tcW w:w="1196" w:type="dxa"/>
            <w:tcBorders>
              <w:bottom w:val="single" w:sz="4" w:space="0" w:color="7E7E7E"/>
            </w:tcBorders>
          </w:tcPr>
          <w:p w:rsidR="00123455" w:rsidRDefault="00E9192C">
            <w:pPr>
              <w:pStyle w:val="TableParagraph"/>
              <w:ind w:left="103" w:right="158"/>
              <w:rPr>
                <w:b/>
              </w:rPr>
            </w:pPr>
            <w:r>
              <w:rPr>
                <w:b/>
              </w:rPr>
              <w:t>Limit plnění – pojištění na první riziko</w:t>
            </w:r>
          </w:p>
        </w:tc>
        <w:tc>
          <w:tcPr>
            <w:tcW w:w="1402" w:type="dxa"/>
            <w:tcBorders>
              <w:bottom w:val="single" w:sz="4" w:space="0" w:color="7E7E7E"/>
            </w:tcBorders>
          </w:tcPr>
          <w:p w:rsidR="00123455" w:rsidRDefault="00E9192C">
            <w:pPr>
              <w:pStyle w:val="TableParagraph"/>
              <w:ind w:right="99"/>
              <w:jc w:val="right"/>
              <w:rPr>
                <w:b/>
              </w:rPr>
            </w:pPr>
            <w:r>
              <w:rPr>
                <w:b/>
              </w:rPr>
              <w:t>Spoluúčast</w:t>
            </w:r>
          </w:p>
        </w:tc>
      </w:tr>
      <w:tr w:rsidR="00123455">
        <w:trPr>
          <w:trHeight w:hRule="exact" w:val="3742"/>
        </w:trPr>
        <w:tc>
          <w:tcPr>
            <w:tcW w:w="6702" w:type="dxa"/>
            <w:tcBorders>
              <w:top w:val="single" w:sz="4" w:space="0" w:color="7E7E7E"/>
            </w:tcBorders>
          </w:tcPr>
          <w:p w:rsidR="00123455" w:rsidRDefault="00E9192C">
            <w:pPr>
              <w:pStyle w:val="TableParagraph"/>
              <w:spacing w:before="2"/>
              <w:ind w:left="103"/>
            </w:pPr>
            <w:r>
              <w:t>Pojištění se vztahuje</w:t>
            </w:r>
          </w:p>
          <w:p w:rsidR="00123455" w:rsidRDefault="00E9192C">
            <w:pPr>
              <w:pStyle w:val="TableParagraph"/>
              <w:numPr>
                <w:ilvl w:val="0"/>
                <w:numId w:val="15"/>
              </w:numPr>
              <w:tabs>
                <w:tab w:val="left" w:pos="823"/>
                <w:tab w:val="left" w:pos="824"/>
              </w:tabs>
              <w:spacing w:before="6" w:line="232" w:lineRule="auto"/>
              <w:ind w:right="423" w:firstLine="360"/>
            </w:pPr>
            <w:r>
              <w:t>na pevně osazená zasklení stavebních součástí budovy včetně povrchových úprav, předměty umístěné na obvodovém plášti</w:t>
            </w:r>
            <w:r>
              <w:rPr>
                <w:spacing w:val="1"/>
              </w:rPr>
              <w:t xml:space="preserve"> </w:t>
            </w:r>
            <w:r>
              <w:t>budovy</w:t>
            </w:r>
          </w:p>
          <w:p w:rsidR="00123455" w:rsidRDefault="00E9192C">
            <w:pPr>
              <w:pStyle w:val="TableParagraph"/>
              <w:ind w:left="103" w:right="652"/>
            </w:pPr>
            <w:r>
              <w:t>(např. firemní štíty, reklamní tabule, vývěsní skříňky a vitríny, osvětlení apod.).</w:t>
            </w:r>
          </w:p>
          <w:p w:rsidR="00123455" w:rsidRDefault="00E9192C">
            <w:pPr>
              <w:pStyle w:val="TableParagraph"/>
              <w:numPr>
                <w:ilvl w:val="0"/>
                <w:numId w:val="15"/>
              </w:numPr>
              <w:tabs>
                <w:tab w:val="left" w:pos="823"/>
                <w:tab w:val="left" w:pos="824"/>
              </w:tabs>
              <w:spacing w:before="3" w:line="237" w:lineRule="auto"/>
              <w:ind w:left="823" w:right="102"/>
            </w:pPr>
            <w:r>
              <w:t>Pojištění se dále vztahuje i na skleněné části věcí movitých a stavební součásti (jako např. dveře, skleněné stěny, zasklení nábytku, zrcadla, osvětlovací tělesa, sklokeramické varné plochy, dekorativní sklo, akvária apod.)</w:t>
            </w:r>
          </w:p>
          <w:p w:rsidR="00123455" w:rsidRDefault="00123455">
            <w:pPr>
              <w:pStyle w:val="TableParagraph"/>
              <w:rPr>
                <w:sz w:val="24"/>
              </w:rPr>
            </w:pPr>
          </w:p>
          <w:p w:rsidR="00123455" w:rsidRDefault="00E9192C">
            <w:pPr>
              <w:pStyle w:val="TableParagraph"/>
              <w:numPr>
                <w:ilvl w:val="0"/>
                <w:numId w:val="15"/>
              </w:numPr>
              <w:tabs>
                <w:tab w:val="left" w:pos="823"/>
                <w:tab w:val="left" w:pos="824"/>
              </w:tabs>
              <w:spacing w:before="167" w:line="252" w:lineRule="exact"/>
              <w:ind w:left="823" w:right="350"/>
            </w:pPr>
            <w:r>
              <w:t>Náklady spojené s opravou zasklení, montáž, demontáž, náklady na lešení</w:t>
            </w:r>
            <w:r>
              <w:rPr>
                <w:spacing w:val="-1"/>
              </w:rPr>
              <w:t xml:space="preserve"> </w:t>
            </w:r>
            <w:r>
              <w:t>apod</w:t>
            </w:r>
          </w:p>
        </w:tc>
        <w:tc>
          <w:tcPr>
            <w:tcW w:w="1196" w:type="dxa"/>
            <w:tcBorders>
              <w:top w:val="single" w:sz="4" w:space="0" w:color="7E7E7E"/>
            </w:tcBorders>
          </w:tcPr>
          <w:p w:rsidR="00123455" w:rsidRDefault="00E9192C">
            <w:pPr>
              <w:pStyle w:val="TableParagraph"/>
              <w:spacing w:before="2" w:line="252" w:lineRule="exact"/>
              <w:ind w:right="98"/>
              <w:jc w:val="right"/>
            </w:pPr>
            <w:r>
              <w:t>1 000 000</w:t>
            </w:r>
          </w:p>
          <w:p w:rsidR="00123455" w:rsidRDefault="00E9192C">
            <w:pPr>
              <w:pStyle w:val="TableParagraph"/>
              <w:spacing w:line="252" w:lineRule="exact"/>
              <w:ind w:right="101"/>
              <w:jc w:val="right"/>
            </w:pPr>
            <w:r>
              <w:t>Kč</w:t>
            </w:r>
          </w:p>
        </w:tc>
        <w:tc>
          <w:tcPr>
            <w:tcW w:w="1402" w:type="dxa"/>
            <w:tcBorders>
              <w:top w:val="single" w:sz="4" w:space="0" w:color="7E7E7E"/>
            </w:tcBorders>
          </w:tcPr>
          <w:p w:rsidR="00123455" w:rsidRDefault="00E9192C">
            <w:pPr>
              <w:pStyle w:val="TableParagraph"/>
              <w:spacing w:before="2"/>
              <w:ind w:right="98"/>
              <w:jc w:val="right"/>
            </w:pPr>
            <w:r>
              <w:t>1 000 Kč</w:t>
            </w:r>
          </w:p>
        </w:tc>
      </w:tr>
      <w:tr w:rsidR="00123455">
        <w:trPr>
          <w:trHeight w:hRule="exact" w:val="3598"/>
        </w:trPr>
        <w:tc>
          <w:tcPr>
            <w:tcW w:w="6702" w:type="dxa"/>
          </w:tcPr>
          <w:p w:rsidR="00123455" w:rsidRDefault="00E9192C">
            <w:pPr>
              <w:pStyle w:val="TableParagraph"/>
              <w:ind w:left="103" w:right="259"/>
            </w:pPr>
            <w:r>
              <w:t>Skleněná zrcadla (optické prvky) a jim funkčně na roveň postavené materiály určené pro použití ve výzkumné technologii, které jsou nainstalovány nebo vedeny jako zásoby, včetně jejich povrchových úprav.</w:t>
            </w:r>
          </w:p>
          <w:p w:rsidR="00123455" w:rsidRDefault="00123455">
            <w:pPr>
              <w:pStyle w:val="TableParagraph"/>
              <w:spacing w:before="9"/>
              <w:rPr>
                <w:sz w:val="21"/>
              </w:rPr>
            </w:pPr>
          </w:p>
          <w:p w:rsidR="00123455" w:rsidRDefault="00E9192C">
            <w:pPr>
              <w:pStyle w:val="TableParagraph"/>
              <w:ind w:left="103"/>
            </w:pPr>
            <w:r>
              <w:t>Nejčastěji zastoupené materiály:</w:t>
            </w:r>
          </w:p>
          <w:p w:rsidR="00123455" w:rsidRDefault="00E9192C">
            <w:pPr>
              <w:pStyle w:val="TableParagraph"/>
              <w:numPr>
                <w:ilvl w:val="0"/>
                <w:numId w:val="14"/>
              </w:numPr>
              <w:tabs>
                <w:tab w:val="left" w:pos="1531"/>
                <w:tab w:val="left" w:pos="1532"/>
              </w:tabs>
              <w:spacing w:before="20" w:line="252" w:lineRule="exact"/>
              <w:ind w:right="441"/>
              <w:rPr>
                <w:rFonts w:ascii="Symbol" w:hAnsi="Symbol"/>
                <w:b/>
              </w:rPr>
            </w:pPr>
            <w:r>
              <w:t>Fused Silica = K</w:t>
            </w:r>
            <w:r>
              <w:rPr>
                <w:b/>
              </w:rPr>
              <w:t>ř</w:t>
            </w:r>
            <w:r>
              <w:t>emenn</w:t>
            </w:r>
            <w:r>
              <w:rPr>
                <w:b/>
              </w:rPr>
              <w:t xml:space="preserve">é </w:t>
            </w:r>
            <w:r>
              <w:t>sklo s n</w:t>
            </w:r>
            <w:r>
              <w:rPr>
                <w:b/>
              </w:rPr>
              <w:t>í</w:t>
            </w:r>
            <w:r>
              <w:t>zkou tepelnou rozta</w:t>
            </w:r>
            <w:r>
              <w:rPr>
                <w:b/>
              </w:rPr>
              <w:t>ž</w:t>
            </w:r>
            <w:r>
              <w:t>nost</w:t>
            </w:r>
            <w:r>
              <w:rPr>
                <w:b/>
              </w:rPr>
              <w:t>í</w:t>
            </w:r>
          </w:p>
          <w:p w:rsidR="00123455" w:rsidRDefault="00E9192C">
            <w:pPr>
              <w:pStyle w:val="TableParagraph"/>
              <w:tabs>
                <w:tab w:val="left" w:pos="2251"/>
              </w:tabs>
              <w:spacing w:line="261" w:lineRule="exact"/>
              <w:ind w:left="1891"/>
            </w:pPr>
            <w:r>
              <w:rPr>
                <w:rFonts w:ascii="Courier New"/>
              </w:rPr>
              <w:t>o</w:t>
            </w:r>
            <w:r>
              <w:rPr>
                <w:rFonts w:ascii="Courier New"/>
              </w:rPr>
              <w:tab/>
            </w:r>
            <w:r>
              <w:t>Typicky Corning</w:t>
            </w:r>
            <w:r>
              <w:rPr>
                <w:spacing w:val="-3"/>
              </w:rPr>
              <w:t xml:space="preserve"> </w:t>
            </w:r>
            <w:r>
              <w:t>7980</w:t>
            </w:r>
          </w:p>
          <w:p w:rsidR="00123455" w:rsidRDefault="00E9192C">
            <w:pPr>
              <w:pStyle w:val="TableParagraph"/>
              <w:numPr>
                <w:ilvl w:val="0"/>
                <w:numId w:val="14"/>
              </w:numPr>
              <w:tabs>
                <w:tab w:val="left" w:pos="1531"/>
                <w:tab w:val="left" w:pos="1532"/>
              </w:tabs>
              <w:spacing w:before="10" w:line="252" w:lineRule="exact"/>
              <w:ind w:right="132"/>
              <w:rPr>
                <w:rFonts w:ascii="Symbol"/>
                <w:color w:val="0462C1"/>
              </w:rPr>
            </w:pPr>
            <w:r>
              <w:t xml:space="preserve">ULE Ultra Low Expansion Glass (firma Corning) </w:t>
            </w:r>
            <w:hyperlink r:id="rId9">
              <w:r>
                <w:rPr>
                  <w:color w:val="0462C1"/>
                  <w:spacing w:val="-1"/>
                  <w:u w:val="single" w:color="0462C1"/>
                </w:rPr>
                <w:t xml:space="preserve">https://en.wikipedia.org/wiki/Ultra_low_expansion_g </w:t>
              </w:r>
            </w:hyperlink>
            <w:hyperlink r:id="rId10">
              <w:r>
                <w:rPr>
                  <w:color w:val="0462C1"/>
                  <w:u w:val="single" w:color="0462C1"/>
                </w:rPr>
                <w:t>lass</w:t>
              </w:r>
            </w:hyperlink>
          </w:p>
          <w:p w:rsidR="00123455" w:rsidRDefault="00E9192C">
            <w:pPr>
              <w:pStyle w:val="TableParagraph"/>
              <w:numPr>
                <w:ilvl w:val="0"/>
                <w:numId w:val="14"/>
              </w:numPr>
              <w:tabs>
                <w:tab w:val="left" w:pos="1531"/>
                <w:tab w:val="left" w:pos="1532"/>
              </w:tabs>
              <w:spacing w:before="16" w:line="252" w:lineRule="exact"/>
              <w:ind w:right="524"/>
              <w:rPr>
                <w:rFonts w:ascii="Symbol" w:hAnsi="Symbol"/>
              </w:rPr>
            </w:pPr>
            <w:r>
              <w:t>Zerodur (Schott) – sklokeramika s nizkou roztaznosti</w:t>
            </w:r>
            <w:r>
              <w:rPr>
                <w:spacing w:val="-17"/>
              </w:rPr>
              <w:t xml:space="preserve"> </w:t>
            </w:r>
            <w:hyperlink r:id="rId11">
              <w:r>
                <w:rPr>
                  <w:color w:val="0462C1"/>
                  <w:u w:val="single" w:color="0462C1"/>
                </w:rPr>
                <w:t>https://en.wikipedia.org/wiki/Zerodur</w:t>
              </w:r>
            </w:hyperlink>
          </w:p>
        </w:tc>
        <w:tc>
          <w:tcPr>
            <w:tcW w:w="1196" w:type="dxa"/>
          </w:tcPr>
          <w:p w:rsidR="00123455" w:rsidRDefault="00E9192C">
            <w:pPr>
              <w:pStyle w:val="TableParagraph"/>
              <w:ind w:right="98"/>
              <w:jc w:val="right"/>
            </w:pPr>
            <w:r>
              <w:t>5 000 000</w:t>
            </w:r>
          </w:p>
          <w:p w:rsidR="00123455" w:rsidRDefault="00E9192C">
            <w:pPr>
              <w:pStyle w:val="TableParagraph"/>
              <w:spacing w:before="1"/>
              <w:ind w:right="102"/>
              <w:jc w:val="right"/>
            </w:pPr>
            <w:r>
              <w:t>Kč</w:t>
            </w:r>
          </w:p>
        </w:tc>
        <w:tc>
          <w:tcPr>
            <w:tcW w:w="1402" w:type="dxa"/>
          </w:tcPr>
          <w:p w:rsidR="00123455" w:rsidRDefault="00E9192C">
            <w:pPr>
              <w:pStyle w:val="TableParagraph"/>
              <w:ind w:right="101"/>
              <w:jc w:val="right"/>
            </w:pPr>
            <w:r>
              <w:t>10%</w:t>
            </w:r>
          </w:p>
          <w:p w:rsidR="00123455" w:rsidRDefault="00E9192C">
            <w:pPr>
              <w:pStyle w:val="TableParagraph"/>
              <w:spacing w:before="1"/>
              <w:ind w:left="151" w:right="98" w:hanging="39"/>
              <w:jc w:val="right"/>
            </w:pPr>
            <w:r>
              <w:t>z pojistného plnění, min. 50 000 Kč</w:t>
            </w:r>
          </w:p>
        </w:tc>
      </w:tr>
    </w:tbl>
    <w:p w:rsidR="00123455" w:rsidRDefault="00123455">
      <w:pPr>
        <w:pStyle w:val="Zkladntext"/>
        <w:spacing w:before="9"/>
        <w:rPr>
          <w:sz w:val="13"/>
        </w:rPr>
      </w:pPr>
    </w:p>
    <w:p w:rsidR="00123455" w:rsidRDefault="00E9192C">
      <w:pPr>
        <w:spacing w:before="94"/>
        <w:ind w:left="112"/>
      </w:pPr>
      <w:r>
        <w:rPr>
          <w:b/>
        </w:rPr>
        <w:t xml:space="preserve">Poškození nebo zničení stroje a strojních zařízení </w:t>
      </w:r>
      <w:r>
        <w:t>- v rozsahu VPP UCZ/Str/14</w:t>
      </w:r>
    </w:p>
    <w:p w:rsidR="00123455" w:rsidRDefault="00E9192C">
      <w:pPr>
        <w:spacing w:before="1"/>
        <w:ind w:left="112"/>
      </w:pPr>
      <w:r>
        <w:rPr>
          <w:b/>
        </w:rPr>
        <w:t xml:space="preserve">Poškození nebo zničení elektronických zařízení </w:t>
      </w:r>
      <w:r>
        <w:t>- v rozsahu VPP UCZ/Ele/14</w:t>
      </w:r>
    </w:p>
    <w:p w:rsidR="00123455" w:rsidRDefault="00123455">
      <w:pPr>
        <w:pStyle w:val="Zkladntext"/>
        <w:spacing w:before="2"/>
        <w:rPr>
          <w:sz w:val="26"/>
        </w:rPr>
      </w:pPr>
    </w:p>
    <w:p w:rsidR="00123455" w:rsidRDefault="00E9192C">
      <w:pPr>
        <w:pStyle w:val="Odstavecseseznamem"/>
        <w:numPr>
          <w:ilvl w:val="0"/>
          <w:numId w:val="13"/>
        </w:numPr>
        <w:tabs>
          <w:tab w:val="left" w:pos="360"/>
        </w:tabs>
        <w:ind w:right="103" w:firstLine="0"/>
      </w:pPr>
      <w:r>
        <w:t>Vědecká zařízení a stroje, lasery a další věci v majetku nebo užívání pojištěného včetně software, nosiče dat, náklady na instalaci a obnovu vč. dat / informací na nich uložených – pojištění se sjednává na 1.</w:t>
      </w:r>
      <w:r>
        <w:rPr>
          <w:spacing w:val="-2"/>
        </w:rPr>
        <w:t xml:space="preserve"> </w:t>
      </w:r>
      <w:r>
        <w:t>riziko</w:t>
      </w:r>
    </w:p>
    <w:p w:rsidR="00123455" w:rsidRDefault="00E9192C">
      <w:pPr>
        <w:pStyle w:val="Zkladntext"/>
        <w:tabs>
          <w:tab w:val="left" w:pos="3410"/>
          <w:tab w:val="left" w:pos="6737"/>
        </w:tabs>
        <w:spacing w:before="1" w:line="252" w:lineRule="exact"/>
        <w:ind w:left="112"/>
      </w:pPr>
      <w:r>
        <w:t>pojistná částka</w:t>
      </w:r>
      <w:r>
        <w:rPr>
          <w:spacing w:val="-2"/>
        </w:rPr>
        <w:t xml:space="preserve"> </w:t>
      </w:r>
      <w:r>
        <w:t>v</w:t>
      </w:r>
      <w:r>
        <w:rPr>
          <w:spacing w:val="-1"/>
        </w:rPr>
        <w:t xml:space="preserve"> </w:t>
      </w:r>
      <w:r>
        <w:t>Kč</w:t>
      </w:r>
      <w:r>
        <w:tab/>
        <w:t>pojistná</w:t>
      </w:r>
      <w:r>
        <w:rPr>
          <w:spacing w:val="-2"/>
        </w:rPr>
        <w:t xml:space="preserve"> </w:t>
      </w:r>
      <w:r>
        <w:t>hodnota</w:t>
      </w:r>
      <w:r>
        <w:tab/>
        <w:t>spoluúčast v</w:t>
      </w:r>
      <w:r>
        <w:rPr>
          <w:spacing w:val="-1"/>
        </w:rPr>
        <w:t xml:space="preserve"> </w:t>
      </w:r>
      <w:r>
        <w:t>Kč</w:t>
      </w:r>
    </w:p>
    <w:p w:rsidR="00123455" w:rsidRPr="00DA78FB" w:rsidRDefault="00E9192C">
      <w:pPr>
        <w:pStyle w:val="Zkladntext"/>
        <w:tabs>
          <w:tab w:val="left" w:pos="3410"/>
          <w:tab w:val="left" w:pos="6737"/>
        </w:tabs>
        <w:spacing w:line="252" w:lineRule="exact"/>
        <w:ind w:left="112"/>
        <w:rPr>
          <w:lang w:val="es-CO"/>
        </w:rPr>
      </w:pPr>
      <w:r w:rsidRPr="00DA78FB">
        <w:rPr>
          <w:lang w:val="es-CO"/>
        </w:rPr>
        <w:t>5.000.000</w:t>
      </w:r>
      <w:r w:rsidRPr="00DA78FB">
        <w:rPr>
          <w:lang w:val="es-CO"/>
        </w:rPr>
        <w:tab/>
        <w:t>nová cena</w:t>
      </w:r>
      <w:r w:rsidRPr="00DA78FB">
        <w:rPr>
          <w:lang w:val="es-CO"/>
        </w:rPr>
        <w:tab/>
        <w:t>10% z pojistného plnění,</w:t>
      </w:r>
      <w:r w:rsidRPr="00DA78FB">
        <w:rPr>
          <w:spacing w:val="-7"/>
          <w:lang w:val="es-CO"/>
        </w:rPr>
        <w:t xml:space="preserve"> </w:t>
      </w:r>
      <w:r w:rsidRPr="00DA78FB">
        <w:rPr>
          <w:lang w:val="es-CO"/>
        </w:rPr>
        <w:t>min.</w:t>
      </w:r>
    </w:p>
    <w:p w:rsidR="00123455" w:rsidRDefault="00E9192C">
      <w:pPr>
        <w:pStyle w:val="Zkladntext"/>
        <w:spacing w:before="1"/>
        <w:ind w:left="6737"/>
      </w:pPr>
      <w:r>
        <w:t>100.000 Kč</w:t>
      </w:r>
    </w:p>
    <w:p w:rsidR="00123455" w:rsidRDefault="00123455">
      <w:pPr>
        <w:sectPr w:rsidR="00123455">
          <w:pgSz w:w="11920" w:h="16840"/>
          <w:pgMar w:top="3120" w:right="1020" w:bottom="1980" w:left="740" w:header="1798" w:footer="1785" w:gutter="0"/>
          <w:cols w:space="720"/>
        </w:sectPr>
      </w:pPr>
    </w:p>
    <w:p w:rsidR="00123455" w:rsidRDefault="00E9192C">
      <w:pPr>
        <w:pStyle w:val="Odstavecseseznamem"/>
        <w:numPr>
          <w:ilvl w:val="0"/>
          <w:numId w:val="13"/>
        </w:numPr>
        <w:tabs>
          <w:tab w:val="left" w:pos="400"/>
        </w:tabs>
        <w:spacing w:before="178" w:after="5"/>
        <w:ind w:left="152" w:right="384" w:firstLine="0"/>
        <w:jc w:val="both"/>
      </w:pPr>
      <w:r>
        <w:t>Vlastní i cizí stacionární a přenosná elektronická zařízení, strojní a elektronická zařízení, která jsou součástí movitých, resp. nemovitých věcí (mimo vědeckých zařízení a strojů, laserů) včetně software, nosiče dat, náklady na instalaci a obnovu vč. dat / informací na nich uložených – pojištění se</w:t>
      </w:r>
      <w:r>
        <w:rPr>
          <w:spacing w:val="-22"/>
        </w:rPr>
        <w:t xml:space="preserve"> </w:t>
      </w:r>
      <w:r>
        <w:t>sjednává</w:t>
      </w:r>
    </w:p>
    <w:tbl>
      <w:tblPr>
        <w:tblStyle w:val="TableNormal"/>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2672"/>
        <w:gridCol w:w="3149"/>
        <w:gridCol w:w="2448"/>
      </w:tblGrid>
      <w:tr w:rsidR="00123455">
        <w:trPr>
          <w:trHeight w:hRule="exact" w:val="504"/>
        </w:trPr>
        <w:tc>
          <w:tcPr>
            <w:tcW w:w="2672" w:type="dxa"/>
          </w:tcPr>
          <w:p w:rsidR="00123455" w:rsidRDefault="00E9192C">
            <w:pPr>
              <w:pStyle w:val="TableParagraph"/>
              <w:spacing w:line="247" w:lineRule="exact"/>
              <w:ind w:left="50"/>
            </w:pPr>
            <w:r>
              <w:t>na 1. riziko</w:t>
            </w:r>
          </w:p>
          <w:p w:rsidR="00123455" w:rsidRDefault="00E9192C">
            <w:pPr>
              <w:pStyle w:val="TableParagraph"/>
              <w:spacing w:before="1"/>
              <w:ind w:left="50"/>
            </w:pPr>
            <w:r>
              <w:t>pojistná částka v Kč</w:t>
            </w:r>
          </w:p>
        </w:tc>
        <w:tc>
          <w:tcPr>
            <w:tcW w:w="3149" w:type="dxa"/>
          </w:tcPr>
          <w:p w:rsidR="00123455" w:rsidRDefault="00123455">
            <w:pPr>
              <w:pStyle w:val="TableParagraph"/>
              <w:spacing w:before="6"/>
              <w:rPr>
                <w:sz w:val="21"/>
              </w:rPr>
            </w:pPr>
          </w:p>
          <w:p w:rsidR="00123455" w:rsidRDefault="00E9192C">
            <w:pPr>
              <w:pStyle w:val="TableParagraph"/>
              <w:ind w:left="676"/>
            </w:pPr>
            <w:r>
              <w:t>pojistná hodnota</w:t>
            </w:r>
          </w:p>
        </w:tc>
        <w:tc>
          <w:tcPr>
            <w:tcW w:w="2448" w:type="dxa"/>
          </w:tcPr>
          <w:p w:rsidR="00123455" w:rsidRDefault="00123455">
            <w:pPr>
              <w:pStyle w:val="TableParagraph"/>
              <w:spacing w:before="6"/>
              <w:rPr>
                <w:sz w:val="21"/>
              </w:rPr>
            </w:pPr>
          </w:p>
          <w:p w:rsidR="00123455" w:rsidRDefault="00E9192C">
            <w:pPr>
              <w:pStyle w:val="TableParagraph"/>
              <w:ind w:left="854"/>
            </w:pPr>
            <w:r>
              <w:t>spoluúčast v Kč</w:t>
            </w:r>
          </w:p>
        </w:tc>
      </w:tr>
      <w:tr w:rsidR="00123455">
        <w:trPr>
          <w:trHeight w:hRule="exact" w:val="249"/>
        </w:trPr>
        <w:tc>
          <w:tcPr>
            <w:tcW w:w="2672" w:type="dxa"/>
          </w:tcPr>
          <w:p w:rsidR="00123455" w:rsidRDefault="00E9192C">
            <w:pPr>
              <w:pStyle w:val="TableParagraph"/>
              <w:spacing w:line="249" w:lineRule="exact"/>
              <w:ind w:left="50"/>
            </w:pPr>
            <w:r>
              <w:t>2.500.000</w:t>
            </w:r>
          </w:p>
        </w:tc>
        <w:tc>
          <w:tcPr>
            <w:tcW w:w="3149" w:type="dxa"/>
          </w:tcPr>
          <w:p w:rsidR="00123455" w:rsidRDefault="00E9192C">
            <w:pPr>
              <w:pStyle w:val="TableParagraph"/>
              <w:spacing w:line="249" w:lineRule="exact"/>
              <w:ind w:left="676"/>
            </w:pPr>
            <w:r>
              <w:t>nová cena</w:t>
            </w:r>
          </w:p>
        </w:tc>
        <w:tc>
          <w:tcPr>
            <w:tcW w:w="2448" w:type="dxa"/>
          </w:tcPr>
          <w:p w:rsidR="00123455" w:rsidRDefault="00E9192C">
            <w:pPr>
              <w:pStyle w:val="TableParagraph"/>
              <w:spacing w:line="249" w:lineRule="exact"/>
              <w:ind w:left="854"/>
            </w:pPr>
            <w:r>
              <w:t>5.000</w:t>
            </w:r>
          </w:p>
        </w:tc>
      </w:tr>
      <w:tr w:rsidR="00123455">
        <w:trPr>
          <w:trHeight w:hRule="exact" w:val="507"/>
        </w:trPr>
        <w:tc>
          <w:tcPr>
            <w:tcW w:w="8269" w:type="dxa"/>
            <w:gridSpan w:val="3"/>
          </w:tcPr>
          <w:p w:rsidR="00123455" w:rsidRDefault="00123455">
            <w:pPr>
              <w:pStyle w:val="TableParagraph"/>
            </w:pPr>
          </w:p>
          <w:p w:rsidR="00123455" w:rsidRDefault="00E9192C">
            <w:pPr>
              <w:pStyle w:val="TableParagraph"/>
              <w:spacing w:before="1"/>
              <w:ind w:left="50"/>
            </w:pPr>
            <w:r>
              <w:t>3. Náklady na obnovu dat – pojištění se sjednává na 1. riziko</w:t>
            </w:r>
          </w:p>
        </w:tc>
      </w:tr>
      <w:tr w:rsidR="00123455">
        <w:trPr>
          <w:trHeight w:hRule="exact" w:val="256"/>
        </w:trPr>
        <w:tc>
          <w:tcPr>
            <w:tcW w:w="2672" w:type="dxa"/>
          </w:tcPr>
          <w:p w:rsidR="00123455" w:rsidRDefault="00E9192C">
            <w:pPr>
              <w:pStyle w:val="TableParagraph"/>
              <w:spacing w:line="247" w:lineRule="exact"/>
              <w:ind w:left="50"/>
            </w:pPr>
            <w:r>
              <w:t>pojistná částka v Kč</w:t>
            </w:r>
          </w:p>
        </w:tc>
        <w:tc>
          <w:tcPr>
            <w:tcW w:w="3149" w:type="dxa"/>
          </w:tcPr>
          <w:p w:rsidR="00123455" w:rsidRDefault="00E9192C">
            <w:pPr>
              <w:pStyle w:val="TableParagraph"/>
              <w:spacing w:line="247" w:lineRule="exact"/>
              <w:ind w:left="676"/>
            </w:pPr>
            <w:r>
              <w:t>pojistná hodnota</w:t>
            </w:r>
          </w:p>
        </w:tc>
        <w:tc>
          <w:tcPr>
            <w:tcW w:w="2448" w:type="dxa"/>
          </w:tcPr>
          <w:p w:rsidR="00123455" w:rsidRDefault="00E9192C">
            <w:pPr>
              <w:pStyle w:val="TableParagraph"/>
              <w:spacing w:line="247" w:lineRule="exact"/>
              <w:ind w:left="854"/>
            </w:pPr>
            <w:r>
              <w:t>spoluúčast v Kč</w:t>
            </w:r>
          </w:p>
        </w:tc>
      </w:tr>
      <w:tr w:rsidR="00123455">
        <w:trPr>
          <w:trHeight w:hRule="exact" w:val="251"/>
        </w:trPr>
        <w:tc>
          <w:tcPr>
            <w:tcW w:w="2672" w:type="dxa"/>
          </w:tcPr>
          <w:p w:rsidR="00123455" w:rsidRDefault="00E9192C">
            <w:pPr>
              <w:pStyle w:val="TableParagraph"/>
              <w:spacing w:line="250" w:lineRule="exact"/>
              <w:ind w:left="50"/>
            </w:pPr>
            <w:r>
              <w:t>1.000.000</w:t>
            </w:r>
          </w:p>
        </w:tc>
        <w:tc>
          <w:tcPr>
            <w:tcW w:w="3149" w:type="dxa"/>
          </w:tcPr>
          <w:p w:rsidR="00123455" w:rsidRDefault="00E9192C">
            <w:pPr>
              <w:pStyle w:val="TableParagraph"/>
              <w:spacing w:line="250" w:lineRule="exact"/>
              <w:ind w:left="676"/>
            </w:pPr>
            <w:r>
              <w:t>pojistná částka</w:t>
            </w:r>
          </w:p>
        </w:tc>
        <w:tc>
          <w:tcPr>
            <w:tcW w:w="2448" w:type="dxa"/>
          </w:tcPr>
          <w:p w:rsidR="00123455" w:rsidRDefault="00E9192C">
            <w:pPr>
              <w:pStyle w:val="TableParagraph"/>
              <w:spacing w:line="250" w:lineRule="exact"/>
              <w:ind w:left="854"/>
            </w:pPr>
            <w:r>
              <w:t>0</w:t>
            </w:r>
          </w:p>
        </w:tc>
      </w:tr>
      <w:tr w:rsidR="00123455">
        <w:trPr>
          <w:trHeight w:hRule="exact" w:val="506"/>
        </w:trPr>
        <w:tc>
          <w:tcPr>
            <w:tcW w:w="8269" w:type="dxa"/>
            <w:gridSpan w:val="3"/>
          </w:tcPr>
          <w:p w:rsidR="00123455" w:rsidRDefault="00123455">
            <w:pPr>
              <w:pStyle w:val="TableParagraph"/>
            </w:pPr>
          </w:p>
          <w:p w:rsidR="00123455" w:rsidRDefault="00E9192C">
            <w:pPr>
              <w:pStyle w:val="TableParagraph"/>
              <w:ind w:left="50"/>
            </w:pPr>
            <w:r>
              <w:t>3. Soubor elektroniky na území Evropy – pojištění se sjednává na 1. riziko</w:t>
            </w:r>
          </w:p>
        </w:tc>
      </w:tr>
      <w:tr w:rsidR="00123455">
        <w:trPr>
          <w:trHeight w:hRule="exact" w:val="255"/>
        </w:trPr>
        <w:tc>
          <w:tcPr>
            <w:tcW w:w="2672" w:type="dxa"/>
          </w:tcPr>
          <w:p w:rsidR="00123455" w:rsidRDefault="00E9192C">
            <w:pPr>
              <w:pStyle w:val="TableParagraph"/>
              <w:spacing w:line="247" w:lineRule="exact"/>
              <w:ind w:left="50"/>
            </w:pPr>
            <w:r>
              <w:t>pojistná částka v Kč</w:t>
            </w:r>
          </w:p>
        </w:tc>
        <w:tc>
          <w:tcPr>
            <w:tcW w:w="3149" w:type="dxa"/>
          </w:tcPr>
          <w:p w:rsidR="00123455" w:rsidRDefault="00E9192C">
            <w:pPr>
              <w:pStyle w:val="TableParagraph"/>
              <w:spacing w:line="247" w:lineRule="exact"/>
              <w:ind w:left="676"/>
            </w:pPr>
            <w:r>
              <w:t>pojistná hodnota</w:t>
            </w:r>
          </w:p>
        </w:tc>
        <w:tc>
          <w:tcPr>
            <w:tcW w:w="2448" w:type="dxa"/>
          </w:tcPr>
          <w:p w:rsidR="00123455" w:rsidRDefault="00E9192C">
            <w:pPr>
              <w:pStyle w:val="TableParagraph"/>
              <w:spacing w:line="247" w:lineRule="exact"/>
              <w:ind w:left="854"/>
            </w:pPr>
            <w:r>
              <w:t>spoluúčast v Kč</w:t>
            </w:r>
          </w:p>
        </w:tc>
      </w:tr>
      <w:tr w:rsidR="00123455">
        <w:trPr>
          <w:trHeight w:hRule="exact" w:val="249"/>
        </w:trPr>
        <w:tc>
          <w:tcPr>
            <w:tcW w:w="2672" w:type="dxa"/>
          </w:tcPr>
          <w:p w:rsidR="00123455" w:rsidRDefault="00E9192C">
            <w:pPr>
              <w:pStyle w:val="TableParagraph"/>
              <w:spacing w:line="249" w:lineRule="exact"/>
              <w:ind w:left="50"/>
            </w:pPr>
            <w:r>
              <w:t>500.000</w:t>
            </w:r>
          </w:p>
        </w:tc>
        <w:tc>
          <w:tcPr>
            <w:tcW w:w="3149" w:type="dxa"/>
          </w:tcPr>
          <w:p w:rsidR="00123455" w:rsidRDefault="00E9192C">
            <w:pPr>
              <w:pStyle w:val="TableParagraph"/>
              <w:spacing w:line="249" w:lineRule="exact"/>
              <w:ind w:left="676"/>
            </w:pPr>
            <w:r>
              <w:t>nová cena</w:t>
            </w:r>
          </w:p>
        </w:tc>
        <w:tc>
          <w:tcPr>
            <w:tcW w:w="2448" w:type="dxa"/>
          </w:tcPr>
          <w:p w:rsidR="00123455" w:rsidRDefault="00E9192C">
            <w:pPr>
              <w:pStyle w:val="TableParagraph"/>
              <w:spacing w:line="249" w:lineRule="exact"/>
              <w:ind w:left="854"/>
            </w:pPr>
            <w:r>
              <w:t>5.000</w:t>
            </w:r>
          </w:p>
        </w:tc>
      </w:tr>
    </w:tbl>
    <w:p w:rsidR="00123455" w:rsidRDefault="00123455">
      <w:pPr>
        <w:pStyle w:val="Zkladntext"/>
      </w:pPr>
    </w:p>
    <w:p w:rsidR="00123455" w:rsidRDefault="00E9192C">
      <w:pPr>
        <w:pStyle w:val="Nadpis2"/>
        <w:spacing w:line="240" w:lineRule="auto"/>
        <w:ind w:left="152"/>
        <w:jc w:val="both"/>
      </w:pPr>
      <w:r>
        <w:t>Pojištění se rovněž vztahuje na náhradu:</w:t>
      </w:r>
    </w:p>
    <w:p w:rsidR="00123455" w:rsidRDefault="00E9192C">
      <w:pPr>
        <w:pStyle w:val="Odstavecseseznamem"/>
        <w:numPr>
          <w:ilvl w:val="0"/>
          <w:numId w:val="12"/>
        </w:numPr>
        <w:tabs>
          <w:tab w:val="left" w:pos="873"/>
        </w:tabs>
        <w:spacing w:before="3" w:line="256" w:lineRule="auto"/>
        <w:ind w:right="102"/>
      </w:pPr>
      <w:r>
        <w:t>nákladů, které pojištěnému vznikly v souvislosti s věcnou škodou; jedná se např. o režijní náklady spojené s pojistnou událostí, náklady na demontáž a zpětnou montáž, nákladů na obvyklou dopravu (na místo a z místa opravy), clo a poplatky, v rozsahu, v jakém byly zahrnuty do pojistné částky. Pojistitel od pojistného plnění neodečte žádné srážky za opotřebení vyměňovaných nebo opravovaných dílů, má však právo od pojistného plnění odečíst hodnotu zbytků stroje / elektronického zařízení nebo jeho</w:t>
      </w:r>
      <w:r>
        <w:rPr>
          <w:spacing w:val="-9"/>
        </w:rPr>
        <w:t xml:space="preserve"> </w:t>
      </w:r>
      <w:r>
        <w:t>částí.</w:t>
      </w:r>
    </w:p>
    <w:p w:rsidR="00123455" w:rsidRDefault="00E9192C">
      <w:pPr>
        <w:pStyle w:val="Odstavecseseznamem"/>
        <w:numPr>
          <w:ilvl w:val="0"/>
          <w:numId w:val="12"/>
        </w:numPr>
        <w:tabs>
          <w:tab w:val="left" w:pos="872"/>
          <w:tab w:val="left" w:pos="873"/>
        </w:tabs>
        <w:spacing w:before="60"/>
        <w:jc w:val="left"/>
      </w:pPr>
      <w:r>
        <w:t>nákladů na obnovu dat na jejich</w:t>
      </w:r>
      <w:r>
        <w:rPr>
          <w:spacing w:val="-9"/>
        </w:rPr>
        <w:t xml:space="preserve"> </w:t>
      </w:r>
      <w:r>
        <w:t>nosičích,</w:t>
      </w:r>
    </w:p>
    <w:p w:rsidR="00123455" w:rsidRDefault="00E9192C">
      <w:pPr>
        <w:pStyle w:val="Odstavecseseznamem"/>
        <w:numPr>
          <w:ilvl w:val="0"/>
          <w:numId w:val="12"/>
        </w:numPr>
        <w:tabs>
          <w:tab w:val="left" w:pos="872"/>
          <w:tab w:val="left" w:pos="873"/>
        </w:tabs>
        <w:spacing w:before="69"/>
        <w:jc w:val="left"/>
      </w:pPr>
      <w:r>
        <w:t>škod na ventilech, potrubích, těsněních a dalších dílech a částech, které se pravidelně</w:t>
      </w:r>
      <w:r>
        <w:rPr>
          <w:spacing w:val="-22"/>
        </w:rPr>
        <w:t xml:space="preserve"> </w:t>
      </w:r>
      <w:r>
        <w:t>vyměňují</w:t>
      </w:r>
    </w:p>
    <w:p w:rsidR="00123455" w:rsidRDefault="00E9192C">
      <w:pPr>
        <w:pStyle w:val="Odstavecseseznamem"/>
        <w:numPr>
          <w:ilvl w:val="0"/>
          <w:numId w:val="12"/>
        </w:numPr>
        <w:tabs>
          <w:tab w:val="left" w:pos="873"/>
        </w:tabs>
        <w:spacing w:before="67" w:line="247" w:lineRule="auto"/>
        <w:ind w:right="108"/>
      </w:pPr>
      <w:r>
        <w:t>škod na zařízení převzaté předávacím protokolem nebo obdobným způsobem, které ještě nebylo instalováno nebo smontováno nebo zprovozněno ve zkušebním</w:t>
      </w:r>
      <w:r>
        <w:rPr>
          <w:spacing w:val="-9"/>
        </w:rPr>
        <w:t xml:space="preserve"> </w:t>
      </w:r>
      <w:r>
        <w:t>provozu.</w:t>
      </w:r>
    </w:p>
    <w:p w:rsidR="00123455" w:rsidRDefault="00E9192C">
      <w:pPr>
        <w:pStyle w:val="Odstavecseseznamem"/>
        <w:numPr>
          <w:ilvl w:val="0"/>
          <w:numId w:val="12"/>
        </w:numPr>
        <w:tabs>
          <w:tab w:val="left" w:pos="873"/>
        </w:tabs>
        <w:spacing w:before="70" w:line="254" w:lineRule="auto"/>
        <w:ind w:right="104"/>
      </w:pPr>
      <w:r>
        <w:t>prasknutí, lomu, zřícení nebo přehřátí, prosakování, netěsnostech spojů nebo vadě svárů, které se vyskytnou u kotlů, bojlerů, ohřívačů tlakových nádob a potrubí, pokud je jejich nedílnou součástí,</w:t>
      </w:r>
    </w:p>
    <w:p w:rsidR="00123455" w:rsidRDefault="00E9192C">
      <w:pPr>
        <w:pStyle w:val="Odstavecseseznamem"/>
        <w:numPr>
          <w:ilvl w:val="0"/>
          <w:numId w:val="12"/>
        </w:numPr>
        <w:tabs>
          <w:tab w:val="left" w:pos="873"/>
        </w:tabs>
        <w:spacing w:before="65" w:line="254" w:lineRule="auto"/>
        <w:ind w:right="103"/>
      </w:pPr>
      <w:r>
        <w:t>magnetickém nebo elektrickém poškození nosičů elektronických dat, porušení, vymazání nebo poškození elektronických záznamů, zkreslení nebo zničení informací v počítačových systémech nebo jiných záznamů, programů nebo jiného softwaru - toto pojištění se sjednává na roční sublimit plnění ve výši 1 000 000 Kč se spoluúčastí 10% z pojistného plnění min. však 5 000</w:t>
      </w:r>
      <w:r>
        <w:rPr>
          <w:spacing w:val="-22"/>
        </w:rPr>
        <w:t xml:space="preserve"> </w:t>
      </w:r>
      <w:r>
        <w:t>Kč</w:t>
      </w:r>
    </w:p>
    <w:p w:rsidR="00123455" w:rsidRDefault="00E9192C">
      <w:pPr>
        <w:pStyle w:val="Odstavecseseznamem"/>
        <w:numPr>
          <w:ilvl w:val="0"/>
          <w:numId w:val="12"/>
        </w:numPr>
        <w:tabs>
          <w:tab w:val="left" w:pos="873"/>
        </w:tabs>
        <w:spacing w:before="62" w:line="254" w:lineRule="auto"/>
        <w:ind w:right="100"/>
      </w:pPr>
      <w:r>
        <w:t>škod na přenosných zařízeních, která pojištěný potřebuje k výkonu povolání, se vztahuje i na poškození, zničení, odcizení nebo ztrátu při přepravě věci včetně dopravní nehody. Pojištění se rovněž vztahuje na škody při vloupání do motorového vozidla. Tato odchylka se však nevztahuje na poškození, odcizení či zničení elektroniky ze zaparkovaného vozidla od 22. hodiny večerní</w:t>
      </w:r>
      <w:r>
        <w:rPr>
          <w:spacing w:val="55"/>
        </w:rPr>
        <w:t xml:space="preserve"> </w:t>
      </w:r>
      <w:r>
        <w:t>do</w:t>
      </w:r>
    </w:p>
    <w:p w:rsidR="00123455" w:rsidRDefault="00E9192C">
      <w:pPr>
        <w:pStyle w:val="Zkladntext"/>
        <w:spacing w:before="5" w:line="259" w:lineRule="auto"/>
        <w:ind w:left="872" w:right="104"/>
        <w:jc w:val="both"/>
      </w:pPr>
      <w:r>
        <w:t>6. hodiny ranní. Pokud se motorové vozidlo nachází bez dozoru, musí být řádně uzavřeno a déle než 2 hodiny, musí být odstaveno v uzamčené garáži nebo na oploceném uzamčeném místě, eventuálně na hlídaném parkovišti.</w:t>
      </w:r>
    </w:p>
    <w:p w:rsidR="00123455" w:rsidRDefault="00123455">
      <w:pPr>
        <w:spacing w:line="259" w:lineRule="auto"/>
        <w:jc w:val="both"/>
        <w:sectPr w:rsidR="00123455">
          <w:pgSz w:w="11920" w:h="16840"/>
          <w:pgMar w:top="3120" w:right="740" w:bottom="1980" w:left="700" w:header="1798" w:footer="1785" w:gutter="0"/>
          <w:cols w:space="720"/>
        </w:sectPr>
      </w:pPr>
    </w:p>
    <w:p w:rsidR="00123455" w:rsidRDefault="00E9192C">
      <w:pPr>
        <w:pStyle w:val="Odstavecseseznamem"/>
        <w:numPr>
          <w:ilvl w:val="0"/>
          <w:numId w:val="12"/>
        </w:numPr>
        <w:tabs>
          <w:tab w:val="left" w:pos="832"/>
          <w:tab w:val="left" w:pos="833"/>
        </w:tabs>
        <w:spacing w:before="180" w:line="242" w:lineRule="auto"/>
        <w:ind w:left="832" w:right="109"/>
        <w:jc w:val="left"/>
      </w:pPr>
      <w:r>
        <w:t>zařízení, jejichž stáří přesáhlo v okamžiku vzniku pojistné události 6 let pro případ pojištění elektroniky dle UCZ/Ele/14, resp. 12 let pro případ pojištění strojů dle</w:t>
      </w:r>
      <w:r>
        <w:rPr>
          <w:spacing w:val="-20"/>
        </w:rPr>
        <w:t xml:space="preserve"> </w:t>
      </w:r>
      <w:r>
        <w:t>UCZ/Str/14</w:t>
      </w:r>
    </w:p>
    <w:p w:rsidR="00123455" w:rsidRDefault="00E9192C">
      <w:pPr>
        <w:pStyle w:val="Odstavecseseznamem"/>
        <w:numPr>
          <w:ilvl w:val="0"/>
          <w:numId w:val="12"/>
        </w:numPr>
        <w:tabs>
          <w:tab w:val="left" w:pos="833"/>
        </w:tabs>
        <w:spacing w:before="15"/>
        <w:ind w:left="832"/>
      </w:pPr>
      <w:r>
        <w:t>pojištění se vztahuje i na škody vzniklé vnitřním poškozením bez vnějších</w:t>
      </w:r>
      <w:r>
        <w:rPr>
          <w:spacing w:val="-24"/>
        </w:rPr>
        <w:t xml:space="preserve"> </w:t>
      </w:r>
      <w:r>
        <w:t>vlivů</w:t>
      </w:r>
    </w:p>
    <w:p w:rsidR="00123455" w:rsidRDefault="00E9192C">
      <w:pPr>
        <w:pStyle w:val="Zkladntext"/>
        <w:spacing w:before="63"/>
        <w:ind w:left="112"/>
        <w:jc w:val="both"/>
      </w:pPr>
      <w:r>
        <w:t>------------------------------------------------------------------------------------------------------------------------------------------</w:t>
      </w:r>
    </w:p>
    <w:p w:rsidR="00123455" w:rsidRDefault="00123455">
      <w:pPr>
        <w:pStyle w:val="Zkladntext"/>
      </w:pPr>
    </w:p>
    <w:p w:rsidR="00123455" w:rsidRDefault="00E9192C">
      <w:pPr>
        <w:pStyle w:val="Nadpis2"/>
        <w:jc w:val="both"/>
      </w:pPr>
      <w:r>
        <w:t>Smluvní ujednání</w:t>
      </w:r>
    </w:p>
    <w:p w:rsidR="00123455" w:rsidRDefault="00E9192C">
      <w:pPr>
        <w:pStyle w:val="Zkladntext"/>
        <w:ind w:left="112" w:right="104"/>
        <w:jc w:val="both"/>
      </w:pPr>
      <w:r>
        <w:t>Ujednává se, že pokud jsou níže uvedená smluvní ujednání v rozporu s přiloženými VPP, ZPP, doložkami pojistitele, pak mají tato smluvní ujednání přednost před ustanoveními přiložených VPP, ZPP doložek apod. pojistitele.</w:t>
      </w:r>
    </w:p>
    <w:p w:rsidR="00123455" w:rsidRDefault="00E9192C">
      <w:pPr>
        <w:pStyle w:val="Nadpis2"/>
        <w:numPr>
          <w:ilvl w:val="0"/>
          <w:numId w:val="11"/>
        </w:numPr>
        <w:tabs>
          <w:tab w:val="left" w:pos="540"/>
        </w:tabs>
        <w:spacing w:before="119" w:line="240" w:lineRule="auto"/>
        <w:jc w:val="both"/>
      </w:pPr>
      <w:r>
        <w:t>Pravidlo odečtu jediné</w:t>
      </w:r>
      <w:r>
        <w:rPr>
          <w:spacing w:val="-8"/>
        </w:rPr>
        <w:t xml:space="preserve"> </w:t>
      </w:r>
      <w:r>
        <w:t>spoluúčasti</w:t>
      </w:r>
    </w:p>
    <w:p w:rsidR="00123455" w:rsidRDefault="00E9192C">
      <w:pPr>
        <w:pStyle w:val="Zkladntext"/>
        <w:ind w:left="539" w:right="102"/>
        <w:jc w:val="both"/>
      </w:pPr>
      <w:r>
        <w:t>V případě pojistné události na pojištěných souborech odečte pojistitel pouze jednu spoluúčast, a to nejvyšší sjednanou, pokud není pro pojištěného výhodnější odečtení spoluúčasti z jednotlivých předmětných pojištění, jichž se pojistná událost týká. Toto se vztahuje také na případy, kdy pojistná událost nastane z téže příčiny na více místech pojištění a více pojištěným touto pojistnou smlouvou.</w:t>
      </w:r>
    </w:p>
    <w:p w:rsidR="00123455" w:rsidRDefault="00E9192C">
      <w:pPr>
        <w:pStyle w:val="Nadpis2"/>
        <w:numPr>
          <w:ilvl w:val="0"/>
          <w:numId w:val="11"/>
        </w:numPr>
        <w:tabs>
          <w:tab w:val="left" w:pos="540"/>
        </w:tabs>
        <w:jc w:val="both"/>
      </w:pPr>
      <w:r>
        <w:t>Zachraňovací náklady</w:t>
      </w:r>
    </w:p>
    <w:p w:rsidR="00123455" w:rsidRDefault="00E9192C">
      <w:pPr>
        <w:pStyle w:val="Odstavecseseznamem"/>
        <w:numPr>
          <w:ilvl w:val="1"/>
          <w:numId w:val="11"/>
        </w:numPr>
        <w:tabs>
          <w:tab w:val="left" w:pos="539"/>
          <w:tab w:val="left" w:pos="540"/>
        </w:tabs>
        <w:spacing w:before="2"/>
        <w:ind w:right="106" w:hanging="427"/>
      </w:pPr>
      <w:r>
        <w:t>Výše náhrady zachraňovacích nákladů vyplacená pojistitelem z pojištění sjednaného touto pojistnou smlouvou je omezena limity dle písm. b) tohoto ustanovení pojistné</w:t>
      </w:r>
      <w:r>
        <w:rPr>
          <w:spacing w:val="-19"/>
        </w:rPr>
        <w:t xml:space="preserve"> </w:t>
      </w:r>
      <w:r>
        <w:t>smlouvy</w:t>
      </w:r>
    </w:p>
    <w:p w:rsidR="00123455" w:rsidRDefault="00E9192C">
      <w:pPr>
        <w:pStyle w:val="Odstavecseseznamem"/>
        <w:numPr>
          <w:ilvl w:val="1"/>
          <w:numId w:val="11"/>
        </w:numPr>
        <w:tabs>
          <w:tab w:val="left" w:pos="540"/>
        </w:tabs>
        <w:spacing w:before="1"/>
        <w:ind w:right="104" w:hanging="427"/>
        <w:jc w:val="both"/>
      </w:pPr>
      <w:r>
        <w:t>Pojistitel nahradí zachraňovací náklady do výše max. 10% z horní hranice pojistného plnění stanovené pro předmět pojištění nebo pojistné nebezpečí, kterého se vynaložené zachraňovací náklady týkal. Omezení výše zachraňovacích nákladů stanovené v předchozí větě se nevztahuje na náhradu zachraňovacích nákladů vynaložených na záchranu života nebo zdraví osob, které pojistitel nahradí max. do výše 30% z horní hranice pojistného plnění stanovené pro předmět pojištění nebo pojistné nebezpečí, kterého se vynaložené zachraňovací náklady</w:t>
      </w:r>
      <w:r>
        <w:rPr>
          <w:spacing w:val="-15"/>
        </w:rPr>
        <w:t xml:space="preserve"> </w:t>
      </w:r>
      <w:r>
        <w:t>týkaly.</w:t>
      </w:r>
    </w:p>
    <w:p w:rsidR="00123455" w:rsidRDefault="00E9192C">
      <w:pPr>
        <w:pStyle w:val="Nadpis2"/>
        <w:numPr>
          <w:ilvl w:val="0"/>
          <w:numId w:val="11"/>
        </w:numPr>
        <w:tabs>
          <w:tab w:val="left" w:pos="540"/>
        </w:tabs>
        <w:spacing w:before="118" w:line="240" w:lineRule="auto"/>
        <w:ind w:hanging="420"/>
        <w:jc w:val="both"/>
      </w:pPr>
      <w:r>
        <w:t>Náklady na dokumentaci, přípravu a likvidaci pojistné</w:t>
      </w:r>
      <w:r>
        <w:rPr>
          <w:spacing w:val="-17"/>
        </w:rPr>
        <w:t xml:space="preserve"> </w:t>
      </w:r>
      <w:r>
        <w:t>události</w:t>
      </w:r>
    </w:p>
    <w:p w:rsidR="00123455" w:rsidRDefault="00E9192C">
      <w:pPr>
        <w:pStyle w:val="Zkladntext"/>
        <w:ind w:left="537" w:right="105"/>
        <w:jc w:val="both"/>
      </w:pPr>
      <w:r>
        <w:t>Odchylně od příslušných ustanovení VPP se zahrnují do pojištění náklady a vícenáklady, které pojištěný vynaloží na přípravu, dokladování, ověřování nebo zdokumentování pojistné události, na kterou se vztahuje tato pojistná smlouva. Takové náklady zahrnují mzdové náklady a související režijní náklady vynaložené pojištěným (např. příplatky za přesčasovou práci, práci v noci, o víkendech a zákonných svátcích, za přednostní zpracování, výrobu, dodání, pronájem, za spěšnou přepravu včetně letecké přepravy apod.) a rovněž další náklady ve formě poplatků, které pojištěný účelně vynaložil na externí účetní, poradce a konzultanty, architekty, inspektory, inženýry, za právní nebo jiné poradenské služby.</w:t>
      </w:r>
    </w:p>
    <w:p w:rsidR="00123455" w:rsidRDefault="00E9192C">
      <w:pPr>
        <w:pStyle w:val="Zkladntext"/>
        <w:ind w:left="539" w:right="102"/>
        <w:jc w:val="both"/>
      </w:pPr>
      <w:r>
        <w:t>Pojištění se dále vztahuje také na zvýšené náklady vynaložené v důsledku změny legislativy, obecně závazných předpisů, norem apod., pokud je pojistník/pojištěný při odstraňování následků po pojistné události  takové  náklady  povinen  vynaložit.  Toto  pojištění  se  sjednává  na  první  riziko s limitem plnění 500.000</w:t>
      </w:r>
      <w:r>
        <w:rPr>
          <w:spacing w:val="-9"/>
        </w:rPr>
        <w:t xml:space="preserve"> </w:t>
      </w:r>
      <w:r>
        <w:t>Kč.</w:t>
      </w:r>
    </w:p>
    <w:p w:rsidR="00123455" w:rsidRDefault="00E9192C">
      <w:pPr>
        <w:pStyle w:val="Nadpis2"/>
        <w:numPr>
          <w:ilvl w:val="0"/>
          <w:numId w:val="11"/>
        </w:numPr>
        <w:tabs>
          <w:tab w:val="left" w:pos="540"/>
        </w:tabs>
        <w:jc w:val="both"/>
      </w:pPr>
      <w:r>
        <w:t>Dlužné pojistné při zániku pojištění pro</w:t>
      </w:r>
      <w:r>
        <w:rPr>
          <w:spacing w:val="-16"/>
        </w:rPr>
        <w:t xml:space="preserve"> </w:t>
      </w:r>
      <w:r>
        <w:t>neplacení</w:t>
      </w:r>
    </w:p>
    <w:p w:rsidR="00123455" w:rsidRDefault="00E9192C">
      <w:pPr>
        <w:pStyle w:val="Zkladntext"/>
        <w:spacing w:before="2"/>
        <w:ind w:left="539" w:right="103"/>
        <w:jc w:val="both"/>
      </w:pPr>
      <w:r>
        <w:t>V případě zániku pojištění z důvodu neplacení pojistného náleží pojistiteli poměrná část pojistného za dobu pojištění do jeho zániku.</w:t>
      </w:r>
    </w:p>
    <w:p w:rsidR="00123455" w:rsidRDefault="00E9192C">
      <w:pPr>
        <w:pStyle w:val="Nadpis2"/>
        <w:numPr>
          <w:ilvl w:val="0"/>
          <w:numId w:val="11"/>
        </w:numPr>
        <w:tabs>
          <w:tab w:val="left" w:pos="540"/>
        </w:tabs>
        <w:spacing w:before="1"/>
        <w:jc w:val="both"/>
      </w:pPr>
      <w:r>
        <w:t>Místa</w:t>
      </w:r>
      <w:r>
        <w:rPr>
          <w:spacing w:val="-5"/>
        </w:rPr>
        <w:t xml:space="preserve"> </w:t>
      </w:r>
      <w:r>
        <w:t>pojištění</w:t>
      </w:r>
    </w:p>
    <w:p w:rsidR="00123455" w:rsidRDefault="00E9192C">
      <w:pPr>
        <w:pStyle w:val="Zkladntext"/>
        <w:ind w:left="539" w:right="102"/>
        <w:jc w:val="both"/>
      </w:pPr>
      <w:r>
        <w:t>Pro místa, kde se nachází vlastní majetek pojistníka / pojištěného, a majetek po právu užívaný včetně nedokončených investic, majetku ve zkušebním provozu apod., neuvedený v pojistné smlouvě, je místem pojištění území České republiky a Evropy. U takových míst musí být v případě</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Zkladntext"/>
        <w:spacing w:before="178"/>
        <w:ind w:left="539" w:right="103"/>
        <w:jc w:val="both"/>
      </w:pPr>
      <w:r>
        <w:t>pojistné události písemně prokazatelné, že se na nich v době pojistné události nacházel předmět pojištění (např. listem vlastnictví, nájemní smlouvou, evidencí majetku apod.) nebo pojistník  prokáže, že na těchto místech prováděl objednanou</w:t>
      </w:r>
      <w:r>
        <w:rPr>
          <w:spacing w:val="-11"/>
        </w:rPr>
        <w:t xml:space="preserve"> </w:t>
      </w:r>
      <w:r>
        <w:t>činnost.</w:t>
      </w:r>
    </w:p>
    <w:p w:rsidR="00123455" w:rsidRDefault="00E9192C">
      <w:pPr>
        <w:pStyle w:val="Nadpis2"/>
        <w:numPr>
          <w:ilvl w:val="0"/>
          <w:numId w:val="11"/>
        </w:numPr>
        <w:tabs>
          <w:tab w:val="left" w:pos="539"/>
          <w:tab w:val="left" w:pos="540"/>
        </w:tabs>
      </w:pPr>
      <w:r>
        <w:t>Automatické pojištění nově pořízeného</w:t>
      </w:r>
      <w:r>
        <w:rPr>
          <w:spacing w:val="-10"/>
        </w:rPr>
        <w:t xml:space="preserve"> </w:t>
      </w:r>
      <w:r>
        <w:t>majetku</w:t>
      </w:r>
    </w:p>
    <w:p w:rsidR="00123455" w:rsidRDefault="00E9192C">
      <w:pPr>
        <w:pStyle w:val="Zkladntext"/>
        <w:spacing w:before="1"/>
        <w:ind w:left="539" w:right="106"/>
        <w:jc w:val="both"/>
      </w:pPr>
      <w:r>
        <w:t>Ujednává se, že veškerý nový majetek, který pojištěný nabude v průběhu pojistného období, je automaticky zahrnut do pojištění. Zvýší-li se tím pojistná částka o méně než 15 % nebude pojistitel požadovat doplatek pojistného. Pojištění se vztahuje i na majetek, který zatím nebyl zaveden do účetnictví, pokud na základě smluv či právních předpisů přešlo na pojištěného nebezpečí škody na takovém majetku.</w:t>
      </w:r>
    </w:p>
    <w:p w:rsidR="00123455" w:rsidRDefault="00E9192C">
      <w:pPr>
        <w:pStyle w:val="Nadpis2"/>
        <w:numPr>
          <w:ilvl w:val="0"/>
          <w:numId w:val="11"/>
        </w:numPr>
        <w:tabs>
          <w:tab w:val="left" w:pos="539"/>
          <w:tab w:val="left" w:pos="540"/>
        </w:tabs>
      </w:pPr>
      <w:r>
        <w:t>Vzdání se práva namítat</w:t>
      </w:r>
      <w:r>
        <w:rPr>
          <w:spacing w:val="-9"/>
        </w:rPr>
        <w:t xml:space="preserve"> </w:t>
      </w:r>
      <w:r>
        <w:t>podpojištění</w:t>
      </w:r>
    </w:p>
    <w:p w:rsidR="00123455" w:rsidRDefault="00E9192C">
      <w:pPr>
        <w:pStyle w:val="Zkladntext"/>
        <w:spacing w:line="252" w:lineRule="exact"/>
        <w:ind w:left="539"/>
        <w:jc w:val="both"/>
      </w:pPr>
      <w:r>
        <w:t>Odchylně od VPP se smluvní strany se dohodly, že pokud pojistná částka není nižší o více jak 15</w:t>
      </w:r>
    </w:p>
    <w:p w:rsidR="00123455" w:rsidRDefault="00E9192C">
      <w:pPr>
        <w:pStyle w:val="Zkladntext"/>
        <w:spacing w:before="2" w:line="252" w:lineRule="exact"/>
        <w:ind w:left="539"/>
        <w:jc w:val="both"/>
      </w:pPr>
      <w:r>
        <w:t>%, než pojistná hodnota, pojistitel pro toto pojištění neuplatní podpojištění.</w:t>
      </w:r>
    </w:p>
    <w:p w:rsidR="00123455" w:rsidRDefault="00E9192C">
      <w:pPr>
        <w:pStyle w:val="Nadpis2"/>
        <w:numPr>
          <w:ilvl w:val="0"/>
          <w:numId w:val="11"/>
        </w:numPr>
        <w:tabs>
          <w:tab w:val="left" w:pos="539"/>
          <w:tab w:val="left" w:pos="540"/>
        </w:tabs>
      </w:pPr>
      <w:r>
        <w:t>Převod cizích věcí do</w:t>
      </w:r>
      <w:r>
        <w:rPr>
          <w:spacing w:val="-8"/>
        </w:rPr>
        <w:t xml:space="preserve"> </w:t>
      </w:r>
      <w:r>
        <w:t>vlastnictví</w:t>
      </w:r>
    </w:p>
    <w:p w:rsidR="00123455" w:rsidRDefault="00E9192C">
      <w:pPr>
        <w:pStyle w:val="Zkladntext"/>
        <w:ind w:left="539" w:right="105"/>
        <w:jc w:val="both"/>
      </w:pPr>
      <w:r>
        <w:t>Ujednává se, že pojištěné cizí věci, které pojištěný užívá na základě leasingových, nájemních či jiných smluv, jsou v případě převodu do vlastnictví pojištěného automaticky pojištěny v rozsahu sjednané pojistné smlouvy.</w:t>
      </w:r>
    </w:p>
    <w:p w:rsidR="00123455" w:rsidRDefault="00E9192C">
      <w:pPr>
        <w:pStyle w:val="Nadpis2"/>
        <w:numPr>
          <w:ilvl w:val="0"/>
          <w:numId w:val="11"/>
        </w:numPr>
        <w:tabs>
          <w:tab w:val="left" w:pos="539"/>
          <w:tab w:val="left" w:pos="540"/>
        </w:tabs>
        <w:spacing w:before="1"/>
      </w:pPr>
      <w:r>
        <w:t>Katastrofická rizika - časové vymezení jedné pojistné</w:t>
      </w:r>
      <w:r>
        <w:rPr>
          <w:spacing w:val="-16"/>
        </w:rPr>
        <w:t xml:space="preserve"> </w:t>
      </w:r>
      <w:r>
        <w:t>události</w:t>
      </w:r>
    </w:p>
    <w:p w:rsidR="00123455" w:rsidRDefault="00E9192C">
      <w:pPr>
        <w:pStyle w:val="Zkladntext"/>
        <w:ind w:left="539" w:right="102"/>
        <w:jc w:val="both"/>
      </w:pPr>
      <w:r>
        <w:t>Ujednává se, že škody způsobené a nastalé z jedné příčiny během 72 hodin se hodnotí jako jedna pojistná událost a z tohoto titulu se odečítá pouze jedna spoluúčast. Toto se vztahuje také na případy, kdy pojistná událost nastane z téže příčiny na více místech pojištění.</w:t>
      </w:r>
    </w:p>
    <w:p w:rsidR="00123455" w:rsidRDefault="00E9192C">
      <w:pPr>
        <w:pStyle w:val="Nadpis2"/>
        <w:numPr>
          <w:ilvl w:val="0"/>
          <w:numId w:val="11"/>
        </w:numPr>
        <w:tabs>
          <w:tab w:val="left" w:pos="540"/>
        </w:tabs>
        <w:spacing w:before="1"/>
      </w:pPr>
      <w:r>
        <w:t>Účinnost</w:t>
      </w:r>
      <w:r>
        <w:rPr>
          <w:spacing w:val="-4"/>
        </w:rPr>
        <w:t xml:space="preserve"> </w:t>
      </w:r>
      <w:r>
        <w:t>pojištění</w:t>
      </w:r>
    </w:p>
    <w:p w:rsidR="00123455" w:rsidRDefault="00E9192C">
      <w:pPr>
        <w:pStyle w:val="Zkladntext"/>
        <w:spacing w:before="1"/>
        <w:ind w:left="539" w:right="103"/>
        <w:jc w:val="both"/>
      </w:pPr>
      <w:r>
        <w:t>Všechna pojistná nebezpečí včetně povodně a záplavy se sjednávají okamžitě od data účinnosti smlouvy, tj. bez čekací doby.</w:t>
      </w:r>
    </w:p>
    <w:p w:rsidR="00123455" w:rsidRDefault="00E9192C">
      <w:pPr>
        <w:pStyle w:val="Nadpis2"/>
        <w:numPr>
          <w:ilvl w:val="0"/>
          <w:numId w:val="11"/>
        </w:numPr>
        <w:tabs>
          <w:tab w:val="left" w:pos="540"/>
        </w:tabs>
      </w:pPr>
      <w:r>
        <w:t>Plnění v nových</w:t>
      </w:r>
      <w:r>
        <w:rPr>
          <w:spacing w:val="-6"/>
        </w:rPr>
        <w:t xml:space="preserve"> </w:t>
      </w:r>
      <w:r>
        <w:t>cenách</w:t>
      </w:r>
    </w:p>
    <w:p w:rsidR="00123455" w:rsidRDefault="00E9192C">
      <w:pPr>
        <w:pStyle w:val="Zkladntext"/>
        <w:spacing w:before="2"/>
        <w:ind w:left="539" w:right="103"/>
        <w:jc w:val="both"/>
      </w:pPr>
      <w:r>
        <w:t>Odchylně od VPP, tak aby pojistné plnění odpovídalo principu pojištění majetku (tj. na novou hodnotu) a za předpokladu, že pojistné částky budou odpovídat příslušné pojistné hodnotě, nebo v případě pojištění na limit plnění nebo na první riziko, pojistné plnění probíhá v nových cenách nutných k nahrazení poškozeného/zničeného majetku pojištěného na novou hodnotu bez ohledu na míru opotřebení či jiného znehodnocení.</w:t>
      </w:r>
    </w:p>
    <w:p w:rsidR="00123455" w:rsidRDefault="00E9192C">
      <w:pPr>
        <w:pStyle w:val="Nadpis2"/>
        <w:numPr>
          <w:ilvl w:val="0"/>
          <w:numId w:val="11"/>
        </w:numPr>
        <w:tabs>
          <w:tab w:val="left" w:pos="540"/>
        </w:tabs>
        <w:spacing w:before="1"/>
      </w:pPr>
      <w:r>
        <w:t>Škody způsobené únikem kapalin a vodovodní škody –</w:t>
      </w:r>
      <w:r>
        <w:rPr>
          <w:spacing w:val="-12"/>
        </w:rPr>
        <w:t xml:space="preserve"> </w:t>
      </w:r>
      <w:r>
        <w:t>potrubí</w:t>
      </w:r>
    </w:p>
    <w:p w:rsidR="00123455" w:rsidRDefault="00E9192C">
      <w:pPr>
        <w:pStyle w:val="Zkladntext"/>
        <w:ind w:left="539" w:right="102"/>
        <w:jc w:val="both"/>
      </w:pPr>
      <w:r>
        <w:t>Pro pojištění vodovodních škod se ujednává, že za vodu vytékající z vodovodních zařízení se považuje i voda vytékající z řádně instalovaných klimatizačních nebo samočinných hasicích  zařízení, vnitřních i vnějších vedení, včetně odpadů, svodů dešťové vody, rozvodů dalších</w:t>
      </w:r>
      <w:r>
        <w:rPr>
          <w:spacing w:val="-21"/>
        </w:rPr>
        <w:t xml:space="preserve"> </w:t>
      </w:r>
      <w:r>
        <w:t>kapalin.</w:t>
      </w:r>
    </w:p>
    <w:p w:rsidR="00123455" w:rsidRDefault="00E9192C">
      <w:pPr>
        <w:pStyle w:val="Zkladntext"/>
        <w:spacing w:before="2"/>
        <w:ind w:left="539" w:right="105"/>
        <w:jc w:val="both"/>
      </w:pPr>
      <w:r>
        <w:t>Dále je pojištěno také zničení nebo poškození pojištěných věcí nenadálým a nepředpokládaným únikem kapalin z jakéhokoliv potrubí, tanků a nádrží vč. řádně instalovaných klimatizačních zařízení nebo samočinných hasicích zařízení.</w:t>
      </w:r>
    </w:p>
    <w:p w:rsidR="00123455" w:rsidRDefault="00E9192C">
      <w:pPr>
        <w:pStyle w:val="Zkladntext"/>
        <w:spacing w:before="1"/>
        <w:ind w:left="539" w:right="102"/>
        <w:jc w:val="both"/>
      </w:pPr>
      <w:r>
        <w:t>Ujednává se také pojistné krytí škod na vodovodním či kanalizačním potrubí a zařízeních  připojených na tato potrubí (včetně nákladů na odstranění závady a škod na těchto zařízeních) způsobených přetlakem páry nebo kapaliny nebo zamrznutím vody ve vodovodním či kanalizačním potrubí a zařízeních připojených na potrubí včetně svodů dešťové</w:t>
      </w:r>
      <w:r>
        <w:rPr>
          <w:spacing w:val="-16"/>
        </w:rPr>
        <w:t xml:space="preserve"> </w:t>
      </w:r>
      <w:r>
        <w:t>vody.</w:t>
      </w:r>
    </w:p>
    <w:p w:rsidR="00123455" w:rsidRDefault="00E9192C">
      <w:pPr>
        <w:pStyle w:val="Zkladntext"/>
        <w:ind w:left="539" w:right="103"/>
        <w:jc w:val="both"/>
      </w:pPr>
      <w:r>
        <w:t>Pojistné krytí se vztahuje také na finanční škodu ve formě nákladů na úhradu vodného a stočného v přímé souvislosti s nežádoucím únikem vody z vodovodního zařízení.</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Zkladntext"/>
        <w:spacing w:before="178"/>
        <w:ind w:left="539" w:right="103"/>
        <w:jc w:val="both"/>
      </w:pPr>
      <w:r>
        <w:t>Pojistné krytí se vztahuje také na náklady vynaložené na stavební, bourací, výkopové a zemní práce a náklady na odstranění závady a škod na těchto zařízeních a potrubí s limitem plnění na pojistnou událost a pojistné období v rámci sjednaného limitu plnění pro vodovodní škody.</w:t>
      </w:r>
    </w:p>
    <w:p w:rsidR="00123455" w:rsidRDefault="00E9192C">
      <w:pPr>
        <w:pStyle w:val="Nadpis2"/>
        <w:numPr>
          <w:ilvl w:val="0"/>
          <w:numId w:val="11"/>
        </w:numPr>
        <w:tabs>
          <w:tab w:val="left" w:pos="540"/>
        </w:tabs>
      </w:pPr>
      <w:r>
        <w:t>Vystoupnutí vody z vodovodního</w:t>
      </w:r>
      <w:r>
        <w:rPr>
          <w:spacing w:val="-7"/>
        </w:rPr>
        <w:t xml:space="preserve"> </w:t>
      </w:r>
      <w:r>
        <w:t>zařízení</w:t>
      </w:r>
    </w:p>
    <w:p w:rsidR="00123455" w:rsidRDefault="00E9192C">
      <w:pPr>
        <w:pStyle w:val="Zkladntext"/>
        <w:spacing w:before="1"/>
        <w:ind w:left="539" w:right="104"/>
        <w:jc w:val="both"/>
      </w:pPr>
      <w:r>
        <w:t>Pro účely tohoto pojištění se ujednává, že za vodu vytékající z vodovodních zařízení se považuje také voda vystupující z odpadních potrubí a kanalizace v důsledku nahromaděných vod a srážek.</w:t>
      </w:r>
    </w:p>
    <w:p w:rsidR="00123455" w:rsidRDefault="00E9192C">
      <w:pPr>
        <w:pStyle w:val="Nadpis2"/>
        <w:numPr>
          <w:ilvl w:val="0"/>
          <w:numId w:val="11"/>
        </w:numPr>
        <w:tabs>
          <w:tab w:val="left" w:pos="540"/>
        </w:tabs>
        <w:spacing w:line="253" w:lineRule="exact"/>
      </w:pPr>
      <w:r>
        <w:t>Zvláštní ujednání pro náklady na hašení, likvidaci trosek, vyklizení,</w:t>
      </w:r>
      <w:r>
        <w:rPr>
          <w:spacing w:val="-16"/>
        </w:rPr>
        <w:t xml:space="preserve"> </w:t>
      </w:r>
      <w:r>
        <w:t>zbourání</w:t>
      </w:r>
    </w:p>
    <w:p w:rsidR="00123455" w:rsidRDefault="00E9192C">
      <w:pPr>
        <w:pStyle w:val="Zkladntext"/>
        <w:ind w:left="539" w:right="102"/>
        <w:jc w:val="both"/>
      </w:pPr>
      <w:r>
        <w:t>Odchylně od příslušných ustanovení VPP se zahrnuje pojištění nákladů na hašení, vyklizení, zbourání a likvidaci následků pojistné události ve smyslu VPP rovněž nezbytné náklady účelně vynaložené v důsledku pojistné události:</w:t>
      </w:r>
    </w:p>
    <w:p w:rsidR="00123455" w:rsidRDefault="00E9192C">
      <w:pPr>
        <w:pStyle w:val="Odstavecseseznamem"/>
        <w:numPr>
          <w:ilvl w:val="0"/>
          <w:numId w:val="10"/>
        </w:numPr>
        <w:tabs>
          <w:tab w:val="left" w:pos="821"/>
        </w:tabs>
        <w:spacing w:before="2" w:line="268" w:lineRule="exact"/>
        <w:ind w:hanging="283"/>
      </w:pPr>
      <w:r>
        <w:t>na dočasné přemístění</w:t>
      </w:r>
      <w:r>
        <w:rPr>
          <w:spacing w:val="-6"/>
        </w:rPr>
        <w:t xml:space="preserve"> </w:t>
      </w:r>
      <w:r>
        <w:t>majetku</w:t>
      </w:r>
    </w:p>
    <w:p w:rsidR="00123455" w:rsidRDefault="00E9192C">
      <w:pPr>
        <w:pStyle w:val="Odstavecseseznamem"/>
        <w:numPr>
          <w:ilvl w:val="0"/>
          <w:numId w:val="10"/>
        </w:numPr>
        <w:tabs>
          <w:tab w:val="left" w:pos="821"/>
        </w:tabs>
        <w:spacing w:before="18" w:line="252" w:lineRule="exact"/>
        <w:ind w:right="108" w:hanging="283"/>
      </w:pPr>
      <w:r>
        <w:t>na zjištění, zda odklizení suti či jiných zbytků pojištěných věcí a/nebo zeminy podléhá zvláštnímu režimu ve smyslu ustanovení příslušného zákona o nakládání s</w:t>
      </w:r>
      <w:r>
        <w:rPr>
          <w:spacing w:val="-14"/>
        </w:rPr>
        <w:t xml:space="preserve"> </w:t>
      </w:r>
      <w:r>
        <w:t>odpady,</w:t>
      </w:r>
    </w:p>
    <w:p w:rsidR="00123455" w:rsidRDefault="00E9192C">
      <w:pPr>
        <w:pStyle w:val="Odstavecseseznamem"/>
        <w:numPr>
          <w:ilvl w:val="0"/>
          <w:numId w:val="10"/>
        </w:numPr>
        <w:tabs>
          <w:tab w:val="left" w:pos="821"/>
        </w:tabs>
        <w:ind w:right="103" w:hanging="283"/>
      </w:pPr>
      <w:r>
        <w:t>na odstranění a/nebo uložení suti či jiných zbytků pojištěných věcí a/nebo kontaminované zeminy ve smyslu ustanovení příslušného zákona o nakládání s odpady (včetně prokázaných  odvedených veřejných</w:t>
      </w:r>
      <w:r>
        <w:rPr>
          <w:spacing w:val="-5"/>
        </w:rPr>
        <w:t xml:space="preserve"> </w:t>
      </w:r>
      <w:r>
        <w:t>poplatků),</w:t>
      </w:r>
    </w:p>
    <w:p w:rsidR="00123455" w:rsidRDefault="00E9192C">
      <w:pPr>
        <w:pStyle w:val="Odstavecseseznamem"/>
        <w:numPr>
          <w:ilvl w:val="0"/>
          <w:numId w:val="10"/>
        </w:numPr>
        <w:tabs>
          <w:tab w:val="left" w:pos="821"/>
        </w:tabs>
        <w:spacing w:before="4"/>
        <w:ind w:right="101" w:hanging="283"/>
      </w:pPr>
      <w:r>
        <w:t>na nutné zpětné vyplnění výkopu zeminou po odstranění kontaminované zeminy. Kontaminovanou zeminou se přitom rozumí zemina, která je v příčinné souvislosti s pojistnou událostí znečištěna nebezpečnými látkami (vyjma látek radioaktivních), a v důsledku toho s ní musí být nakládáno předepsaným</w:t>
      </w:r>
      <w:r>
        <w:rPr>
          <w:spacing w:val="-6"/>
        </w:rPr>
        <w:t xml:space="preserve"> </w:t>
      </w:r>
      <w:r>
        <w:t>způsobem.</w:t>
      </w:r>
    </w:p>
    <w:p w:rsidR="00123455" w:rsidRDefault="00E9192C">
      <w:pPr>
        <w:pStyle w:val="Odstavecseseznamem"/>
        <w:numPr>
          <w:ilvl w:val="0"/>
          <w:numId w:val="10"/>
        </w:numPr>
        <w:tabs>
          <w:tab w:val="left" w:pos="821"/>
        </w:tabs>
        <w:spacing w:before="3" w:line="237" w:lineRule="auto"/>
        <w:ind w:right="102" w:hanging="283"/>
      </w:pPr>
      <w:r>
        <w:t>a navíc také jinak než v důsledku pojistné události po živelní události záplava/povodeň na odklizení, oplachy/průplachy, vyčistění kanalizace, potrubí, jímek, studen, koryt a ploch/komunikací (zpevněných i nezpevněných) a ostatních stavebních součástí, a to vč. uložení naplavené zeminy ve smyslu ustanovení příslušného zákona o nakládání s</w:t>
      </w:r>
      <w:r>
        <w:rPr>
          <w:spacing w:val="-16"/>
        </w:rPr>
        <w:t xml:space="preserve"> </w:t>
      </w:r>
      <w:r>
        <w:t>odpady</w:t>
      </w:r>
    </w:p>
    <w:p w:rsidR="00123455" w:rsidRDefault="00E9192C">
      <w:pPr>
        <w:pStyle w:val="Zkladntext"/>
        <w:spacing w:before="1"/>
        <w:ind w:left="820"/>
      </w:pPr>
      <w:r>
        <w:t>Limit plnění 50 000 000 Kč</w:t>
      </w:r>
    </w:p>
    <w:p w:rsidR="00123455" w:rsidRDefault="00E9192C">
      <w:pPr>
        <w:pStyle w:val="Nadpis2"/>
        <w:numPr>
          <w:ilvl w:val="0"/>
          <w:numId w:val="11"/>
        </w:numPr>
        <w:tabs>
          <w:tab w:val="left" w:pos="540"/>
        </w:tabs>
        <w:spacing w:before="118" w:line="240" w:lineRule="auto"/>
        <w:ind w:hanging="420"/>
      </w:pPr>
      <w:r>
        <w:t>Nepřímý úder</w:t>
      </w:r>
      <w:r>
        <w:rPr>
          <w:spacing w:val="-1"/>
        </w:rPr>
        <w:t xml:space="preserve"> </w:t>
      </w:r>
      <w:r>
        <w:t>blesku</w:t>
      </w:r>
    </w:p>
    <w:p w:rsidR="00123455" w:rsidRDefault="00E9192C">
      <w:pPr>
        <w:pStyle w:val="Zkladntext"/>
        <w:spacing w:before="1"/>
        <w:ind w:left="539" w:right="101"/>
        <w:jc w:val="both"/>
      </w:pPr>
      <w:r>
        <w:t>Pojištění podle této pojistné smlouvy se vztahuje také na škody vzniklé úderem blesku bez viditelných destrukčních účinků na věci nebo na budově. Pojištění se vztahuje i na poškození nebo zničení  elektrických nebo elektronických strojů, přístrojů a zařízení zkratem,  indukcí a přepětím      v elektrorozvodné nebo telekomunikační síti, k němuž došlo v důsledku elektronických poruch v sítí, zejména působení blesku, při bouřkách, při spínání v napájecích sítích nebo při výboji statické elektřiny, zkratem, přepětím, anebo podpětím, indukcí apod. Toto pojištění se sjednává na první riziko s limitem plnění 10 000 000</w:t>
      </w:r>
      <w:r>
        <w:rPr>
          <w:spacing w:val="-8"/>
        </w:rPr>
        <w:t xml:space="preserve"> </w:t>
      </w:r>
      <w:r>
        <w:t>Kč.</w:t>
      </w:r>
    </w:p>
    <w:p w:rsidR="00123455" w:rsidRDefault="00E9192C">
      <w:pPr>
        <w:pStyle w:val="Nadpis2"/>
        <w:numPr>
          <w:ilvl w:val="0"/>
          <w:numId w:val="11"/>
        </w:numPr>
        <w:tabs>
          <w:tab w:val="left" w:pos="540"/>
        </w:tabs>
        <w:spacing w:before="119" w:line="240" w:lineRule="auto"/>
        <w:ind w:hanging="420"/>
      </w:pPr>
      <w:r>
        <w:t>Ostatní dodatečné náklady a škody po pojistné</w:t>
      </w:r>
      <w:r>
        <w:rPr>
          <w:spacing w:val="-13"/>
        </w:rPr>
        <w:t xml:space="preserve"> </w:t>
      </w:r>
      <w:r>
        <w:t>události</w:t>
      </w:r>
    </w:p>
    <w:p w:rsidR="00123455" w:rsidRDefault="00E9192C">
      <w:pPr>
        <w:pStyle w:val="Zkladntext"/>
        <w:ind w:left="537" w:right="107"/>
        <w:jc w:val="both"/>
      </w:pPr>
      <w:r>
        <w:t>Pojistitel nahradí následující dodatečné náklady a škody pojištěného vzniklé jako následek pojistné události dle této pojistné smlouvy:</w:t>
      </w:r>
    </w:p>
    <w:p w:rsidR="00123455" w:rsidRDefault="00E9192C">
      <w:pPr>
        <w:pStyle w:val="Odstavecseseznamem"/>
        <w:numPr>
          <w:ilvl w:val="0"/>
          <w:numId w:val="9"/>
        </w:numPr>
        <w:tabs>
          <w:tab w:val="left" w:pos="821"/>
        </w:tabs>
        <w:spacing w:before="20" w:line="252" w:lineRule="exact"/>
        <w:ind w:right="107" w:hanging="283"/>
      </w:pPr>
      <w:r>
        <w:t>náklady na obnovení poškozených nebo zničených dat, databází, softwaru, plánů, záznamů, písemností a jiných dokumentů a/nebo výrobní a provozní</w:t>
      </w:r>
      <w:r>
        <w:rPr>
          <w:spacing w:val="-10"/>
        </w:rPr>
        <w:t xml:space="preserve"> </w:t>
      </w:r>
      <w:r>
        <w:t>dokumentace.</w:t>
      </w:r>
    </w:p>
    <w:p w:rsidR="00123455" w:rsidRDefault="00E9192C">
      <w:pPr>
        <w:pStyle w:val="Zkladntext"/>
        <w:spacing w:line="250" w:lineRule="exact"/>
        <w:ind w:left="537"/>
        <w:jc w:val="both"/>
      </w:pPr>
      <w:r>
        <w:t>Toto pojištění se sjednává na první riziko s limitem plnění 1 000.000 Kč.</w:t>
      </w:r>
    </w:p>
    <w:p w:rsidR="00123455" w:rsidRDefault="00E9192C">
      <w:pPr>
        <w:pStyle w:val="Nadpis2"/>
        <w:numPr>
          <w:ilvl w:val="0"/>
          <w:numId w:val="11"/>
        </w:numPr>
        <w:tabs>
          <w:tab w:val="left" w:pos="540"/>
        </w:tabs>
      </w:pPr>
      <w:r>
        <w:t>Historické objekty, objekty ve zvláštním</w:t>
      </w:r>
      <w:r>
        <w:rPr>
          <w:spacing w:val="-11"/>
        </w:rPr>
        <w:t xml:space="preserve"> </w:t>
      </w:r>
      <w:r>
        <w:t>režimu</w:t>
      </w:r>
    </w:p>
    <w:p w:rsidR="00123455" w:rsidRDefault="00E9192C">
      <w:pPr>
        <w:pStyle w:val="Zkladntext"/>
        <w:ind w:left="537" w:right="106"/>
        <w:jc w:val="both"/>
      </w:pPr>
      <w:r>
        <w:t>Pojištění sjednané touto smlouvou se vztahuje bez omezení i na historické nebo památkově chráněné  objekty.  Pojištění  se  vztahuje  i  na  majetek  (budovy  a  stavby)  opuštěný, neobývaný,</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Zkladntext"/>
        <w:spacing w:before="178"/>
        <w:ind w:left="537" w:right="104"/>
        <w:jc w:val="both"/>
      </w:pPr>
      <w:r>
        <w:t>v režimu předčasného užívání, před kolaudací, jakož i movité věci, zásoby a další předměty  pojištění zde umístěné ve standardním nebo zkušebním</w:t>
      </w:r>
      <w:r>
        <w:rPr>
          <w:spacing w:val="-9"/>
        </w:rPr>
        <w:t xml:space="preserve"> </w:t>
      </w:r>
      <w:r>
        <w:t>provozu.</w:t>
      </w:r>
    </w:p>
    <w:p w:rsidR="00123455" w:rsidRDefault="00E9192C">
      <w:pPr>
        <w:pStyle w:val="Nadpis2"/>
        <w:numPr>
          <w:ilvl w:val="0"/>
          <w:numId w:val="11"/>
        </w:numPr>
        <w:tabs>
          <w:tab w:val="left" w:pos="540"/>
        </w:tabs>
        <w:spacing w:before="1"/>
      </w:pPr>
      <w:r>
        <w:t>Stavební, montážní a servisní</w:t>
      </w:r>
      <w:r>
        <w:rPr>
          <w:spacing w:val="-5"/>
        </w:rPr>
        <w:t xml:space="preserve"> </w:t>
      </w:r>
      <w:r>
        <w:t>práce</w:t>
      </w:r>
    </w:p>
    <w:p w:rsidR="00123455" w:rsidRDefault="00E9192C">
      <w:pPr>
        <w:pStyle w:val="Zkladntext"/>
        <w:ind w:left="537" w:right="103"/>
        <w:jc w:val="both"/>
      </w:pPr>
      <w:r>
        <w:t>Pojištění sjednané touto smlouvou se vztahuje také na věcné škody na majetku, na kterém jsou prováděny stavební práce, instalace, montáže, provozní montáže, servisní práce apod. bez ohledu na to, zda je pro takové práce nutné stavební povolení. Pojištění podle tohoto smluvního ujednání  se sjednává v rozsahu pojistných nebezpečí sjednaných touto smlouvou. Limit plnění 10 000 000  Kč. Tímto limitem není omezeno pojistné plnění za škody způsobené na majetku, který není bezprostředně předmětem stavebních prací, byť by škody vznikly v jejich</w:t>
      </w:r>
      <w:r>
        <w:rPr>
          <w:spacing w:val="-20"/>
        </w:rPr>
        <w:t xml:space="preserve"> </w:t>
      </w:r>
      <w:r>
        <w:t>důsledku.</w:t>
      </w:r>
    </w:p>
    <w:p w:rsidR="00123455" w:rsidRDefault="00E9192C">
      <w:pPr>
        <w:pStyle w:val="Nadpis2"/>
        <w:numPr>
          <w:ilvl w:val="0"/>
          <w:numId w:val="11"/>
        </w:numPr>
        <w:tabs>
          <w:tab w:val="left" w:pos="540"/>
        </w:tabs>
        <w:spacing w:before="2"/>
      </w:pPr>
      <w:r>
        <w:t>Atmosférické srážky,</w:t>
      </w:r>
      <w:r>
        <w:rPr>
          <w:spacing w:val="-3"/>
        </w:rPr>
        <w:t xml:space="preserve"> </w:t>
      </w:r>
      <w:r>
        <w:t>zatečení</w:t>
      </w:r>
    </w:p>
    <w:p w:rsidR="00123455" w:rsidRDefault="00E9192C">
      <w:pPr>
        <w:pStyle w:val="Zkladntext"/>
        <w:ind w:left="537" w:right="102"/>
        <w:jc w:val="both"/>
      </w:pPr>
      <w:r>
        <w:t>Pojištění sjednané touto smlouvou se vztahuje také na škody způsobené vodou z atmosférických srážek včetně zatečení způsobené např. silným deštěm, tajícím sněhem apod. Pojistitel poskytne pojistné plnění také např. v případě, že svod dešťové vody nestačí odebírat atmosférické srážky nebo v případě, že působení sněhové, respektive ledové vrstvy a její tání poškodí pojištěný majetek, včetně stavebních součástí a/nebo způsobí škodu na předmětech pojištění uložených v pojištěných budovách, stavbách a/nebo objektech. Aplikuje se vždy nejnižší spoluúčast z uvedených nebezpečí. Limit plnění činí 200 000 Kč.</w:t>
      </w:r>
    </w:p>
    <w:p w:rsidR="00123455" w:rsidRDefault="00E9192C">
      <w:pPr>
        <w:pStyle w:val="Nadpis2"/>
        <w:numPr>
          <w:ilvl w:val="0"/>
          <w:numId w:val="11"/>
        </w:numPr>
        <w:tabs>
          <w:tab w:val="left" w:pos="540"/>
        </w:tabs>
      </w:pPr>
      <w:r>
        <w:t>Náraz dopravního prostředku, pád</w:t>
      </w:r>
      <w:r>
        <w:rPr>
          <w:spacing w:val="-8"/>
        </w:rPr>
        <w:t xml:space="preserve"> </w:t>
      </w:r>
      <w:r>
        <w:t>stromu</w:t>
      </w:r>
    </w:p>
    <w:p w:rsidR="00123455" w:rsidRDefault="00E9192C">
      <w:pPr>
        <w:pStyle w:val="Zkladntext"/>
        <w:ind w:left="539" w:right="103"/>
        <w:jc w:val="both"/>
      </w:pPr>
      <w: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 Nárazem dopravního prostředku se rozumí náraz vlastního dopravního prostředku i cizího prostředku, nebo cizího dopravního prostředku, který má pojištěný v držení nebo užívání.</w:t>
      </w:r>
    </w:p>
    <w:p w:rsidR="00123455" w:rsidRDefault="00E9192C">
      <w:pPr>
        <w:pStyle w:val="Zkladntext"/>
        <w:spacing w:before="1" w:line="252" w:lineRule="exact"/>
        <w:ind w:left="539"/>
        <w:jc w:val="both"/>
      </w:pPr>
      <w:r>
        <w:t>Toto pojištění se sjednává na první riziko s limitem plnění 10 000 000 Kč.</w:t>
      </w:r>
    </w:p>
    <w:p w:rsidR="00123455" w:rsidRDefault="00E9192C">
      <w:pPr>
        <w:pStyle w:val="Nadpis2"/>
        <w:numPr>
          <w:ilvl w:val="0"/>
          <w:numId w:val="11"/>
        </w:numPr>
        <w:tabs>
          <w:tab w:val="left" w:pos="540"/>
        </w:tabs>
        <w:spacing w:before="1"/>
      </w:pPr>
      <w:r>
        <w:t>Nezjištěný pachatel v pojištění odcizení a</w:t>
      </w:r>
      <w:r>
        <w:rPr>
          <w:spacing w:val="-11"/>
        </w:rPr>
        <w:t xml:space="preserve"> </w:t>
      </w:r>
      <w:r>
        <w:t>vandalismu</w:t>
      </w:r>
    </w:p>
    <w:p w:rsidR="00123455" w:rsidRDefault="00E9192C">
      <w:pPr>
        <w:pStyle w:val="Zkladntext"/>
        <w:spacing w:line="252" w:lineRule="exact"/>
        <w:ind w:left="539"/>
        <w:jc w:val="both"/>
      </w:pPr>
      <w:r>
        <w:t>Pojištění sjednané touto smlouvou se vztahuje i na případy, kdy je pachatel nezjištěn.</w:t>
      </w:r>
    </w:p>
    <w:p w:rsidR="00123455" w:rsidRDefault="00E9192C">
      <w:pPr>
        <w:pStyle w:val="Nadpis2"/>
        <w:numPr>
          <w:ilvl w:val="0"/>
          <w:numId w:val="11"/>
        </w:numPr>
        <w:tabs>
          <w:tab w:val="left" w:pos="540"/>
        </w:tabs>
        <w:spacing w:before="1"/>
      </w:pPr>
      <w:r>
        <w:t>Záplava, povodeň</w:t>
      </w:r>
    </w:p>
    <w:p w:rsidR="00123455" w:rsidRDefault="00E9192C">
      <w:pPr>
        <w:pStyle w:val="Zkladntext"/>
        <w:ind w:left="539" w:right="103"/>
        <w:jc w:val="both"/>
      </w:pPr>
      <w:r>
        <w:t>Plnění z pojištění rizika záplavy a povodně není omezeno skutečností, že záplava a povodeň měla charakter záplavy a povodně opakující se nejvýše s určitou časovou frekvencí (např. 20-letá voda apod.). Definice rizika záplavy a povodně není na časové periodě/frekvenci závislá.</w:t>
      </w:r>
    </w:p>
    <w:p w:rsidR="00123455" w:rsidRDefault="00E9192C">
      <w:pPr>
        <w:pStyle w:val="Nadpis2"/>
        <w:numPr>
          <w:ilvl w:val="0"/>
          <w:numId w:val="11"/>
        </w:numPr>
        <w:tabs>
          <w:tab w:val="left" w:pos="540"/>
        </w:tabs>
        <w:spacing w:before="1"/>
      </w:pPr>
      <w:r>
        <w:t>Náklady na vlastní a cizí technické zhodnocení</w:t>
      </w:r>
      <w:r>
        <w:rPr>
          <w:spacing w:val="-14"/>
        </w:rPr>
        <w:t xml:space="preserve"> </w:t>
      </w:r>
      <w:r>
        <w:t>budov</w:t>
      </w:r>
    </w:p>
    <w:p w:rsidR="00123455" w:rsidRDefault="00E9192C">
      <w:pPr>
        <w:pStyle w:val="Zkladntext"/>
        <w:spacing w:before="1"/>
        <w:ind w:left="539" w:right="104"/>
        <w:jc w:val="both"/>
      </w:pPr>
      <w:r>
        <w:t>Pojištění sjednané touto smlouvou zahrnuje také náklady na opravu nebo znovupořízení poškozených nebo zničených investic, které mají charakter technického zhodnocení budovy, ať již se jedná o investice vlastní nebo cizí (např. tzv.</w:t>
      </w:r>
      <w:r>
        <w:rPr>
          <w:spacing w:val="-17"/>
        </w:rPr>
        <w:t xml:space="preserve"> </w:t>
      </w:r>
      <w:r>
        <w:t>fitouty)</w:t>
      </w:r>
    </w:p>
    <w:p w:rsidR="00123455" w:rsidRDefault="00E9192C">
      <w:pPr>
        <w:pStyle w:val="Nadpis2"/>
        <w:numPr>
          <w:ilvl w:val="0"/>
          <w:numId w:val="11"/>
        </w:numPr>
        <w:tabs>
          <w:tab w:val="left" w:pos="540"/>
        </w:tabs>
      </w:pPr>
      <w:r>
        <w:t>Skla – definice</w:t>
      </w:r>
    </w:p>
    <w:p w:rsidR="00123455" w:rsidRDefault="00E9192C">
      <w:pPr>
        <w:pStyle w:val="Zkladntext"/>
        <w:ind w:left="539" w:right="103"/>
        <w:jc w:val="both"/>
      </w:pPr>
      <w:r>
        <w:t>Za soubor vnitřních i vnějších skel se považuje soubor oken, výloh, zrcadel, světlíků, vitrín, pultů, vnitřních stěn, vstupních dveří a případné provizorní zasklení, ve všech případech bez ohledu na tloušťku jednotlivého skla / celého zasklení, včetně nalepených folií, nápisů a čidel elektrické zabezpečovací signalizace na těchto sklech, soubor sanitární keramiky, světelných reklam apod.</w:t>
      </w:r>
    </w:p>
    <w:p w:rsidR="00123455" w:rsidRDefault="00E9192C">
      <w:pPr>
        <w:pStyle w:val="Zkladntext"/>
        <w:ind w:left="539" w:right="105"/>
        <w:jc w:val="both"/>
      </w:pPr>
      <w:r>
        <w:t>Pro účely tohoto pojištění se za skla považují skleněná zrcadla (optické prvky) a jim funkčně na roveň postavené materiály určené pro použití ve výzkumné technologii, které jsou nainstalovány nebo vedeny jako zásoby, včetně jejich povrchových úprav.</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Nadpis2"/>
        <w:numPr>
          <w:ilvl w:val="0"/>
          <w:numId w:val="11"/>
        </w:numPr>
        <w:tabs>
          <w:tab w:val="left" w:pos="540"/>
        </w:tabs>
        <w:spacing w:before="178"/>
        <w:jc w:val="both"/>
      </w:pPr>
      <w:r>
        <w:t>Poškození malbou, rytím</w:t>
      </w:r>
      <w:r>
        <w:rPr>
          <w:spacing w:val="-8"/>
        </w:rPr>
        <w:t xml:space="preserve"> </w:t>
      </w:r>
      <w:r>
        <w:t>apod.</w:t>
      </w:r>
    </w:p>
    <w:p w:rsidR="00123455" w:rsidRDefault="00E9192C">
      <w:pPr>
        <w:pStyle w:val="Zkladntext"/>
        <w:ind w:left="539" w:right="104"/>
        <w:jc w:val="both"/>
      </w:pPr>
      <w:r>
        <w:t>Pojištění sjednané touto smlouvou se vztahuje i na škody způsobené znečištěním (vnějším a/nebo vnitřním). Za znečištění se považuje úmyslné poškození pojištěné věci nápisem, malbou, rytím a jiným obdobným způsobem.</w:t>
      </w:r>
    </w:p>
    <w:p w:rsidR="00123455" w:rsidRDefault="00E9192C">
      <w:pPr>
        <w:pStyle w:val="Nadpis2"/>
        <w:numPr>
          <w:ilvl w:val="0"/>
          <w:numId w:val="11"/>
        </w:numPr>
        <w:tabs>
          <w:tab w:val="left" w:pos="540"/>
        </w:tabs>
        <w:spacing w:before="2"/>
        <w:jc w:val="both"/>
      </w:pPr>
      <w:r>
        <w:t>Prostá krádež</w:t>
      </w:r>
    </w:p>
    <w:p w:rsidR="00123455" w:rsidRDefault="00E9192C">
      <w:pPr>
        <w:pStyle w:val="Zkladntext"/>
        <w:ind w:left="539" w:right="105"/>
        <w:jc w:val="both"/>
      </w:pPr>
      <w:r>
        <w:t>Pojištění se vztahuje také na škodu vzniklou na pojištěné věci odcizením, pohřešováním nebo ztrátou  bez  zjevného  a  prokazatelného  překonání  zabezpečení  –  maximálním  limitem    plnění</w:t>
      </w:r>
    </w:p>
    <w:p w:rsidR="00123455" w:rsidRDefault="00E9192C">
      <w:pPr>
        <w:pStyle w:val="Zkladntext"/>
        <w:ind w:left="539" w:right="103"/>
        <w:jc w:val="both"/>
      </w:pPr>
      <w:r>
        <w:t>100.000 Kč na pojistnou událost a rok. Pro škody do výše 20 000 Kč nebude pojišťovna požadovat hlášení policii ČR.</w:t>
      </w:r>
    </w:p>
    <w:p w:rsidR="00123455" w:rsidRDefault="00E9192C">
      <w:pPr>
        <w:pStyle w:val="Nadpis2"/>
        <w:numPr>
          <w:ilvl w:val="0"/>
          <w:numId w:val="8"/>
        </w:numPr>
        <w:tabs>
          <w:tab w:val="left" w:pos="540"/>
        </w:tabs>
        <w:spacing w:before="1"/>
        <w:jc w:val="both"/>
      </w:pPr>
      <w:r>
        <w:t>Smluvní ujednání o zabezpečení</w:t>
      </w:r>
      <w:r>
        <w:rPr>
          <w:spacing w:val="-4"/>
        </w:rPr>
        <w:t xml:space="preserve"> </w:t>
      </w:r>
      <w:r>
        <w:t>majetku</w:t>
      </w:r>
    </w:p>
    <w:p w:rsidR="00123455" w:rsidRDefault="00E9192C">
      <w:pPr>
        <w:pStyle w:val="Zkladntext"/>
        <w:ind w:left="539" w:right="104"/>
        <w:jc w:val="both"/>
      </w:pPr>
      <w:r>
        <w:t>Odchylně od příslušných pojistných podmínek pojistitele se ujednává, že pojistitel akceptuje zabezpečení míst pojištění popsaná v Rizikové zprávě zprostředkovatele Aon Central and Eastern Europe a.s. – viz níže uvedené.</w:t>
      </w:r>
    </w:p>
    <w:p w:rsidR="00123455" w:rsidRDefault="00123455">
      <w:pPr>
        <w:pStyle w:val="Zkladntext"/>
        <w:spacing w:before="1"/>
      </w:pPr>
    </w:p>
    <w:p w:rsidR="00123455" w:rsidRDefault="00E9192C">
      <w:pPr>
        <w:pStyle w:val="Nadpis2"/>
        <w:jc w:val="both"/>
      </w:pPr>
      <w:r>
        <w:t>Ostraha</w:t>
      </w:r>
    </w:p>
    <w:p w:rsidR="00123455" w:rsidRDefault="00E9192C">
      <w:pPr>
        <w:spacing w:line="252" w:lineRule="exact"/>
        <w:ind w:left="112"/>
        <w:jc w:val="both"/>
        <w:rPr>
          <w:b/>
        </w:rPr>
      </w:pPr>
      <w:r>
        <w:rPr>
          <w:b/>
        </w:rPr>
        <w:t>ELI Beamlines</w:t>
      </w:r>
    </w:p>
    <w:p w:rsidR="00123455" w:rsidRDefault="00E9192C">
      <w:pPr>
        <w:pStyle w:val="Zkladntext"/>
        <w:spacing w:before="1"/>
        <w:ind w:left="112" w:right="101"/>
        <w:jc w:val="both"/>
      </w:pPr>
      <w:r>
        <w:t>V budově A (SO 01) je u vstupu do atria recepce (obsazena recepční) a v její blízkosti se nachází u administrativní části budovy velín, který je trvale obsazen 2 členy ostrahy. Bezpečnostní  agentura CENTR GROUP zajišťuje vždy jednoho pochůzkáře a jednoho dispečera. Trasa pochůzek je pravidelně kontrolována díky vstupnímu systému s kartami.</w:t>
      </w:r>
    </w:p>
    <w:p w:rsidR="00123455" w:rsidRDefault="00E9192C">
      <w:pPr>
        <w:pStyle w:val="Nadpis2"/>
        <w:jc w:val="both"/>
      </w:pPr>
      <w:r>
        <w:t>HiLASE</w:t>
      </w:r>
    </w:p>
    <w:p w:rsidR="00123455" w:rsidRDefault="00E9192C">
      <w:pPr>
        <w:pStyle w:val="Zkladntext"/>
        <w:spacing w:before="2"/>
        <w:ind w:left="112" w:right="101"/>
        <w:jc w:val="both"/>
      </w:pPr>
      <w:r>
        <w:t>Recepce je obsazena recepční od přibližně 7:00 do 16:00. Následně je vystřídána ostrahou, která odchází okolo 22:00 a budovu zamyká. Mimo pracovní dobu je budova uzamčená a v případě nežádaného vniknutí do objektu přichází kontrola z budovy ELI 1 a případně zásahová služba. Budova HiLASE je také chráněna společností CENTR GROUP jako centrum ELI Beamlines a vzdáleně přes PCO firmou</w:t>
      </w:r>
      <w:r>
        <w:rPr>
          <w:spacing w:val="-6"/>
        </w:rPr>
        <w:t xml:space="preserve"> </w:t>
      </w:r>
      <w:r>
        <w:t>Sistel.</w:t>
      </w:r>
    </w:p>
    <w:p w:rsidR="00123455" w:rsidRDefault="00123455">
      <w:pPr>
        <w:pStyle w:val="Zkladntext"/>
      </w:pPr>
    </w:p>
    <w:p w:rsidR="00123455" w:rsidRDefault="00E9192C">
      <w:pPr>
        <w:pStyle w:val="Nadpis2"/>
        <w:spacing w:line="240" w:lineRule="auto"/>
        <w:ind w:right="8547"/>
      </w:pPr>
      <w:r>
        <w:t>Oplocení, Vjezdy ELI Beamlines</w:t>
      </w:r>
    </w:p>
    <w:p w:rsidR="00123455" w:rsidRDefault="00E9192C">
      <w:pPr>
        <w:pStyle w:val="Zkladntext"/>
        <w:spacing w:before="1"/>
        <w:ind w:left="112" w:right="102"/>
        <w:jc w:val="both"/>
      </w:pPr>
      <w:r>
        <w:t>Hlavní komplex ELI 1 je oplocen drátěným plotem z jižní strany a částečně ze severní strany. Komplex s budovou C a budovou ELI 2 je kompletně oplocen. Oba komplexy jsou v noci trvale osvětleny. Do komplexu ELI 1 vedou 3 příjezdové cesty: první a druhá s pojezdovou bránou z ulice Ke Dvoru (zásobovací dvůr a zelená plocha nad halou s laboratořemi k montážnímu otvoru) a třetí se závorou z ulice Ke Zvoli, kde se nachází parkoviště.</w:t>
      </w:r>
    </w:p>
    <w:p w:rsidR="00123455" w:rsidRDefault="00E9192C">
      <w:pPr>
        <w:pStyle w:val="Zkladntext"/>
        <w:ind w:left="112" w:right="102"/>
        <w:jc w:val="both"/>
      </w:pPr>
      <w:r>
        <w:t>Druhý komplex (budova C a ELI 2) má hlavní vjezd se závorou a pojezdovou bránou umístěn v ulici Průmyslová a další dvě pojezdové brány z ulice Ke Dvoru. Vstup zaměstnanců je zajištěn čipovými kartami, které zaznamenávají každý vstup do jednotlivých částí budovy a přidělují zaměstnanců přístupová práva do konkrétních prostor.</w:t>
      </w:r>
    </w:p>
    <w:p w:rsidR="00123455" w:rsidRPr="00DA78FB" w:rsidRDefault="00E9192C">
      <w:pPr>
        <w:pStyle w:val="Nadpis2"/>
        <w:spacing w:before="2"/>
        <w:jc w:val="both"/>
        <w:rPr>
          <w:lang w:val="es-CO"/>
        </w:rPr>
      </w:pPr>
      <w:r w:rsidRPr="00DA78FB">
        <w:rPr>
          <w:lang w:val="es-CO"/>
        </w:rPr>
        <w:t>HiLASE</w:t>
      </w:r>
    </w:p>
    <w:p w:rsidR="00123455" w:rsidRPr="00DA78FB" w:rsidRDefault="00E9192C">
      <w:pPr>
        <w:pStyle w:val="Zkladntext"/>
        <w:ind w:left="112" w:right="105"/>
        <w:jc w:val="both"/>
        <w:rPr>
          <w:lang w:val="es-CO"/>
        </w:rPr>
      </w:pPr>
      <w:r w:rsidRPr="00DA78FB">
        <w:rPr>
          <w:lang w:val="es-CO"/>
        </w:rPr>
        <w:t>Budova HiLASE je v noci osvětlena a není oplocena. Kromě hlavního vstupu do budovy je také jeden vstup v zadní části budovy u garáže. Vjezd (k zadnímu vstupu) se závorou je z ulice Za Radnicí. Zaměstnanci používají pro vstup do některých částí budovy čipové karty.</w:t>
      </w:r>
    </w:p>
    <w:p w:rsidR="00123455" w:rsidRPr="00DA78FB" w:rsidRDefault="00123455">
      <w:pPr>
        <w:jc w:val="both"/>
        <w:rPr>
          <w:lang w:val="es-CO"/>
        </w:rPr>
        <w:sectPr w:rsidR="00123455" w:rsidRPr="00DA78FB">
          <w:pgSz w:w="11920" w:h="16840"/>
          <w:pgMar w:top="3120" w:right="740" w:bottom="1980" w:left="740" w:header="1798" w:footer="1785" w:gutter="0"/>
          <w:cols w:space="720"/>
        </w:sectPr>
      </w:pPr>
    </w:p>
    <w:p w:rsidR="00123455" w:rsidRPr="00DA78FB" w:rsidRDefault="00E9192C">
      <w:pPr>
        <w:pStyle w:val="Nadpis2"/>
        <w:spacing w:before="178" w:line="240" w:lineRule="auto"/>
        <w:ind w:right="8804"/>
        <w:rPr>
          <w:lang w:val="es-CO"/>
        </w:rPr>
      </w:pPr>
      <w:r w:rsidRPr="00DA78FB">
        <w:rPr>
          <w:lang w:val="es-CO"/>
        </w:rPr>
        <w:t>CCTV Systém ELI Beamlines</w:t>
      </w:r>
    </w:p>
    <w:p w:rsidR="00123455" w:rsidRPr="00DA78FB" w:rsidRDefault="00E9192C">
      <w:pPr>
        <w:pStyle w:val="Zkladntext"/>
        <w:spacing w:before="1"/>
        <w:ind w:left="112" w:right="100"/>
        <w:jc w:val="both"/>
        <w:rPr>
          <w:lang w:val="es-CO"/>
        </w:rPr>
      </w:pPr>
      <w:r w:rsidRPr="00DA78FB">
        <w:rPr>
          <w:lang w:val="es-CO"/>
        </w:rPr>
        <w:t>Areál ELI Beamlines je monitorován celkem 157 IP kamerami. Celkem 35 kamer chrání perimetr a parkoviště a zbylých 115 kamer chrání vnitřní prostory budov. Kamery jsou umístěny na sloupech VO (vjezdy a vchody), na fasádě a na chodbách, skladech a dalších místech uvnitř objektu.  Venkovní kamery jsou instalovány s IR přísvitem a vyhřívanými kryty. Kvalita obrazu je 720p a záznam  se uchovává na IP záznamové zařízení (uchováván po dobu 10 dnů). Pracovní stanice s monitorem je na recepci. Klientská pracoviště jsou u operátorského pracoviště pro ostrahu objektu a v místě velínu ostrahy.</w:t>
      </w:r>
    </w:p>
    <w:p w:rsidR="00123455" w:rsidRPr="00DA78FB" w:rsidRDefault="00E9192C">
      <w:pPr>
        <w:pStyle w:val="Nadpis2"/>
        <w:spacing w:before="1"/>
        <w:jc w:val="both"/>
        <w:rPr>
          <w:lang w:val="es-CO"/>
        </w:rPr>
      </w:pPr>
      <w:r w:rsidRPr="00DA78FB">
        <w:rPr>
          <w:lang w:val="es-CO"/>
        </w:rPr>
        <w:t>HiLASE</w:t>
      </w:r>
    </w:p>
    <w:p w:rsidR="00123455" w:rsidRPr="00DA78FB" w:rsidRDefault="00E9192C">
      <w:pPr>
        <w:pStyle w:val="Zkladntext"/>
        <w:ind w:left="112"/>
        <w:rPr>
          <w:lang w:val="es-CO"/>
        </w:rPr>
      </w:pPr>
      <w:r w:rsidRPr="00DA78FB">
        <w:rPr>
          <w:lang w:val="es-CO"/>
        </w:rPr>
        <w:t>Kamerový systém je instalován v budově a u vstupů. Jedná se celkem o 20 kamer se záznamem dvou dnů. Monitory jsou umístěny na recepci a ve velíně za recepcí.</w:t>
      </w:r>
    </w:p>
    <w:p w:rsidR="00123455" w:rsidRPr="00DA78FB" w:rsidRDefault="00123455">
      <w:pPr>
        <w:pStyle w:val="Zkladntext"/>
        <w:spacing w:before="10"/>
        <w:rPr>
          <w:sz w:val="21"/>
          <w:lang w:val="es-CO"/>
        </w:rPr>
      </w:pPr>
    </w:p>
    <w:p w:rsidR="00123455" w:rsidRPr="00DA78FB" w:rsidRDefault="00E9192C">
      <w:pPr>
        <w:pStyle w:val="Nadpis2"/>
        <w:spacing w:line="240" w:lineRule="auto"/>
        <w:ind w:right="6578"/>
        <w:rPr>
          <w:lang w:val="es-CO"/>
        </w:rPr>
      </w:pPr>
      <w:r w:rsidRPr="00DA78FB">
        <w:rPr>
          <w:lang w:val="es-CO"/>
        </w:rPr>
        <w:t>Elektronický zabezpečovací systém ELI Beamlines</w:t>
      </w:r>
    </w:p>
    <w:p w:rsidR="00123455" w:rsidRDefault="00E9192C">
      <w:pPr>
        <w:pStyle w:val="Zkladntext"/>
        <w:ind w:left="112" w:right="104"/>
        <w:jc w:val="both"/>
      </w:pPr>
      <w:r w:rsidRPr="00DA78FB">
        <w:rPr>
          <w:lang w:val="es-CO"/>
        </w:rPr>
        <w:t xml:space="preserve">EZS je instalována ve všech 4 budovách ELI Beamlines (SO 01 – SO 04). Systém zabezpečuje plášťovou a prostorovou ochranu budov. Ochrana je zajištěna pomocí magnetů, detektorů rozbití skla, pohybovými detektory a ručními tlačítky. </w:t>
      </w:r>
      <w:r>
        <w:t>Chráněné prostory jsou:</w:t>
      </w:r>
    </w:p>
    <w:p w:rsidR="00123455" w:rsidRDefault="00E9192C">
      <w:pPr>
        <w:pStyle w:val="Odstavecseseznamem"/>
        <w:numPr>
          <w:ilvl w:val="0"/>
          <w:numId w:val="7"/>
        </w:numPr>
        <w:tabs>
          <w:tab w:val="left" w:pos="251"/>
        </w:tabs>
        <w:spacing w:before="1" w:line="252" w:lineRule="exact"/>
        <w:ind w:firstLine="0"/>
      </w:pPr>
      <w:r>
        <w:t>ELI 1 – dveře a vrata, atrium, WC pro postižené (výstup na velín, recepční pult a</w:t>
      </w:r>
      <w:r>
        <w:rPr>
          <w:spacing w:val="-18"/>
        </w:rPr>
        <w:t xml:space="preserve"> </w:t>
      </w:r>
      <w:r>
        <w:t>serverovnu)</w:t>
      </w:r>
    </w:p>
    <w:p w:rsidR="00123455" w:rsidRDefault="00E9192C">
      <w:pPr>
        <w:pStyle w:val="Odstavecseseznamem"/>
        <w:numPr>
          <w:ilvl w:val="0"/>
          <w:numId w:val="7"/>
        </w:numPr>
        <w:tabs>
          <w:tab w:val="left" w:pos="251"/>
        </w:tabs>
        <w:spacing w:before="99"/>
        <w:ind w:left="250" w:hanging="138"/>
      </w:pPr>
      <w:r>
        <w:t>SO 03 – všechny vstupní dveře do objektu, strojovna chlazení (výstup ve strojovně</w:t>
      </w:r>
      <w:r>
        <w:rPr>
          <w:spacing w:val="-20"/>
        </w:rPr>
        <w:t xml:space="preserve"> </w:t>
      </w:r>
      <w:r>
        <w:t>chlazení)</w:t>
      </w:r>
    </w:p>
    <w:p w:rsidR="00123455" w:rsidRDefault="00E9192C">
      <w:pPr>
        <w:pStyle w:val="Odstavecseseznamem"/>
        <w:numPr>
          <w:ilvl w:val="0"/>
          <w:numId w:val="7"/>
        </w:numPr>
        <w:tabs>
          <w:tab w:val="left" w:pos="316"/>
        </w:tabs>
        <w:spacing w:before="102"/>
        <w:ind w:right="104" w:firstLine="0"/>
      </w:pPr>
      <w:r>
        <w:t>ELI 2 – všechny vstupní dveře a vrata do objektu, vchody do skladu, prostory dílen a skladu, serverovna, chodby a šatna (výstup za vstupními dveřmi do objektu, před vstupem do skladu a v serverovně)</w:t>
      </w:r>
    </w:p>
    <w:p w:rsidR="00123455" w:rsidRDefault="00E9192C">
      <w:pPr>
        <w:pStyle w:val="Nadpis2"/>
        <w:spacing w:before="1"/>
        <w:jc w:val="both"/>
      </w:pPr>
      <w:r>
        <w:t>HiLASE</w:t>
      </w:r>
    </w:p>
    <w:p w:rsidR="00123455" w:rsidRDefault="00E9192C">
      <w:pPr>
        <w:pStyle w:val="Zkladntext"/>
        <w:ind w:left="539" w:right="106"/>
        <w:jc w:val="both"/>
      </w:pPr>
      <w:r>
        <w:t>EZS je instalována v budově a mimo pracovní dobu se jedná o hlavně zabezpečovací systém při nepřítomnosti ostrahy. Systém je napojen na PCO bezpečnostní agentury, která může ihned vyslat jednoho zaměstnance ostrahy z budovy ELI 1.</w:t>
      </w:r>
    </w:p>
    <w:p w:rsidR="00123455" w:rsidRDefault="00123455">
      <w:pPr>
        <w:pStyle w:val="Zkladntext"/>
        <w:spacing w:before="1"/>
      </w:pPr>
    </w:p>
    <w:p w:rsidR="00123455" w:rsidRDefault="00E9192C">
      <w:pPr>
        <w:pStyle w:val="Nadpis2"/>
        <w:numPr>
          <w:ilvl w:val="0"/>
          <w:numId w:val="8"/>
        </w:numPr>
        <w:tabs>
          <w:tab w:val="left" w:pos="540"/>
        </w:tabs>
        <w:jc w:val="both"/>
      </w:pPr>
      <w:r>
        <w:t>Ztráta pojištěné věci v důsledku pojistné</w:t>
      </w:r>
      <w:r>
        <w:rPr>
          <w:spacing w:val="-13"/>
        </w:rPr>
        <w:t xml:space="preserve"> </w:t>
      </w:r>
      <w:r>
        <w:t>události</w:t>
      </w:r>
    </w:p>
    <w:p w:rsidR="00123455" w:rsidRDefault="00E9192C">
      <w:pPr>
        <w:pStyle w:val="Zkladntext"/>
        <w:ind w:left="539" w:right="105"/>
        <w:jc w:val="both"/>
      </w:pPr>
      <w:r>
        <w:t>Pojištění sjednané touto smlouvou se vztahuje také na škody způsobené ztrátou pojištěné věci         v přímé souvislosti s pojistnou událostí pojištěnou touto pojistnou</w:t>
      </w:r>
      <w:r>
        <w:rPr>
          <w:spacing w:val="-26"/>
        </w:rPr>
        <w:t xml:space="preserve"> </w:t>
      </w:r>
      <w:r>
        <w:t>smlouvou.</w:t>
      </w:r>
    </w:p>
    <w:p w:rsidR="00123455" w:rsidRDefault="00123455">
      <w:pPr>
        <w:pStyle w:val="Zkladntext"/>
        <w:spacing w:before="10"/>
        <w:rPr>
          <w:sz w:val="21"/>
        </w:rPr>
      </w:pPr>
    </w:p>
    <w:p w:rsidR="00123455" w:rsidRDefault="00E9192C">
      <w:pPr>
        <w:pStyle w:val="Nadpis2"/>
        <w:numPr>
          <w:ilvl w:val="0"/>
          <w:numId w:val="8"/>
        </w:numPr>
        <w:tabs>
          <w:tab w:val="left" w:pos="540"/>
        </w:tabs>
        <w:spacing w:line="240" w:lineRule="auto"/>
        <w:jc w:val="both"/>
      </w:pPr>
      <w:r>
        <w:t>Výměna zámků</w:t>
      </w:r>
    </w:p>
    <w:p w:rsidR="00123455" w:rsidRDefault="00E9192C">
      <w:pPr>
        <w:pStyle w:val="Zkladntext"/>
        <w:spacing w:before="1"/>
        <w:ind w:left="539" w:right="102"/>
        <w:jc w:val="both"/>
      </w:pPr>
      <w:r>
        <w:t>Pojištění zahrnuje i náklady na výměnu zámků vnějších či vnitřních dveří budovy na místě pojištění, pokud došlo ke ztrátě klíče v důsledku pojistné události nebo odcizením. Toto pojištění se sjednává se samostatným limitem plnění (první riziko) ve výši 500 000 Kč.</w:t>
      </w:r>
    </w:p>
    <w:p w:rsidR="00123455" w:rsidRDefault="00E9192C">
      <w:pPr>
        <w:pStyle w:val="Nadpis2"/>
        <w:numPr>
          <w:ilvl w:val="0"/>
          <w:numId w:val="8"/>
        </w:numPr>
        <w:tabs>
          <w:tab w:val="left" w:pos="540"/>
        </w:tabs>
        <w:jc w:val="both"/>
      </w:pPr>
      <w:r>
        <w:t>Elektronické části</w:t>
      </w:r>
      <w:r>
        <w:rPr>
          <w:spacing w:val="-6"/>
        </w:rPr>
        <w:t xml:space="preserve"> </w:t>
      </w:r>
      <w:r>
        <w:t>strojů</w:t>
      </w:r>
    </w:p>
    <w:p w:rsidR="00123455" w:rsidRDefault="00E9192C">
      <w:pPr>
        <w:pStyle w:val="Zkladntext"/>
        <w:spacing w:before="1"/>
        <w:ind w:left="539" w:right="104"/>
        <w:jc w:val="both"/>
      </w:pPr>
      <w:r>
        <w:t>Je-li v pojistné smlouvě sjednáno pojištění strojních rizik, sjednané pojištění se vztahuje také na řídící a jiné elektronické prvky a součásti pojištěných strojních</w:t>
      </w:r>
      <w:r>
        <w:rPr>
          <w:spacing w:val="-17"/>
        </w:rPr>
        <w:t xml:space="preserve"> </w:t>
      </w:r>
      <w:r>
        <w:t>zařízení.</w:t>
      </w:r>
    </w:p>
    <w:p w:rsidR="00123455" w:rsidRDefault="00E9192C">
      <w:pPr>
        <w:pStyle w:val="Nadpis2"/>
        <w:numPr>
          <w:ilvl w:val="0"/>
          <w:numId w:val="8"/>
        </w:numPr>
        <w:tabs>
          <w:tab w:val="left" w:pos="543"/>
        </w:tabs>
        <w:ind w:left="542"/>
        <w:jc w:val="both"/>
      </w:pPr>
      <w:r>
        <w:t>Pojištění stavebních</w:t>
      </w:r>
      <w:r>
        <w:rPr>
          <w:spacing w:val="-4"/>
        </w:rPr>
        <w:t xml:space="preserve"> </w:t>
      </w:r>
      <w:r>
        <w:t>součástí</w:t>
      </w:r>
    </w:p>
    <w:p w:rsidR="00123455" w:rsidRDefault="00E9192C">
      <w:pPr>
        <w:pStyle w:val="Zkladntext"/>
        <w:spacing w:before="2"/>
        <w:ind w:left="542" w:right="106"/>
        <w:jc w:val="both"/>
      </w:pPr>
      <w:r>
        <w:t>Odchylně od VPP se pojištění krádeže vztahuje i na škody způsobené na pevně spojených součástech budovy (např. okapy, parapety apod.) bez zabezpečení zámkem a bez překonání jiné překážky s ročním sublimitem plnění ve výši 1 000 000 Kč, spoluúčast 5 000 Kč.</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Nadpis2"/>
        <w:numPr>
          <w:ilvl w:val="0"/>
          <w:numId w:val="8"/>
        </w:numPr>
        <w:tabs>
          <w:tab w:val="left" w:pos="543"/>
        </w:tabs>
        <w:spacing w:before="178"/>
        <w:ind w:left="542"/>
      </w:pPr>
      <w:r>
        <w:t>Pojistné plnění -</w:t>
      </w:r>
      <w:r>
        <w:rPr>
          <w:spacing w:val="-3"/>
        </w:rPr>
        <w:t xml:space="preserve"> </w:t>
      </w:r>
      <w:r>
        <w:t>DPH</w:t>
      </w:r>
    </w:p>
    <w:p w:rsidR="00123455" w:rsidRDefault="00E9192C">
      <w:pPr>
        <w:pStyle w:val="Zkladntext"/>
        <w:ind w:left="542" w:right="103"/>
        <w:jc w:val="both"/>
      </w:pPr>
      <w:r>
        <w:t>Pojistné plnění bude poskytnuto tak, aby při znovu pořizování majetku krylo také příslušnou DPH dle platných právních předpisů. U projektu ELI nevzniká žádný nárok na odpočet DPH. U projektu HiLASE vzniká nárok na částečný odpočet DPH stanovený koeficientem určeným platnými právními předpisy.</w:t>
      </w:r>
    </w:p>
    <w:p w:rsidR="00123455" w:rsidRDefault="00E9192C">
      <w:pPr>
        <w:pStyle w:val="Nadpis2"/>
        <w:numPr>
          <w:ilvl w:val="0"/>
          <w:numId w:val="8"/>
        </w:numPr>
        <w:tabs>
          <w:tab w:val="left" w:pos="540"/>
        </w:tabs>
      </w:pPr>
      <w:r>
        <w:t>Lehké</w:t>
      </w:r>
      <w:r>
        <w:rPr>
          <w:spacing w:val="1"/>
        </w:rPr>
        <w:t xml:space="preserve"> </w:t>
      </w:r>
      <w:r>
        <w:t>stavby</w:t>
      </w:r>
    </w:p>
    <w:p w:rsidR="00123455" w:rsidRDefault="00E9192C">
      <w:pPr>
        <w:pStyle w:val="Zkladntext"/>
        <w:ind w:left="472" w:right="110"/>
        <w:jc w:val="both"/>
      </w:pPr>
      <w:r>
        <w:t>Odchylně od od VPP se ujednává, že živelní pojištění se sjednává i pro lehké stavby, dřevostavby, přístřešky a stany a majetek umístěný v nich, s maximálním ročním limitem 1.000.000 Kč.</w:t>
      </w:r>
    </w:p>
    <w:p w:rsidR="00123455" w:rsidRDefault="00E9192C">
      <w:pPr>
        <w:pStyle w:val="Nadpis2"/>
        <w:numPr>
          <w:ilvl w:val="0"/>
          <w:numId w:val="8"/>
        </w:numPr>
        <w:tabs>
          <w:tab w:val="left" w:pos="540"/>
        </w:tabs>
      </w:pPr>
      <w:r>
        <w:t>Odečet jedné</w:t>
      </w:r>
      <w:r>
        <w:rPr>
          <w:spacing w:val="-3"/>
        </w:rPr>
        <w:t xml:space="preserve"> </w:t>
      </w:r>
      <w:r>
        <w:t>spoluúčasti</w:t>
      </w:r>
    </w:p>
    <w:p w:rsidR="00123455" w:rsidRDefault="00E9192C">
      <w:pPr>
        <w:pStyle w:val="Zkladntext"/>
        <w:spacing w:before="2"/>
        <w:ind w:left="470" w:right="103"/>
        <w:jc w:val="both"/>
      </w:pPr>
      <w:r>
        <w:t>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w:t>
      </w:r>
    </w:p>
    <w:p w:rsidR="00123455" w:rsidRDefault="00E9192C">
      <w:pPr>
        <w:pStyle w:val="Zkladntext"/>
        <w:spacing w:line="252" w:lineRule="exact"/>
        <w:ind w:left="112"/>
      </w:pPr>
      <w:r>
        <w:t>------------------------------------------------------------------------------------------------------------------------------------------</w:t>
      </w:r>
    </w:p>
    <w:p w:rsidR="00123455" w:rsidRDefault="00E9192C">
      <w:pPr>
        <w:pStyle w:val="Nadpis2"/>
        <w:spacing w:before="6" w:line="500" w:lineRule="atLeast"/>
        <w:ind w:right="6885"/>
      </w:pPr>
      <w:r>
        <w:t>Pojištění odpovědnosti za škodu Pojištěné subjekty: Pojistník/Pojištěný:</w:t>
      </w:r>
    </w:p>
    <w:p w:rsidR="00123455" w:rsidRDefault="00E9192C">
      <w:pPr>
        <w:spacing w:line="252" w:lineRule="exact"/>
        <w:ind w:left="112"/>
        <w:rPr>
          <w:b/>
        </w:rPr>
      </w:pPr>
      <w:r>
        <w:rPr>
          <w:b/>
        </w:rPr>
        <w:t>Fyzikální ústav AV ČR, v.v.i., Na Slovance 2, 182 21  Praha 8, IČ 68378271</w:t>
      </w:r>
    </w:p>
    <w:p w:rsidR="00123455" w:rsidRDefault="00E9192C">
      <w:pPr>
        <w:spacing w:before="2"/>
        <w:ind w:left="112"/>
        <w:rPr>
          <w:b/>
        </w:rPr>
      </w:pPr>
      <w:r>
        <w:rPr>
          <w:b/>
        </w:rPr>
        <w:t>The Extreme Light Infrastructure ERIC, Za Radnicí 835, 252  41 Dolní Břežany, IČ: 10974938</w:t>
      </w:r>
    </w:p>
    <w:p w:rsidR="00123455" w:rsidRDefault="00123455">
      <w:pPr>
        <w:pStyle w:val="Zkladntext"/>
        <w:spacing w:before="9"/>
        <w:rPr>
          <w:b/>
          <w:sz w:val="21"/>
        </w:rPr>
      </w:pPr>
    </w:p>
    <w:p w:rsidR="00123455" w:rsidRDefault="00E9192C">
      <w:pPr>
        <w:pStyle w:val="Zkladntext"/>
        <w:ind w:left="112"/>
      </w:pPr>
      <w:r>
        <w:rPr>
          <w:u w:val="single"/>
        </w:rPr>
        <w:t>Pojištění se vztahuje výhradně na činnosti výzkumných center</w:t>
      </w:r>
      <w:r>
        <w:t>:</w:t>
      </w:r>
    </w:p>
    <w:p w:rsidR="00123455" w:rsidRDefault="00123455">
      <w:pPr>
        <w:pStyle w:val="Zkladntext"/>
        <w:spacing w:before="10"/>
        <w:rPr>
          <w:sz w:val="13"/>
        </w:rPr>
      </w:pPr>
    </w:p>
    <w:p w:rsidR="00123455" w:rsidRDefault="00E9192C">
      <w:pPr>
        <w:pStyle w:val="Zkladntext"/>
        <w:spacing w:before="93"/>
        <w:ind w:left="112" w:right="104"/>
        <w:jc w:val="both"/>
      </w:pPr>
      <w:r>
        <w:t>Centrum ELI Beamlines (vlastník The Extreme Light Infrastructure ERIC, adresa centra Za Radnicí 835, 252 41 Dolní Břežany)Centrum HiLASE (vlastník Fyzikální ústav AV ČR, v.v.i., adresa centra Za Radnicí 828, 252 41 Dolní Břežany)</w:t>
      </w:r>
    </w:p>
    <w:p w:rsidR="00123455" w:rsidRDefault="00123455">
      <w:pPr>
        <w:pStyle w:val="Zkladntext"/>
        <w:spacing w:before="10"/>
        <w:rPr>
          <w:sz w:val="19"/>
        </w:rPr>
      </w:pPr>
    </w:p>
    <w:p w:rsidR="00123455" w:rsidRDefault="00E9192C">
      <w:pPr>
        <w:pStyle w:val="Nadpis2"/>
        <w:spacing w:line="240" w:lineRule="auto"/>
        <w:jc w:val="both"/>
      </w:pPr>
      <w:r>
        <w:t>Pojištěné předměty podnikání</w:t>
      </w:r>
    </w:p>
    <w:p w:rsidR="00123455" w:rsidRDefault="00123455">
      <w:pPr>
        <w:pStyle w:val="Zkladntext"/>
        <w:rPr>
          <w:b/>
        </w:rPr>
      </w:pPr>
    </w:p>
    <w:p w:rsidR="00123455" w:rsidRDefault="00E9192C">
      <w:pPr>
        <w:pStyle w:val="Zkladntext"/>
        <w:ind w:left="112"/>
      </w:pPr>
      <w:r>
        <w:t>V rozsahu zřizovací listiny a dodatku č. 1 ke zřizovací listině a dále dle výpisu z rejstříku veřejných výzkumných institucí, platných k datu počátku pojištění v případě Fyzikálního ústavu AV ČR, v.v.i..</w:t>
      </w:r>
    </w:p>
    <w:p w:rsidR="00123455" w:rsidRDefault="00123455">
      <w:pPr>
        <w:pStyle w:val="Zkladntext"/>
        <w:spacing w:before="9"/>
        <w:rPr>
          <w:sz w:val="21"/>
        </w:rPr>
      </w:pPr>
    </w:p>
    <w:p w:rsidR="00123455" w:rsidRDefault="00E9192C">
      <w:pPr>
        <w:pStyle w:val="Zkladntext"/>
        <w:ind w:left="112"/>
        <w:jc w:val="both"/>
      </w:pPr>
      <w:r>
        <w:t>V rozsahu Stanov v případě The Extreme Light Infrastructure ERIC.</w:t>
      </w:r>
    </w:p>
    <w:p w:rsidR="00123455" w:rsidRDefault="00123455">
      <w:pPr>
        <w:pStyle w:val="Zkladntext"/>
      </w:pPr>
    </w:p>
    <w:p w:rsidR="00123455" w:rsidRDefault="00E9192C">
      <w:pPr>
        <w:pStyle w:val="Zkladntext"/>
        <w:ind w:left="112"/>
      </w:pPr>
      <w:r>
        <w:rPr>
          <w:b/>
        </w:rPr>
        <w:t xml:space="preserve">Základní pojištění </w:t>
      </w:r>
      <w:r>
        <w:t>– v rozsahu čl. 3 Doplňkových pojistných podmínek pro pojištění odpovědnosti podnikatele a právnické osoby UCZ/Odp-P/14 (dále jen „UCZ/Odp-P/14“)</w:t>
      </w:r>
    </w:p>
    <w:p w:rsidR="00123455" w:rsidRDefault="00E9192C">
      <w:pPr>
        <w:pStyle w:val="Zkladntext"/>
        <w:tabs>
          <w:tab w:val="left" w:pos="3799"/>
        </w:tabs>
        <w:spacing w:line="252" w:lineRule="exact"/>
        <w:ind w:left="112"/>
      </w:pPr>
      <w:r>
        <w:t>Limit plnění</w:t>
      </w:r>
      <w:r>
        <w:rPr>
          <w:spacing w:val="-1"/>
        </w:rPr>
        <w:t xml:space="preserve"> </w:t>
      </w:r>
      <w:r>
        <w:t>v</w:t>
      </w:r>
      <w:r>
        <w:rPr>
          <w:spacing w:val="1"/>
        </w:rPr>
        <w:t xml:space="preserve"> </w:t>
      </w:r>
      <w:r>
        <w:t>Kč</w:t>
      </w:r>
      <w:r>
        <w:tab/>
        <w:t>30.000.000</w:t>
      </w:r>
    </w:p>
    <w:p w:rsidR="00123455" w:rsidRDefault="00E9192C">
      <w:pPr>
        <w:pStyle w:val="Zkladntext"/>
        <w:tabs>
          <w:tab w:val="left" w:pos="3799"/>
        </w:tabs>
        <w:spacing w:line="252" w:lineRule="exact"/>
        <w:ind w:left="112"/>
        <w:jc w:val="both"/>
      </w:pPr>
      <w:r>
        <w:t>Sublimit limitu plnění</w:t>
      </w:r>
      <w:r>
        <w:rPr>
          <w:spacing w:val="-4"/>
        </w:rPr>
        <w:t xml:space="preserve"> </w:t>
      </w:r>
      <w:r>
        <w:t>v</w:t>
      </w:r>
      <w:r>
        <w:rPr>
          <w:spacing w:val="-4"/>
        </w:rPr>
        <w:t xml:space="preserve"> </w:t>
      </w:r>
      <w:r>
        <w:t>Kč</w:t>
      </w:r>
      <w:r>
        <w:tab/>
        <w:t>5.000.000 pro věci</w:t>
      </w:r>
      <w:r>
        <w:rPr>
          <w:spacing w:val="-5"/>
        </w:rPr>
        <w:t xml:space="preserve"> </w:t>
      </w:r>
      <w:r>
        <w:t>vnesené</w:t>
      </w:r>
    </w:p>
    <w:p w:rsidR="00123455" w:rsidRDefault="00E9192C">
      <w:pPr>
        <w:pStyle w:val="Zkladntext"/>
        <w:spacing w:line="252" w:lineRule="exact"/>
        <w:ind w:left="3799"/>
      </w:pPr>
      <w:r>
        <w:t>500.000 pro škody na automobilech návštěvníků</w:t>
      </w:r>
    </w:p>
    <w:p w:rsidR="00123455" w:rsidRDefault="00E9192C">
      <w:pPr>
        <w:pStyle w:val="Zkladntext"/>
        <w:ind w:left="3799" w:right="1365"/>
      </w:pPr>
      <w:r>
        <w:t>10.000.000 pro regresy zdravotních pojišťoven, dávek nemocenského pojištění – třetí strany</w:t>
      </w:r>
    </w:p>
    <w:p w:rsidR="00123455" w:rsidRDefault="00123455">
      <w:pPr>
        <w:sectPr w:rsidR="00123455">
          <w:pgSz w:w="11920" w:h="16840"/>
          <w:pgMar w:top="3120" w:right="740" w:bottom="1980" w:left="740" w:header="1798" w:footer="1785" w:gutter="0"/>
          <w:cols w:space="720"/>
        </w:sectPr>
      </w:pPr>
    </w:p>
    <w:p w:rsidR="00123455" w:rsidRDefault="00E9192C">
      <w:pPr>
        <w:pStyle w:val="Zkladntext"/>
        <w:spacing w:before="178"/>
        <w:ind w:left="3799" w:right="1365"/>
      </w:pPr>
      <w:r>
        <w:t>10.000.000 pro regresy zdravotních pojišťoven, dávek nemocenského pojištění – zaměstnanci</w:t>
      </w:r>
    </w:p>
    <w:p w:rsidR="00123455" w:rsidRDefault="00E9192C">
      <w:pPr>
        <w:pStyle w:val="Zkladntext"/>
        <w:spacing w:before="1" w:line="252" w:lineRule="exact"/>
        <w:ind w:left="3799"/>
      </w:pPr>
      <w:r>
        <w:t>1.000.000 pro provoz pracovních strojů</w:t>
      </w:r>
    </w:p>
    <w:p w:rsidR="00123455" w:rsidRDefault="00E9192C">
      <w:pPr>
        <w:pStyle w:val="Nadpis2"/>
        <w:spacing w:line="240" w:lineRule="auto"/>
        <w:ind w:left="3799" w:right="752"/>
      </w:pPr>
      <w:r>
        <w:t>5.000.000 pro stavebně-montážní činnost včetně křížové odpovědnosti</w:t>
      </w:r>
    </w:p>
    <w:p w:rsidR="00123455" w:rsidRDefault="00123455">
      <w:pPr>
        <w:pStyle w:val="Zkladntext"/>
        <w:spacing w:before="1"/>
        <w:rPr>
          <w:b/>
        </w:rPr>
      </w:pPr>
    </w:p>
    <w:p w:rsidR="00123455" w:rsidRDefault="00E9192C">
      <w:pPr>
        <w:pStyle w:val="Zkladntext"/>
        <w:tabs>
          <w:tab w:val="left" w:pos="3799"/>
        </w:tabs>
        <w:spacing w:line="253" w:lineRule="exact"/>
        <w:ind w:left="112"/>
      </w:pPr>
      <w:r>
        <w:t>Spoluúčast v</w:t>
      </w:r>
      <w:r>
        <w:rPr>
          <w:spacing w:val="-2"/>
        </w:rPr>
        <w:t xml:space="preserve"> </w:t>
      </w:r>
      <w:r>
        <w:t>Kč</w:t>
      </w:r>
      <w:r>
        <w:tab/>
        <w:t>10.000</w:t>
      </w:r>
    </w:p>
    <w:p w:rsidR="00123455" w:rsidRDefault="00E9192C">
      <w:pPr>
        <w:pStyle w:val="Zkladntext"/>
        <w:spacing w:line="252" w:lineRule="exact"/>
        <w:ind w:left="3799"/>
      </w:pPr>
      <w:r>
        <w:t>1.000 pro regresy zdravotních pojišťoven</w:t>
      </w:r>
    </w:p>
    <w:p w:rsidR="00123455" w:rsidRDefault="00E9192C">
      <w:pPr>
        <w:pStyle w:val="Zkladntext"/>
        <w:tabs>
          <w:tab w:val="left" w:pos="3806"/>
        </w:tabs>
        <w:spacing w:line="252" w:lineRule="exact"/>
        <w:ind w:left="112"/>
      </w:pPr>
      <w:r>
        <w:t>Územní</w:t>
      </w:r>
      <w:r>
        <w:rPr>
          <w:spacing w:val="-2"/>
        </w:rPr>
        <w:t xml:space="preserve"> </w:t>
      </w:r>
      <w:r>
        <w:t>platnost</w:t>
      </w:r>
      <w:r>
        <w:tab/>
        <w:t>Celý svět bez USA a</w:t>
      </w:r>
      <w:r>
        <w:rPr>
          <w:spacing w:val="-6"/>
        </w:rPr>
        <w:t xml:space="preserve"> </w:t>
      </w:r>
      <w:r>
        <w:t>Kanady</w:t>
      </w:r>
    </w:p>
    <w:p w:rsidR="00123455" w:rsidRDefault="00E9192C">
      <w:pPr>
        <w:pStyle w:val="Zkladntext"/>
        <w:tabs>
          <w:tab w:val="right" w:pos="4474"/>
        </w:tabs>
        <w:spacing w:before="1"/>
        <w:ind w:left="112"/>
      </w:pPr>
      <w:r>
        <w:t>Roční pojistné</w:t>
      </w:r>
      <w:r>
        <w:rPr>
          <w:spacing w:val="-1"/>
        </w:rPr>
        <w:t xml:space="preserve"> </w:t>
      </w:r>
      <w:r>
        <w:t>v</w:t>
      </w:r>
      <w:r>
        <w:rPr>
          <w:spacing w:val="1"/>
        </w:rPr>
        <w:t xml:space="preserve"> </w:t>
      </w:r>
      <w:r>
        <w:t>Kč</w:t>
      </w:r>
      <w:r>
        <w:tab/>
        <w:t>65.600</w:t>
      </w:r>
    </w:p>
    <w:p w:rsidR="00123455" w:rsidRDefault="00E9192C">
      <w:pPr>
        <w:pStyle w:val="Zkladntext"/>
        <w:spacing w:before="118"/>
        <w:ind w:left="112"/>
      </w:pPr>
      <w:r>
        <w:t>Základní pojištění zahrnuje též:</w:t>
      </w:r>
    </w:p>
    <w:p w:rsidR="00123455" w:rsidRDefault="00E9192C">
      <w:pPr>
        <w:pStyle w:val="Nadpis2"/>
        <w:numPr>
          <w:ilvl w:val="0"/>
          <w:numId w:val="6"/>
        </w:numPr>
        <w:tabs>
          <w:tab w:val="left" w:pos="532"/>
          <w:tab w:val="left" w:pos="533"/>
        </w:tabs>
        <w:spacing w:line="285" w:lineRule="auto"/>
        <w:ind w:right="103" w:hanging="360"/>
      </w:pPr>
      <w:r>
        <w:t>újmu při ublížení na zdraví a při usmrcení (včetně újmy nemajetkové způsobené na životě nebo zdraví třetích</w:t>
      </w:r>
      <w:r>
        <w:rPr>
          <w:spacing w:val="-7"/>
        </w:rPr>
        <w:t xml:space="preserve"> </w:t>
      </w:r>
      <w:r>
        <w:t>osob)</w:t>
      </w:r>
    </w:p>
    <w:p w:rsidR="00123455" w:rsidRDefault="00E9192C">
      <w:pPr>
        <w:pStyle w:val="Odstavecseseznamem"/>
        <w:numPr>
          <w:ilvl w:val="0"/>
          <w:numId w:val="6"/>
        </w:numPr>
        <w:tabs>
          <w:tab w:val="left" w:pos="532"/>
          <w:tab w:val="left" w:pos="533"/>
        </w:tabs>
        <w:spacing w:before="4"/>
        <w:ind w:hanging="360"/>
        <w:jc w:val="left"/>
      </w:pPr>
      <w:r>
        <w:t>škodu vzniklou poškozením, zničením a pohřešováním věci (škody na hmotném majetku třetí</w:t>
      </w:r>
      <w:r>
        <w:rPr>
          <w:spacing w:val="-23"/>
        </w:rPr>
        <w:t xml:space="preserve"> </w:t>
      </w:r>
      <w:r>
        <w:t>osoby)</w:t>
      </w:r>
    </w:p>
    <w:p w:rsidR="00123455" w:rsidRDefault="00E9192C">
      <w:pPr>
        <w:pStyle w:val="Nadpis2"/>
        <w:numPr>
          <w:ilvl w:val="0"/>
          <w:numId w:val="6"/>
        </w:numPr>
        <w:tabs>
          <w:tab w:val="left" w:pos="532"/>
          <w:tab w:val="left" w:pos="533"/>
        </w:tabs>
        <w:spacing w:before="48" w:line="240" w:lineRule="auto"/>
        <w:ind w:hanging="360"/>
      </w:pPr>
      <w:r>
        <w:t>následnou finanční</w:t>
      </w:r>
      <w:r>
        <w:rPr>
          <w:spacing w:val="-3"/>
        </w:rPr>
        <w:t xml:space="preserve"> </w:t>
      </w:r>
      <w:r>
        <w:t>škodu</w:t>
      </w:r>
    </w:p>
    <w:p w:rsidR="00123455" w:rsidRDefault="00E9192C">
      <w:pPr>
        <w:pStyle w:val="Odstavecseseznamem"/>
        <w:numPr>
          <w:ilvl w:val="0"/>
          <w:numId w:val="6"/>
        </w:numPr>
        <w:tabs>
          <w:tab w:val="left" w:pos="532"/>
          <w:tab w:val="left" w:pos="533"/>
        </w:tabs>
        <w:spacing w:before="51"/>
        <w:ind w:hanging="360"/>
        <w:jc w:val="left"/>
      </w:pPr>
      <w:r>
        <w:t>náklady k právní ochraně</w:t>
      </w:r>
      <w:r>
        <w:rPr>
          <w:spacing w:val="-10"/>
        </w:rPr>
        <w:t xml:space="preserve"> </w:t>
      </w:r>
      <w:r>
        <w:t>pojištěného</w:t>
      </w:r>
    </w:p>
    <w:p w:rsidR="00123455" w:rsidRDefault="00E9192C">
      <w:pPr>
        <w:pStyle w:val="Nadpis2"/>
        <w:numPr>
          <w:ilvl w:val="0"/>
          <w:numId w:val="6"/>
        </w:numPr>
        <w:tabs>
          <w:tab w:val="left" w:pos="532"/>
          <w:tab w:val="left" w:pos="533"/>
        </w:tabs>
        <w:spacing w:before="48" w:line="240" w:lineRule="auto"/>
        <w:ind w:hanging="360"/>
      </w:pPr>
      <w:r>
        <w:t>zachraňovací</w:t>
      </w:r>
      <w:r>
        <w:rPr>
          <w:spacing w:val="1"/>
        </w:rPr>
        <w:t xml:space="preserve"> </w:t>
      </w:r>
      <w:r>
        <w:t>náklady</w:t>
      </w:r>
    </w:p>
    <w:p w:rsidR="00123455" w:rsidRDefault="00E9192C">
      <w:pPr>
        <w:pStyle w:val="Odstavecseseznamem"/>
        <w:numPr>
          <w:ilvl w:val="0"/>
          <w:numId w:val="6"/>
        </w:numPr>
        <w:tabs>
          <w:tab w:val="left" w:pos="532"/>
          <w:tab w:val="left" w:pos="533"/>
        </w:tabs>
        <w:spacing w:before="50"/>
        <w:ind w:hanging="360"/>
        <w:jc w:val="left"/>
      </w:pPr>
      <w:r>
        <w:t>náhradu nákladů vynaložených zdravotní pojišťovnou za zdravotní péči ve prospěch třetí</w:t>
      </w:r>
      <w:r>
        <w:rPr>
          <w:spacing w:val="-17"/>
        </w:rPr>
        <w:t xml:space="preserve"> </w:t>
      </w:r>
      <w:r>
        <w:t>osoby</w:t>
      </w:r>
    </w:p>
    <w:p w:rsidR="00123455" w:rsidRDefault="00E9192C">
      <w:pPr>
        <w:pStyle w:val="Odstavecseseznamem"/>
        <w:numPr>
          <w:ilvl w:val="0"/>
          <w:numId w:val="6"/>
        </w:numPr>
        <w:tabs>
          <w:tab w:val="left" w:pos="532"/>
          <w:tab w:val="left" w:pos="533"/>
        </w:tabs>
        <w:spacing w:before="48" w:line="285" w:lineRule="auto"/>
        <w:ind w:right="105" w:hanging="360"/>
        <w:jc w:val="left"/>
      </w:pPr>
      <w:r>
        <w:t>náhradu nákladů vynaložených zdravotní pojišťovnou na zdravotní péči ve prospěch pracovníka pojištěného</w:t>
      </w:r>
    </w:p>
    <w:p w:rsidR="00123455" w:rsidRDefault="00E9192C">
      <w:pPr>
        <w:pStyle w:val="Odstavecseseznamem"/>
        <w:numPr>
          <w:ilvl w:val="0"/>
          <w:numId w:val="6"/>
        </w:numPr>
        <w:tabs>
          <w:tab w:val="left" w:pos="532"/>
          <w:tab w:val="left" w:pos="533"/>
        </w:tabs>
        <w:spacing w:before="5"/>
        <w:ind w:hanging="360"/>
        <w:jc w:val="left"/>
      </w:pPr>
      <w:r>
        <w:t>úhradu regresní náhrady orgánu nemocenského</w:t>
      </w:r>
      <w:r>
        <w:rPr>
          <w:spacing w:val="-13"/>
        </w:rPr>
        <w:t xml:space="preserve"> </w:t>
      </w:r>
      <w:r>
        <w:t>pojištění</w:t>
      </w:r>
    </w:p>
    <w:p w:rsidR="00123455" w:rsidRDefault="00E9192C">
      <w:pPr>
        <w:pStyle w:val="Nadpis2"/>
        <w:numPr>
          <w:ilvl w:val="0"/>
          <w:numId w:val="6"/>
        </w:numPr>
        <w:tabs>
          <w:tab w:val="left" w:pos="532"/>
          <w:tab w:val="left" w:pos="533"/>
        </w:tabs>
        <w:spacing w:before="48" w:line="240" w:lineRule="auto"/>
        <w:ind w:hanging="360"/>
      </w:pPr>
      <w:r>
        <w:t>odpovědnost z vlastnictví a oprávněného užívání (nájmu) budovy nebo</w:t>
      </w:r>
      <w:r>
        <w:rPr>
          <w:spacing w:val="-19"/>
        </w:rPr>
        <w:t xml:space="preserve"> </w:t>
      </w:r>
      <w:r>
        <w:t>pozemku</w:t>
      </w:r>
    </w:p>
    <w:p w:rsidR="00123455" w:rsidRDefault="00E9192C">
      <w:pPr>
        <w:pStyle w:val="Odstavecseseznamem"/>
        <w:numPr>
          <w:ilvl w:val="0"/>
          <w:numId w:val="6"/>
        </w:numPr>
        <w:tabs>
          <w:tab w:val="left" w:pos="532"/>
          <w:tab w:val="left" w:pos="533"/>
        </w:tabs>
        <w:spacing w:before="50" w:line="285" w:lineRule="auto"/>
        <w:ind w:right="107" w:hanging="360"/>
        <w:jc w:val="left"/>
        <w:rPr>
          <w:b/>
        </w:rPr>
      </w:pPr>
      <w:r>
        <w:rPr>
          <w:b/>
        </w:rPr>
        <w:t>odpovědnost z provozu vozidla nad rámec povinného pojištění odpovědnosti z provozu vozidla a z provozu vozidla jako pracovního</w:t>
      </w:r>
      <w:r>
        <w:rPr>
          <w:b/>
          <w:spacing w:val="-9"/>
        </w:rPr>
        <w:t xml:space="preserve"> </w:t>
      </w:r>
      <w:r>
        <w:rPr>
          <w:b/>
        </w:rPr>
        <w:t>stroje</w:t>
      </w:r>
    </w:p>
    <w:p w:rsidR="00123455" w:rsidRDefault="00E9192C">
      <w:pPr>
        <w:pStyle w:val="Odstavecseseznamem"/>
        <w:numPr>
          <w:ilvl w:val="0"/>
          <w:numId w:val="6"/>
        </w:numPr>
        <w:tabs>
          <w:tab w:val="left" w:pos="532"/>
          <w:tab w:val="left" w:pos="533"/>
        </w:tabs>
        <w:spacing w:before="5"/>
        <w:ind w:hanging="360"/>
        <w:jc w:val="left"/>
        <w:rPr>
          <w:b/>
        </w:rPr>
      </w:pPr>
      <w:r>
        <w:rPr>
          <w:b/>
        </w:rPr>
        <w:t>odpovědnost za věci odložené a</w:t>
      </w:r>
      <w:r>
        <w:rPr>
          <w:b/>
          <w:spacing w:val="-16"/>
        </w:rPr>
        <w:t xml:space="preserve"> </w:t>
      </w:r>
      <w:r>
        <w:rPr>
          <w:b/>
        </w:rPr>
        <w:t>vnesené</w:t>
      </w:r>
    </w:p>
    <w:p w:rsidR="00123455" w:rsidRDefault="00E9192C">
      <w:pPr>
        <w:pStyle w:val="Odstavecseseznamem"/>
        <w:numPr>
          <w:ilvl w:val="0"/>
          <w:numId w:val="6"/>
        </w:numPr>
        <w:tabs>
          <w:tab w:val="left" w:pos="532"/>
          <w:tab w:val="left" w:pos="533"/>
        </w:tabs>
        <w:spacing w:before="48" w:line="288" w:lineRule="auto"/>
        <w:ind w:right="106" w:hanging="360"/>
        <w:jc w:val="left"/>
      </w:pPr>
      <w:r>
        <w:t>odpovědnost  za   škodu,   újmu   způsobenou   učni,   žáku,   studentu   při   praktickém   vyučování u</w:t>
      </w:r>
      <w:r>
        <w:rPr>
          <w:spacing w:val="-2"/>
        </w:rPr>
        <w:t xml:space="preserve"> </w:t>
      </w:r>
      <w:r>
        <w:t>pojištěného</w:t>
      </w:r>
    </w:p>
    <w:p w:rsidR="00123455" w:rsidRDefault="00E9192C">
      <w:pPr>
        <w:pStyle w:val="Odstavecseseznamem"/>
        <w:numPr>
          <w:ilvl w:val="0"/>
          <w:numId w:val="6"/>
        </w:numPr>
        <w:tabs>
          <w:tab w:val="left" w:pos="532"/>
          <w:tab w:val="left" w:pos="533"/>
        </w:tabs>
        <w:ind w:hanging="360"/>
        <w:jc w:val="left"/>
      </w:pPr>
      <w:r>
        <w:t>odpovědnost z pořádání příměstských</w:t>
      </w:r>
      <w:r>
        <w:rPr>
          <w:spacing w:val="-9"/>
        </w:rPr>
        <w:t xml:space="preserve"> </w:t>
      </w:r>
      <w:r>
        <w:t>táborů</w:t>
      </w:r>
    </w:p>
    <w:p w:rsidR="00123455" w:rsidRDefault="00123455">
      <w:pPr>
        <w:pStyle w:val="Zkladntext"/>
        <w:spacing w:before="4"/>
        <w:rPr>
          <w:sz w:val="32"/>
        </w:rPr>
      </w:pPr>
    </w:p>
    <w:p w:rsidR="00123455" w:rsidRDefault="00E9192C">
      <w:pPr>
        <w:pStyle w:val="Nadpis2"/>
        <w:spacing w:before="1" w:line="288" w:lineRule="auto"/>
        <w:ind w:right="2996"/>
      </w:pPr>
      <w:r>
        <w:t>Další pojištěná rizika a nebezpečí – v rozsahu článku 4 UCZ/Odp-P/14: Odpovědnost za škodu způsobenou vadou výrobku (VV)</w:t>
      </w:r>
    </w:p>
    <w:p w:rsidR="00123455" w:rsidRDefault="00E9192C">
      <w:pPr>
        <w:pStyle w:val="Zkladntext"/>
        <w:tabs>
          <w:tab w:val="left" w:pos="3799"/>
        </w:tabs>
        <w:ind w:left="112"/>
      </w:pPr>
      <w:r>
        <w:t>Limit plnění</w:t>
      </w:r>
      <w:r>
        <w:rPr>
          <w:spacing w:val="-1"/>
        </w:rPr>
        <w:t xml:space="preserve"> </w:t>
      </w:r>
      <w:r>
        <w:t>v</w:t>
      </w:r>
      <w:r>
        <w:rPr>
          <w:spacing w:val="1"/>
        </w:rPr>
        <w:t xml:space="preserve"> </w:t>
      </w:r>
      <w:r>
        <w:t>Kč</w:t>
      </w:r>
      <w:r>
        <w:tab/>
        <w:t>30.000.000</w:t>
      </w:r>
    </w:p>
    <w:p w:rsidR="00123455" w:rsidRDefault="00E9192C">
      <w:pPr>
        <w:pStyle w:val="Zkladntext"/>
        <w:tabs>
          <w:tab w:val="left" w:pos="3799"/>
        </w:tabs>
        <w:spacing w:before="1" w:line="252" w:lineRule="exact"/>
        <w:ind w:left="112"/>
      </w:pPr>
      <w:r>
        <w:t>Spoluúčast v</w:t>
      </w:r>
      <w:r>
        <w:rPr>
          <w:spacing w:val="-3"/>
        </w:rPr>
        <w:t xml:space="preserve"> </w:t>
      </w:r>
      <w:r>
        <w:t>Kč</w:t>
      </w:r>
      <w:r>
        <w:tab/>
        <w:t>10.000</w:t>
      </w:r>
    </w:p>
    <w:p w:rsidR="00123455" w:rsidRDefault="00E9192C">
      <w:pPr>
        <w:pStyle w:val="Zkladntext"/>
        <w:tabs>
          <w:tab w:val="left" w:pos="3806"/>
        </w:tabs>
        <w:spacing w:line="252" w:lineRule="exact"/>
        <w:ind w:left="112"/>
      </w:pPr>
      <w:r>
        <w:t>Územní</w:t>
      </w:r>
      <w:r>
        <w:rPr>
          <w:spacing w:val="-2"/>
        </w:rPr>
        <w:t xml:space="preserve"> </w:t>
      </w:r>
      <w:r>
        <w:t>platnost</w:t>
      </w:r>
      <w:r>
        <w:tab/>
        <w:t>Celý svět bez USA a</w:t>
      </w:r>
      <w:r>
        <w:rPr>
          <w:spacing w:val="-7"/>
        </w:rPr>
        <w:t xml:space="preserve"> </w:t>
      </w:r>
      <w:r>
        <w:t>Kanady</w:t>
      </w:r>
    </w:p>
    <w:p w:rsidR="00123455" w:rsidRDefault="00E9192C">
      <w:pPr>
        <w:pStyle w:val="Zkladntext"/>
        <w:tabs>
          <w:tab w:val="left" w:pos="3794"/>
        </w:tabs>
        <w:spacing w:line="252" w:lineRule="exact"/>
        <w:ind w:left="112"/>
      </w:pPr>
      <w:r>
        <w:t>Roční pojistné</w:t>
      </w:r>
      <w:r>
        <w:rPr>
          <w:spacing w:val="-2"/>
        </w:rPr>
        <w:t xml:space="preserve"> </w:t>
      </w:r>
      <w:r>
        <w:t>v</w:t>
      </w:r>
      <w:r>
        <w:rPr>
          <w:spacing w:val="1"/>
        </w:rPr>
        <w:t xml:space="preserve"> </w:t>
      </w:r>
      <w:r>
        <w:t>Kč</w:t>
      </w:r>
      <w:r>
        <w:tab/>
        <w:t>zahrnuto v pojistném za základní</w:t>
      </w:r>
      <w:r>
        <w:rPr>
          <w:spacing w:val="-10"/>
        </w:rPr>
        <w:t xml:space="preserve"> </w:t>
      </w:r>
      <w:r>
        <w:t>rozsah</w:t>
      </w:r>
    </w:p>
    <w:p w:rsidR="00123455" w:rsidRDefault="00123455">
      <w:pPr>
        <w:pStyle w:val="Zkladntext"/>
        <w:spacing w:before="9"/>
        <w:rPr>
          <w:sz w:val="30"/>
        </w:rPr>
      </w:pPr>
    </w:p>
    <w:p w:rsidR="00123455" w:rsidRDefault="00E9192C">
      <w:pPr>
        <w:pStyle w:val="Nadpis2"/>
        <w:spacing w:line="240" w:lineRule="auto"/>
      </w:pPr>
      <w:r>
        <w:t>Přenos choroby (škodu/újmu způsobenou salmonelou a jinými nakažlivými chorobami) (90)</w:t>
      </w:r>
    </w:p>
    <w:p w:rsidR="00123455" w:rsidRDefault="00E9192C">
      <w:pPr>
        <w:pStyle w:val="Zkladntext"/>
        <w:tabs>
          <w:tab w:val="left" w:pos="3799"/>
        </w:tabs>
        <w:spacing w:before="51"/>
        <w:ind w:left="112" w:right="5647"/>
      </w:pPr>
      <w:r>
        <w:t>Limit plnění</w:t>
      </w:r>
      <w:r>
        <w:rPr>
          <w:spacing w:val="-1"/>
        </w:rPr>
        <w:t xml:space="preserve"> </w:t>
      </w:r>
      <w:r>
        <w:t>v</w:t>
      </w:r>
      <w:r>
        <w:rPr>
          <w:spacing w:val="1"/>
        </w:rPr>
        <w:t xml:space="preserve"> </w:t>
      </w:r>
      <w:r>
        <w:t>Kč</w:t>
      </w:r>
      <w:r>
        <w:tab/>
        <w:t>5.000.000 Spoluúčast v</w:t>
      </w:r>
      <w:r>
        <w:rPr>
          <w:spacing w:val="-3"/>
        </w:rPr>
        <w:t xml:space="preserve"> </w:t>
      </w:r>
      <w:r>
        <w:t>Kč</w:t>
      </w:r>
      <w:r>
        <w:tab/>
        <w:t>10.000</w:t>
      </w:r>
    </w:p>
    <w:p w:rsidR="00123455" w:rsidRDefault="00123455">
      <w:pPr>
        <w:sectPr w:rsidR="00123455">
          <w:pgSz w:w="11920" w:h="16840"/>
          <w:pgMar w:top="3120" w:right="740" w:bottom="1980" w:left="740" w:header="1798" w:footer="1785" w:gutter="0"/>
          <w:cols w:space="720"/>
        </w:sectPr>
      </w:pPr>
    </w:p>
    <w:p w:rsidR="00123455" w:rsidRDefault="00E9192C">
      <w:pPr>
        <w:pStyle w:val="Zkladntext"/>
        <w:spacing w:before="121" w:line="288" w:lineRule="auto"/>
        <w:ind w:left="152" w:right="102"/>
        <w:jc w:val="both"/>
      </w:pPr>
      <w:r>
        <w:t>Výluka z pojištění na škodu a při ublížení na zdraví též újmu vzniklou zavlečením, rozšířením, přenosem nakažlivé choroby lidí, zvířat nebo rostlin ve smyslu ustanovení čl. 8 odst. 2 písm. n) UCZ/Odp/14 se pro účely této smlouvy neuplatní.</w:t>
      </w:r>
    </w:p>
    <w:p w:rsidR="00123455" w:rsidRDefault="00123455">
      <w:pPr>
        <w:pStyle w:val="Zkladntext"/>
        <w:spacing w:before="2"/>
      </w:pPr>
    </w:p>
    <w:p w:rsidR="00123455" w:rsidRDefault="00E9192C">
      <w:pPr>
        <w:pStyle w:val="Nadpis2"/>
        <w:spacing w:after="5" w:line="240" w:lineRule="auto"/>
        <w:ind w:left="152"/>
        <w:jc w:val="both"/>
      </w:pPr>
      <w:r>
        <w:t>Odpovědnost za škodu na věcech movitých užívaných (02) a Odpovědnost za škodu na věcech</w:t>
      </w:r>
    </w:p>
    <w:tbl>
      <w:tblPr>
        <w:tblStyle w:val="TableNormal"/>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3287"/>
        <w:gridCol w:w="3325"/>
      </w:tblGrid>
      <w:tr w:rsidR="00123455">
        <w:trPr>
          <w:trHeight w:hRule="exact" w:val="254"/>
        </w:trPr>
        <w:tc>
          <w:tcPr>
            <w:tcW w:w="3287" w:type="dxa"/>
          </w:tcPr>
          <w:p w:rsidR="00123455" w:rsidRDefault="00E9192C">
            <w:pPr>
              <w:pStyle w:val="TableParagraph"/>
              <w:spacing w:line="247" w:lineRule="exact"/>
              <w:ind w:left="50"/>
              <w:rPr>
                <w:b/>
              </w:rPr>
            </w:pPr>
            <w:r>
              <w:rPr>
                <w:b/>
              </w:rPr>
              <w:t>převzatých (03)</w:t>
            </w:r>
          </w:p>
        </w:tc>
        <w:tc>
          <w:tcPr>
            <w:tcW w:w="3325" w:type="dxa"/>
          </w:tcPr>
          <w:p w:rsidR="00123455" w:rsidRDefault="00123455"/>
        </w:tc>
      </w:tr>
      <w:tr w:rsidR="00123455">
        <w:trPr>
          <w:trHeight w:hRule="exact" w:val="249"/>
        </w:trPr>
        <w:tc>
          <w:tcPr>
            <w:tcW w:w="3287" w:type="dxa"/>
          </w:tcPr>
          <w:p w:rsidR="00123455" w:rsidRDefault="00E9192C">
            <w:pPr>
              <w:pStyle w:val="TableParagraph"/>
              <w:spacing w:line="247" w:lineRule="exact"/>
              <w:ind w:left="50"/>
            </w:pPr>
            <w:r>
              <w:t>Společný sublimit plnění v Kč</w:t>
            </w:r>
          </w:p>
        </w:tc>
        <w:tc>
          <w:tcPr>
            <w:tcW w:w="3325" w:type="dxa"/>
          </w:tcPr>
          <w:p w:rsidR="00123455" w:rsidRDefault="00E9192C">
            <w:pPr>
              <w:pStyle w:val="TableParagraph"/>
              <w:spacing w:line="247" w:lineRule="exact"/>
              <w:ind w:left="450"/>
            </w:pPr>
            <w:r>
              <w:t>5.000.000</w:t>
            </w:r>
          </w:p>
        </w:tc>
      </w:tr>
      <w:tr w:rsidR="00123455">
        <w:trPr>
          <w:trHeight w:hRule="exact" w:val="252"/>
        </w:trPr>
        <w:tc>
          <w:tcPr>
            <w:tcW w:w="3287" w:type="dxa"/>
          </w:tcPr>
          <w:p w:rsidR="00123455" w:rsidRDefault="00E9192C">
            <w:pPr>
              <w:pStyle w:val="TableParagraph"/>
              <w:spacing w:line="249" w:lineRule="exact"/>
              <w:ind w:left="50"/>
            </w:pPr>
            <w:r>
              <w:t>Spoluúčast v Kč</w:t>
            </w:r>
          </w:p>
        </w:tc>
        <w:tc>
          <w:tcPr>
            <w:tcW w:w="3325" w:type="dxa"/>
          </w:tcPr>
          <w:p w:rsidR="00123455" w:rsidRDefault="00E9192C">
            <w:pPr>
              <w:pStyle w:val="TableParagraph"/>
              <w:spacing w:line="249" w:lineRule="exact"/>
              <w:ind w:left="450"/>
            </w:pPr>
            <w:r>
              <w:t>10.000</w:t>
            </w:r>
          </w:p>
        </w:tc>
      </w:tr>
      <w:tr w:rsidR="00123455">
        <w:trPr>
          <w:trHeight w:hRule="exact" w:val="253"/>
        </w:trPr>
        <w:tc>
          <w:tcPr>
            <w:tcW w:w="3287" w:type="dxa"/>
          </w:tcPr>
          <w:p w:rsidR="00123455" w:rsidRDefault="00E9192C">
            <w:pPr>
              <w:pStyle w:val="TableParagraph"/>
              <w:spacing w:line="249" w:lineRule="exact"/>
              <w:ind w:left="50"/>
            </w:pPr>
            <w:r>
              <w:t>Územní platnost</w:t>
            </w:r>
          </w:p>
        </w:tc>
        <w:tc>
          <w:tcPr>
            <w:tcW w:w="3325" w:type="dxa"/>
          </w:tcPr>
          <w:p w:rsidR="00123455" w:rsidRDefault="00E9192C">
            <w:pPr>
              <w:pStyle w:val="TableParagraph"/>
              <w:spacing w:line="249" w:lineRule="exact"/>
              <w:ind w:left="450"/>
            </w:pPr>
            <w:r>
              <w:t>Celý svět bez USA a Kanady</w:t>
            </w:r>
          </w:p>
        </w:tc>
      </w:tr>
      <w:tr w:rsidR="00123455">
        <w:trPr>
          <w:trHeight w:hRule="exact" w:val="251"/>
        </w:trPr>
        <w:tc>
          <w:tcPr>
            <w:tcW w:w="3287" w:type="dxa"/>
          </w:tcPr>
          <w:p w:rsidR="00123455" w:rsidRDefault="00E9192C">
            <w:pPr>
              <w:pStyle w:val="TableParagraph"/>
              <w:spacing w:line="250" w:lineRule="exact"/>
              <w:ind w:left="50"/>
            </w:pPr>
            <w:r>
              <w:t>Roční pojistné v Kč</w:t>
            </w:r>
          </w:p>
        </w:tc>
        <w:tc>
          <w:tcPr>
            <w:tcW w:w="3325" w:type="dxa"/>
          </w:tcPr>
          <w:p w:rsidR="00123455" w:rsidRDefault="00E9192C">
            <w:pPr>
              <w:pStyle w:val="TableParagraph"/>
              <w:spacing w:line="250" w:lineRule="exact"/>
              <w:ind w:left="450"/>
            </w:pPr>
            <w:r>
              <w:t>14.400</w:t>
            </w:r>
          </w:p>
        </w:tc>
      </w:tr>
      <w:tr w:rsidR="00123455">
        <w:trPr>
          <w:trHeight w:hRule="exact" w:val="506"/>
        </w:trPr>
        <w:tc>
          <w:tcPr>
            <w:tcW w:w="6612" w:type="dxa"/>
            <w:gridSpan w:val="2"/>
          </w:tcPr>
          <w:p w:rsidR="00123455" w:rsidRDefault="00123455">
            <w:pPr>
              <w:pStyle w:val="TableParagraph"/>
              <w:rPr>
                <w:b/>
              </w:rPr>
            </w:pPr>
          </w:p>
          <w:p w:rsidR="00123455" w:rsidRDefault="00E9192C">
            <w:pPr>
              <w:pStyle w:val="TableParagraph"/>
              <w:ind w:left="50"/>
              <w:rPr>
                <w:b/>
              </w:rPr>
            </w:pPr>
            <w:r>
              <w:rPr>
                <w:b/>
              </w:rPr>
              <w:t>Odpovědnost za čistou finanční škodu (04)</w:t>
            </w:r>
          </w:p>
        </w:tc>
      </w:tr>
      <w:tr w:rsidR="00123455">
        <w:trPr>
          <w:trHeight w:hRule="exact" w:val="255"/>
        </w:trPr>
        <w:tc>
          <w:tcPr>
            <w:tcW w:w="3287" w:type="dxa"/>
          </w:tcPr>
          <w:p w:rsidR="00123455" w:rsidRDefault="00E9192C">
            <w:pPr>
              <w:pStyle w:val="TableParagraph"/>
              <w:spacing w:line="247" w:lineRule="exact"/>
              <w:ind w:left="50"/>
            </w:pPr>
            <w:r>
              <w:t>Sublimit plnění v Kč</w:t>
            </w:r>
          </w:p>
        </w:tc>
        <w:tc>
          <w:tcPr>
            <w:tcW w:w="3325" w:type="dxa"/>
          </w:tcPr>
          <w:p w:rsidR="00123455" w:rsidRDefault="00E9192C">
            <w:pPr>
              <w:pStyle w:val="TableParagraph"/>
              <w:spacing w:line="247" w:lineRule="exact"/>
              <w:ind w:left="383"/>
            </w:pPr>
            <w:r>
              <w:t>5.000.000</w:t>
            </w:r>
          </w:p>
        </w:tc>
      </w:tr>
      <w:tr w:rsidR="00123455">
        <w:trPr>
          <w:trHeight w:hRule="exact" w:val="253"/>
        </w:trPr>
        <w:tc>
          <w:tcPr>
            <w:tcW w:w="3287" w:type="dxa"/>
          </w:tcPr>
          <w:p w:rsidR="00123455" w:rsidRDefault="00E9192C">
            <w:pPr>
              <w:pStyle w:val="TableParagraph"/>
              <w:spacing w:line="249" w:lineRule="exact"/>
              <w:ind w:left="50"/>
            </w:pPr>
            <w:r>
              <w:t>Spoluúčast v Kč</w:t>
            </w:r>
          </w:p>
        </w:tc>
        <w:tc>
          <w:tcPr>
            <w:tcW w:w="3325" w:type="dxa"/>
          </w:tcPr>
          <w:p w:rsidR="00123455" w:rsidRDefault="00E9192C">
            <w:pPr>
              <w:pStyle w:val="TableParagraph"/>
              <w:spacing w:line="249" w:lineRule="exact"/>
              <w:ind w:left="383"/>
            </w:pPr>
            <w:r>
              <w:t>10.000</w:t>
            </w:r>
          </w:p>
        </w:tc>
      </w:tr>
      <w:tr w:rsidR="00123455">
        <w:trPr>
          <w:trHeight w:hRule="exact" w:val="253"/>
        </w:trPr>
        <w:tc>
          <w:tcPr>
            <w:tcW w:w="3287" w:type="dxa"/>
          </w:tcPr>
          <w:p w:rsidR="00123455" w:rsidRDefault="00E9192C">
            <w:pPr>
              <w:pStyle w:val="TableParagraph"/>
              <w:spacing w:line="250" w:lineRule="exact"/>
              <w:ind w:left="50"/>
            </w:pPr>
            <w:r>
              <w:t>Územní platnost</w:t>
            </w:r>
          </w:p>
        </w:tc>
        <w:tc>
          <w:tcPr>
            <w:tcW w:w="3325" w:type="dxa"/>
          </w:tcPr>
          <w:p w:rsidR="00123455" w:rsidRDefault="00E9192C">
            <w:pPr>
              <w:pStyle w:val="TableParagraph"/>
              <w:spacing w:line="250" w:lineRule="exact"/>
              <w:ind w:left="374"/>
            </w:pPr>
            <w:r>
              <w:t>Celý svět bez USA a Kanady</w:t>
            </w:r>
          </w:p>
        </w:tc>
      </w:tr>
      <w:tr w:rsidR="00123455">
        <w:trPr>
          <w:trHeight w:hRule="exact" w:val="249"/>
        </w:trPr>
        <w:tc>
          <w:tcPr>
            <w:tcW w:w="3287" w:type="dxa"/>
          </w:tcPr>
          <w:p w:rsidR="00123455" w:rsidRDefault="00E9192C">
            <w:pPr>
              <w:pStyle w:val="TableParagraph"/>
              <w:spacing w:line="249" w:lineRule="exact"/>
              <w:ind w:left="50"/>
            </w:pPr>
            <w:r>
              <w:t>Roční pojistné v Kč</w:t>
            </w:r>
          </w:p>
        </w:tc>
        <w:tc>
          <w:tcPr>
            <w:tcW w:w="3325" w:type="dxa"/>
          </w:tcPr>
          <w:p w:rsidR="00123455" w:rsidRDefault="00E9192C">
            <w:pPr>
              <w:pStyle w:val="TableParagraph"/>
              <w:spacing w:line="249" w:lineRule="exact"/>
              <w:ind w:left="383"/>
            </w:pPr>
            <w:r>
              <w:t>17.100</w:t>
            </w:r>
          </w:p>
        </w:tc>
      </w:tr>
    </w:tbl>
    <w:p w:rsidR="00123455" w:rsidRDefault="00123455">
      <w:pPr>
        <w:pStyle w:val="Zkladntext"/>
        <w:spacing w:before="11"/>
        <w:rPr>
          <w:b/>
          <w:sz w:val="20"/>
        </w:rPr>
      </w:pPr>
    </w:p>
    <w:p w:rsidR="00123455" w:rsidRDefault="00E9192C">
      <w:pPr>
        <w:pStyle w:val="Zkladntext"/>
        <w:spacing w:line="288" w:lineRule="auto"/>
        <w:ind w:left="152" w:right="103"/>
        <w:jc w:val="both"/>
      </w:pPr>
      <w:r>
        <w:t>Odchylně od čl. 4 bodu 4 UCZ/Odp-P/14 se pojištění vztahuje i na povinnost pojištěného nahradit škodu vzniklou třetí osobě jinak než ublížením na zdraví a usmrcením, poškozením, zničením nebo pohřešováním věci vzniklých při činnostech: poradenská a konzultační, zpracování odborných studií a posudků, výzkum a vývoj v oblasti přírodních a technických věd nebo společenských věd, vytváření a poskytování software, příprava a vypracovávání technických návrhů, grafické a kresličské práce, testování, měření, analýzy a kontroly.</w:t>
      </w:r>
    </w:p>
    <w:p w:rsidR="00123455" w:rsidRDefault="00123455">
      <w:pPr>
        <w:pStyle w:val="Zkladntext"/>
        <w:spacing w:before="1"/>
      </w:pPr>
    </w:p>
    <w:p w:rsidR="00123455" w:rsidRDefault="00E9192C">
      <w:pPr>
        <w:pStyle w:val="Nadpis2"/>
        <w:spacing w:after="9" w:line="288" w:lineRule="auto"/>
        <w:ind w:left="152" w:right="103"/>
        <w:jc w:val="both"/>
      </w:pPr>
      <w:r>
        <w:t>Odpovědnost za škodu vzniklou narušením životního prostředí (09) – nahodilá událost (včetně nakládání s nebezpečnými chemickými látkami, nebo nebezpečnými odpady)</w:t>
      </w:r>
    </w:p>
    <w:tbl>
      <w:tblPr>
        <w:tblStyle w:val="TableNormal"/>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2861"/>
        <w:gridCol w:w="3759"/>
      </w:tblGrid>
      <w:tr w:rsidR="00123455">
        <w:trPr>
          <w:trHeight w:hRule="exact" w:val="249"/>
        </w:trPr>
        <w:tc>
          <w:tcPr>
            <w:tcW w:w="2861" w:type="dxa"/>
          </w:tcPr>
          <w:p w:rsidR="00123455" w:rsidRDefault="00E9192C">
            <w:pPr>
              <w:pStyle w:val="TableParagraph"/>
              <w:spacing w:line="247" w:lineRule="exact"/>
              <w:ind w:left="50"/>
            </w:pPr>
            <w:r>
              <w:t>Sublimit plnění v Kč</w:t>
            </w:r>
          </w:p>
        </w:tc>
        <w:tc>
          <w:tcPr>
            <w:tcW w:w="3759" w:type="dxa"/>
          </w:tcPr>
          <w:p w:rsidR="00123455" w:rsidRDefault="00E9192C">
            <w:pPr>
              <w:pStyle w:val="TableParagraph"/>
              <w:spacing w:line="247" w:lineRule="exact"/>
              <w:ind w:left="876"/>
            </w:pPr>
            <w:r>
              <w:t>10.000.000</w:t>
            </w:r>
          </w:p>
        </w:tc>
      </w:tr>
      <w:tr w:rsidR="00123455">
        <w:trPr>
          <w:trHeight w:hRule="exact" w:val="253"/>
        </w:trPr>
        <w:tc>
          <w:tcPr>
            <w:tcW w:w="2861" w:type="dxa"/>
          </w:tcPr>
          <w:p w:rsidR="00123455" w:rsidRDefault="00E9192C">
            <w:pPr>
              <w:pStyle w:val="TableParagraph"/>
              <w:spacing w:line="249" w:lineRule="exact"/>
              <w:ind w:left="50"/>
            </w:pPr>
            <w:r>
              <w:t>Spoluúčast v Kč</w:t>
            </w:r>
          </w:p>
        </w:tc>
        <w:tc>
          <w:tcPr>
            <w:tcW w:w="3759" w:type="dxa"/>
          </w:tcPr>
          <w:p w:rsidR="00123455" w:rsidRDefault="00E9192C">
            <w:pPr>
              <w:pStyle w:val="TableParagraph"/>
              <w:spacing w:line="249" w:lineRule="exact"/>
              <w:ind w:left="876"/>
            </w:pPr>
            <w:r>
              <w:t>10.000</w:t>
            </w:r>
          </w:p>
        </w:tc>
      </w:tr>
      <w:tr w:rsidR="00123455">
        <w:trPr>
          <w:trHeight w:hRule="exact" w:val="253"/>
        </w:trPr>
        <w:tc>
          <w:tcPr>
            <w:tcW w:w="2861" w:type="dxa"/>
          </w:tcPr>
          <w:p w:rsidR="00123455" w:rsidRDefault="00E9192C">
            <w:pPr>
              <w:pStyle w:val="TableParagraph"/>
              <w:spacing w:line="250" w:lineRule="exact"/>
              <w:ind w:left="50"/>
            </w:pPr>
            <w:r>
              <w:t>Územní platnost</w:t>
            </w:r>
          </w:p>
        </w:tc>
        <w:tc>
          <w:tcPr>
            <w:tcW w:w="3759" w:type="dxa"/>
          </w:tcPr>
          <w:p w:rsidR="00123455" w:rsidRDefault="00E9192C">
            <w:pPr>
              <w:pStyle w:val="TableParagraph"/>
              <w:spacing w:line="250" w:lineRule="exact"/>
              <w:ind w:left="883"/>
            </w:pPr>
            <w:r>
              <w:t>Celý svět bez USA a Kanady</w:t>
            </w:r>
          </w:p>
        </w:tc>
      </w:tr>
      <w:tr w:rsidR="00123455">
        <w:trPr>
          <w:trHeight w:hRule="exact" w:val="249"/>
        </w:trPr>
        <w:tc>
          <w:tcPr>
            <w:tcW w:w="2861" w:type="dxa"/>
          </w:tcPr>
          <w:p w:rsidR="00123455" w:rsidRDefault="00E9192C">
            <w:pPr>
              <w:pStyle w:val="TableParagraph"/>
              <w:spacing w:line="249" w:lineRule="exact"/>
              <w:ind w:left="50"/>
            </w:pPr>
            <w:r>
              <w:t>Roční pojistné v Kč</w:t>
            </w:r>
          </w:p>
        </w:tc>
        <w:tc>
          <w:tcPr>
            <w:tcW w:w="3759" w:type="dxa"/>
          </w:tcPr>
          <w:p w:rsidR="00123455" w:rsidRDefault="00E9192C">
            <w:pPr>
              <w:pStyle w:val="TableParagraph"/>
              <w:spacing w:line="249" w:lineRule="exact"/>
              <w:ind w:left="915"/>
            </w:pPr>
            <w:r>
              <w:t>9.600</w:t>
            </w:r>
          </w:p>
        </w:tc>
      </w:tr>
    </w:tbl>
    <w:p w:rsidR="00123455" w:rsidRDefault="00123455">
      <w:pPr>
        <w:pStyle w:val="Zkladntext"/>
        <w:rPr>
          <w:b/>
          <w:sz w:val="21"/>
        </w:rPr>
      </w:pPr>
    </w:p>
    <w:p w:rsidR="00123455" w:rsidRDefault="00E9192C">
      <w:pPr>
        <w:pStyle w:val="Zkladntext"/>
        <w:spacing w:line="288" w:lineRule="auto"/>
        <w:ind w:left="152" w:right="102"/>
        <w:jc w:val="both"/>
      </w:pPr>
      <w:r>
        <w:t>Odchylně od ustanovení článku 8 odst. 2 písm. f) UCZ/Odp/14 a článku 4 bodu 7 UCZ/Odp-P/14 se pojištění vztahuje i na povinnost uhradit škodu (včetně finanční) a při ublížení na zdraví a při usmrcení též újmu způsobenou nakládáním s odpady, zpracováním odpadů a jejich skladováním (včetně odpadů nebezpečných).</w:t>
      </w:r>
    </w:p>
    <w:p w:rsidR="00123455" w:rsidRDefault="00123455">
      <w:pPr>
        <w:pStyle w:val="Zkladntext"/>
        <w:spacing w:before="1"/>
      </w:pPr>
    </w:p>
    <w:p w:rsidR="00123455" w:rsidRDefault="00E9192C">
      <w:pPr>
        <w:pStyle w:val="Nadpis2"/>
        <w:ind w:left="152"/>
        <w:jc w:val="both"/>
      </w:pPr>
      <w:r>
        <w:t>Odpovědnost za škodu na věcech zaměstnanců (11) včetně automobilů zaměstnanců</w:t>
      </w:r>
    </w:p>
    <w:p w:rsidR="00123455" w:rsidRDefault="00E9192C">
      <w:pPr>
        <w:pStyle w:val="Zkladntext"/>
        <w:tabs>
          <w:tab w:val="left" w:pos="3839"/>
        </w:tabs>
        <w:ind w:left="152" w:right="5109"/>
      </w:pPr>
      <w:r>
        <w:t>Sublimit plnění v</w:t>
      </w:r>
      <w:r>
        <w:rPr>
          <w:spacing w:val="-4"/>
        </w:rPr>
        <w:t xml:space="preserve"> </w:t>
      </w:r>
      <w:r>
        <w:t>Kč</w:t>
      </w:r>
      <w:r>
        <w:tab/>
        <w:t>500.000 Spoluúčast v</w:t>
      </w:r>
      <w:r>
        <w:rPr>
          <w:spacing w:val="-3"/>
        </w:rPr>
        <w:t xml:space="preserve"> </w:t>
      </w:r>
      <w:r>
        <w:t>Kč</w:t>
      </w:r>
      <w:r>
        <w:tab/>
        <w:t>bez spoluúčasti</w:t>
      </w:r>
    </w:p>
    <w:p w:rsidR="00123455" w:rsidRDefault="00123455">
      <w:pPr>
        <w:sectPr w:rsidR="00123455">
          <w:headerReference w:type="default" r:id="rId12"/>
          <w:pgSz w:w="11920" w:h="16840"/>
          <w:pgMar w:top="3800" w:right="740" w:bottom="1980" w:left="700" w:header="1798" w:footer="1785" w:gutter="0"/>
          <w:cols w:space="720"/>
        </w:sectPr>
      </w:pPr>
    </w:p>
    <w:p w:rsidR="00123455" w:rsidRDefault="00123455">
      <w:pPr>
        <w:pStyle w:val="Zkladntext"/>
        <w:spacing w:before="10"/>
        <w:rPr>
          <w:sz w:val="19"/>
        </w:rPr>
      </w:pPr>
    </w:p>
    <w:p w:rsidR="00123455" w:rsidRDefault="00E9192C">
      <w:pPr>
        <w:pStyle w:val="Nadpis2"/>
        <w:spacing w:before="94" w:line="288" w:lineRule="auto"/>
        <w:ind w:left="152" w:right="104"/>
        <w:jc w:val="both"/>
        <w:rPr>
          <w:b w:val="0"/>
        </w:rPr>
      </w:pPr>
      <w:r>
        <w:t xml:space="preserve">Odpovědnost za nemajetkovou újmu, která vznikla jinak než při ublížení na zdraví nebo usmrcením /ochrana osobnosti/ (94) </w:t>
      </w:r>
      <w:r>
        <w:rPr>
          <w:b w:val="0"/>
        </w:rPr>
        <w:t>dle smluvního ujednání</w:t>
      </w:r>
    </w:p>
    <w:p w:rsidR="00123455" w:rsidRDefault="00E9192C">
      <w:pPr>
        <w:pStyle w:val="Zkladntext"/>
        <w:tabs>
          <w:tab w:val="left" w:pos="3839"/>
        </w:tabs>
        <w:spacing w:before="120"/>
        <w:ind w:left="152"/>
        <w:jc w:val="both"/>
      </w:pPr>
      <w:r>
        <w:t>Sublimit plnění</w:t>
      </w:r>
      <w:r>
        <w:rPr>
          <w:spacing w:val="1"/>
        </w:rPr>
        <w:t xml:space="preserve"> </w:t>
      </w:r>
      <w:r>
        <w:t>v</w:t>
      </w:r>
      <w:r>
        <w:rPr>
          <w:spacing w:val="-4"/>
        </w:rPr>
        <w:t xml:space="preserve"> </w:t>
      </w:r>
      <w:r>
        <w:t>Kč</w:t>
      </w:r>
      <w:r>
        <w:tab/>
        <w:t>10.000.000</w:t>
      </w:r>
    </w:p>
    <w:p w:rsidR="00123455" w:rsidRDefault="00E9192C">
      <w:pPr>
        <w:pStyle w:val="Zkladntext"/>
        <w:tabs>
          <w:tab w:val="left" w:pos="3839"/>
        </w:tabs>
        <w:spacing w:before="2" w:line="252" w:lineRule="exact"/>
        <w:ind w:left="152"/>
        <w:jc w:val="both"/>
      </w:pPr>
      <w:r>
        <w:t>Spoluúčast</w:t>
      </w:r>
      <w:r>
        <w:rPr>
          <w:spacing w:val="1"/>
        </w:rPr>
        <w:t xml:space="preserve"> </w:t>
      </w:r>
      <w:r>
        <w:t>v</w:t>
      </w:r>
      <w:r>
        <w:rPr>
          <w:spacing w:val="-3"/>
        </w:rPr>
        <w:t xml:space="preserve"> </w:t>
      </w:r>
      <w:r>
        <w:t>Kč</w:t>
      </w:r>
      <w:r>
        <w:tab/>
        <w:t>10.000</w:t>
      </w:r>
    </w:p>
    <w:p w:rsidR="00123455" w:rsidRDefault="00E9192C">
      <w:pPr>
        <w:pStyle w:val="Zkladntext"/>
        <w:tabs>
          <w:tab w:val="left" w:pos="3899"/>
        </w:tabs>
        <w:spacing w:line="252" w:lineRule="exact"/>
        <w:ind w:left="152"/>
        <w:jc w:val="both"/>
      </w:pPr>
      <w:r>
        <w:t>Územní</w:t>
      </w:r>
      <w:r>
        <w:rPr>
          <w:spacing w:val="-2"/>
        </w:rPr>
        <w:t xml:space="preserve"> </w:t>
      </w:r>
      <w:r>
        <w:t>platnost</w:t>
      </w:r>
      <w:r>
        <w:tab/>
        <w:t>Celý svět bez USA a</w:t>
      </w:r>
      <w:r>
        <w:rPr>
          <w:spacing w:val="-6"/>
        </w:rPr>
        <w:t xml:space="preserve"> </w:t>
      </w:r>
      <w:r>
        <w:t>Kanady</w:t>
      </w:r>
    </w:p>
    <w:p w:rsidR="00123455" w:rsidRDefault="00E9192C">
      <w:pPr>
        <w:pStyle w:val="Zkladntext"/>
        <w:tabs>
          <w:tab w:val="right" w:pos="4454"/>
        </w:tabs>
        <w:spacing w:line="252" w:lineRule="exact"/>
        <w:ind w:left="152"/>
        <w:jc w:val="both"/>
      </w:pPr>
      <w:r>
        <w:t>Roční pojistné</w:t>
      </w:r>
      <w:r>
        <w:rPr>
          <w:spacing w:val="-1"/>
        </w:rPr>
        <w:t xml:space="preserve"> </w:t>
      </w:r>
      <w:r>
        <w:t>v</w:t>
      </w:r>
      <w:r>
        <w:rPr>
          <w:spacing w:val="1"/>
        </w:rPr>
        <w:t xml:space="preserve"> </w:t>
      </w:r>
      <w:r>
        <w:t>Kč</w:t>
      </w:r>
      <w:r>
        <w:tab/>
        <w:t>6.700</w:t>
      </w:r>
    </w:p>
    <w:p w:rsidR="00123455" w:rsidRDefault="00E9192C">
      <w:pPr>
        <w:pStyle w:val="Zkladntext"/>
        <w:spacing w:before="121" w:line="288" w:lineRule="auto"/>
        <w:ind w:left="152" w:right="101"/>
        <w:jc w:val="both"/>
      </w:pPr>
      <w:r>
        <w:t>Odchylně od čl. 8 odst. 3 písm. b) UCZ/Odp/14 se pojištění vztahuje i na povinnost nahradit nemajetkovou újmu vzniklou jinak než při ublížení na zdraví a při usmrcení, pokud je povinnost k její náhradě dána soudním rozhodnutím. Pojištění se však nevztahuje na povinnost nahradit nemajetkovou újmu, která vznikla jinak než při ublížení na zdraví nebo usmrcením, pokud byla způsobena urážkou, pomluvou, sexuálním obtěžováním nebo zneužíváním, anebo která vznikla zaměstnanci pojištěného.</w:t>
      </w:r>
    </w:p>
    <w:p w:rsidR="00123455" w:rsidRDefault="00123455">
      <w:pPr>
        <w:pStyle w:val="Zkladntext"/>
        <w:spacing w:before="5"/>
        <w:rPr>
          <w:sz w:val="26"/>
        </w:rPr>
      </w:pPr>
    </w:p>
    <w:p w:rsidR="00123455" w:rsidRDefault="00E9192C">
      <w:pPr>
        <w:spacing w:after="8" w:line="288" w:lineRule="auto"/>
        <w:ind w:left="152" w:right="103"/>
        <w:jc w:val="both"/>
      </w:pPr>
      <w:r>
        <w:rPr>
          <w:b/>
        </w:rPr>
        <w:t xml:space="preserve">Odpovědnost za škodu, újmu vzniklou členu orgánu (99) dle smluvního ujednání </w:t>
      </w:r>
      <w:r>
        <w:t>– odpovědnost obchodní korporace za újmu členům svých orgánů v souvislosti s výkonem jejich funkce</w:t>
      </w:r>
    </w:p>
    <w:tbl>
      <w:tblPr>
        <w:tblStyle w:val="TableNormal"/>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2861"/>
        <w:gridCol w:w="3758"/>
      </w:tblGrid>
      <w:tr w:rsidR="00123455">
        <w:trPr>
          <w:trHeight w:hRule="exact" w:val="250"/>
        </w:trPr>
        <w:tc>
          <w:tcPr>
            <w:tcW w:w="2861" w:type="dxa"/>
          </w:tcPr>
          <w:p w:rsidR="00123455" w:rsidRDefault="00E9192C">
            <w:pPr>
              <w:pStyle w:val="TableParagraph"/>
              <w:spacing w:line="247" w:lineRule="exact"/>
              <w:ind w:left="50"/>
            </w:pPr>
            <w:r>
              <w:t>Sublimit plnění v Kč</w:t>
            </w:r>
          </w:p>
        </w:tc>
        <w:tc>
          <w:tcPr>
            <w:tcW w:w="3758" w:type="dxa"/>
          </w:tcPr>
          <w:p w:rsidR="00123455" w:rsidRDefault="00E9192C">
            <w:pPr>
              <w:pStyle w:val="TableParagraph"/>
              <w:spacing w:line="247" w:lineRule="exact"/>
              <w:ind w:left="876"/>
            </w:pPr>
            <w:r>
              <w:t>25.000.000</w:t>
            </w:r>
          </w:p>
        </w:tc>
      </w:tr>
      <w:tr w:rsidR="00123455">
        <w:trPr>
          <w:trHeight w:hRule="exact" w:val="253"/>
        </w:trPr>
        <w:tc>
          <w:tcPr>
            <w:tcW w:w="2861" w:type="dxa"/>
          </w:tcPr>
          <w:p w:rsidR="00123455" w:rsidRDefault="00E9192C">
            <w:pPr>
              <w:pStyle w:val="TableParagraph"/>
              <w:spacing w:line="249" w:lineRule="exact"/>
              <w:ind w:left="50"/>
            </w:pPr>
            <w:r>
              <w:t>Spoluúčast v Kč</w:t>
            </w:r>
          </w:p>
        </w:tc>
        <w:tc>
          <w:tcPr>
            <w:tcW w:w="3758" w:type="dxa"/>
          </w:tcPr>
          <w:p w:rsidR="00123455" w:rsidRDefault="00E9192C">
            <w:pPr>
              <w:pStyle w:val="TableParagraph"/>
              <w:spacing w:line="249" w:lineRule="exact"/>
              <w:ind w:left="876"/>
            </w:pPr>
            <w:r>
              <w:t>10.000</w:t>
            </w:r>
          </w:p>
        </w:tc>
      </w:tr>
      <w:tr w:rsidR="00123455">
        <w:trPr>
          <w:trHeight w:hRule="exact" w:val="253"/>
        </w:trPr>
        <w:tc>
          <w:tcPr>
            <w:tcW w:w="2861" w:type="dxa"/>
          </w:tcPr>
          <w:p w:rsidR="00123455" w:rsidRDefault="00E9192C">
            <w:pPr>
              <w:pStyle w:val="TableParagraph"/>
              <w:spacing w:line="250" w:lineRule="exact"/>
              <w:ind w:left="50"/>
            </w:pPr>
            <w:r>
              <w:t>Územní platnost</w:t>
            </w:r>
          </w:p>
        </w:tc>
        <w:tc>
          <w:tcPr>
            <w:tcW w:w="3758" w:type="dxa"/>
          </w:tcPr>
          <w:p w:rsidR="00123455" w:rsidRDefault="00E9192C">
            <w:pPr>
              <w:pStyle w:val="TableParagraph"/>
              <w:spacing w:line="250" w:lineRule="exact"/>
              <w:ind w:left="883"/>
            </w:pPr>
            <w:r>
              <w:t>Celý svět bez USA a Kanady</w:t>
            </w:r>
          </w:p>
        </w:tc>
      </w:tr>
      <w:tr w:rsidR="00123455">
        <w:trPr>
          <w:trHeight w:hRule="exact" w:val="249"/>
        </w:trPr>
        <w:tc>
          <w:tcPr>
            <w:tcW w:w="2861" w:type="dxa"/>
          </w:tcPr>
          <w:p w:rsidR="00123455" w:rsidRDefault="00E9192C">
            <w:pPr>
              <w:pStyle w:val="TableParagraph"/>
              <w:spacing w:line="249" w:lineRule="exact"/>
              <w:ind w:left="50"/>
            </w:pPr>
            <w:r>
              <w:t>Roční pojistné v Kč</w:t>
            </w:r>
          </w:p>
        </w:tc>
        <w:tc>
          <w:tcPr>
            <w:tcW w:w="3758" w:type="dxa"/>
          </w:tcPr>
          <w:p w:rsidR="00123455" w:rsidRDefault="00E9192C">
            <w:pPr>
              <w:pStyle w:val="TableParagraph"/>
              <w:spacing w:line="249" w:lineRule="exact"/>
              <w:ind w:left="876"/>
            </w:pPr>
            <w:r>
              <w:t>4.000</w:t>
            </w:r>
          </w:p>
        </w:tc>
      </w:tr>
    </w:tbl>
    <w:p w:rsidR="00123455" w:rsidRDefault="00123455">
      <w:pPr>
        <w:pStyle w:val="Zkladntext"/>
        <w:spacing w:before="8"/>
        <w:rPr>
          <w:sz w:val="20"/>
        </w:rPr>
      </w:pPr>
    </w:p>
    <w:p w:rsidR="00123455" w:rsidRDefault="00E9192C">
      <w:pPr>
        <w:pStyle w:val="Zkladntext"/>
        <w:spacing w:before="1" w:line="288" w:lineRule="auto"/>
        <w:ind w:left="152" w:right="102"/>
        <w:jc w:val="both"/>
      </w:pPr>
      <w:r>
        <w:t>Pojištění se vztahuje i na případy, kdy je pojistník povinen nahradit škodu a při ublížení na zdraví a při usmrcení újmu, kterou utrpí členové představenstva či jednatelé pojistníka/pojištěného při plnění funkce člena představenstva nebo jednatele nebo v přímé souvislosti s ním a za kterou pojistník/pojištěný odpovídá podle platné právní úpravy.</w:t>
      </w:r>
    </w:p>
    <w:p w:rsidR="00123455" w:rsidRDefault="00E9192C">
      <w:pPr>
        <w:pStyle w:val="Zkladntext"/>
        <w:spacing w:line="288" w:lineRule="auto"/>
        <w:ind w:left="152" w:right="105"/>
        <w:jc w:val="both"/>
      </w:pPr>
      <w:r>
        <w:t>Výluka z pojištění uvedená v čl. 8 odst. 4 písm. a) UCZ/Odp/14 a týkající se škod způsobených společníku se pro tyto účely neuplatní.</w:t>
      </w:r>
    </w:p>
    <w:p w:rsidR="00123455" w:rsidRDefault="00123455">
      <w:pPr>
        <w:pStyle w:val="Zkladntext"/>
        <w:spacing w:before="1"/>
      </w:pPr>
    </w:p>
    <w:p w:rsidR="00123455" w:rsidRDefault="00E9192C">
      <w:pPr>
        <w:pStyle w:val="Nadpis2"/>
        <w:spacing w:line="253" w:lineRule="exact"/>
        <w:ind w:left="152"/>
        <w:jc w:val="both"/>
      </w:pPr>
      <w:r>
        <w:t>Křížová odpovědnost a Odpovědnost vůči majetkově propojeným společnostem (98)</w:t>
      </w:r>
    </w:p>
    <w:p w:rsidR="00123455" w:rsidRDefault="00E9192C">
      <w:pPr>
        <w:pStyle w:val="Zkladntext"/>
        <w:tabs>
          <w:tab w:val="left" w:pos="3839"/>
        </w:tabs>
        <w:ind w:left="152" w:right="5525"/>
      </w:pPr>
      <w:r>
        <w:t>Sublimit plnění v</w:t>
      </w:r>
      <w:r>
        <w:rPr>
          <w:spacing w:val="-4"/>
        </w:rPr>
        <w:t xml:space="preserve"> </w:t>
      </w:r>
      <w:r>
        <w:t>Kč</w:t>
      </w:r>
      <w:r>
        <w:tab/>
        <w:t>30.000.000 Spoluúčast</w:t>
      </w:r>
      <w:r>
        <w:rPr>
          <w:spacing w:val="1"/>
        </w:rPr>
        <w:t xml:space="preserve"> </w:t>
      </w:r>
      <w:r>
        <w:t>v</w:t>
      </w:r>
      <w:r>
        <w:rPr>
          <w:spacing w:val="-3"/>
        </w:rPr>
        <w:t xml:space="preserve"> </w:t>
      </w:r>
      <w:r>
        <w:t>Kč</w:t>
      </w:r>
      <w:r>
        <w:tab/>
        <w:t>10.000</w:t>
      </w:r>
    </w:p>
    <w:p w:rsidR="00123455" w:rsidRDefault="00E9192C">
      <w:pPr>
        <w:pStyle w:val="Zkladntext"/>
        <w:tabs>
          <w:tab w:val="left" w:pos="3839"/>
        </w:tabs>
        <w:spacing w:line="252" w:lineRule="exact"/>
        <w:ind w:left="152"/>
        <w:jc w:val="both"/>
      </w:pPr>
      <w:r>
        <w:t>Územní</w:t>
      </w:r>
      <w:r>
        <w:rPr>
          <w:spacing w:val="-2"/>
        </w:rPr>
        <w:t xml:space="preserve"> </w:t>
      </w:r>
      <w:r>
        <w:t>platnost</w:t>
      </w:r>
      <w:r>
        <w:tab/>
        <w:t>Celý svět bez USA a</w:t>
      </w:r>
      <w:r>
        <w:rPr>
          <w:spacing w:val="-5"/>
        </w:rPr>
        <w:t xml:space="preserve"> </w:t>
      </w:r>
      <w:r>
        <w:t>Kanady</w:t>
      </w:r>
    </w:p>
    <w:p w:rsidR="00123455" w:rsidRDefault="00E9192C">
      <w:pPr>
        <w:pStyle w:val="Zkladntext"/>
        <w:tabs>
          <w:tab w:val="left" w:pos="3839"/>
        </w:tabs>
        <w:spacing w:line="252" w:lineRule="exact"/>
        <w:ind w:left="152"/>
        <w:jc w:val="both"/>
      </w:pPr>
      <w:r>
        <w:t>Roční pojistné</w:t>
      </w:r>
      <w:r>
        <w:rPr>
          <w:spacing w:val="-2"/>
        </w:rPr>
        <w:t xml:space="preserve"> </w:t>
      </w:r>
      <w:r>
        <w:t>v Kč</w:t>
      </w:r>
      <w:r>
        <w:tab/>
        <w:t>zahrnuto v pojistném za základní</w:t>
      </w:r>
      <w:r>
        <w:rPr>
          <w:spacing w:val="-13"/>
        </w:rPr>
        <w:t xml:space="preserve"> </w:t>
      </w:r>
      <w:r>
        <w:t>pojištění</w:t>
      </w:r>
    </w:p>
    <w:p w:rsidR="00123455" w:rsidRDefault="00123455">
      <w:pPr>
        <w:pStyle w:val="Zkladntext"/>
        <w:rPr>
          <w:sz w:val="21"/>
        </w:rPr>
      </w:pPr>
    </w:p>
    <w:p w:rsidR="00123455" w:rsidRDefault="00E9192C">
      <w:pPr>
        <w:pStyle w:val="Zkladntext"/>
        <w:spacing w:line="288" w:lineRule="auto"/>
        <w:ind w:left="152" w:right="104"/>
        <w:jc w:val="both"/>
      </w:pPr>
      <w:r>
        <w:t>V rozsahu limitu plnění pro základní pojištění a sublimitů plnění pro dodatková pojištění se pojištění vztahuje i na povinnost pojištěného nahradit škodu a při ublížení na zdraví a při usmrcení též újmu způsobenou mezi pojištěnými a majetkově propojenými subjekty (škoda mezi ústavy, škoda způsobená zřizovateli).  Ustanovení čl.  8  odst.  4 písm.  a)  a b) UCZ/Odp/14 se  pro uvedené  pojištění   nepoužijí.</w:t>
      </w:r>
    </w:p>
    <w:p w:rsidR="00123455" w:rsidRDefault="00123455">
      <w:pPr>
        <w:spacing w:line="288" w:lineRule="auto"/>
        <w:jc w:val="both"/>
        <w:sectPr w:rsidR="00123455">
          <w:pgSz w:w="11920" w:h="16840"/>
          <w:pgMar w:top="3800" w:right="740" w:bottom="1980" w:left="700" w:header="1798" w:footer="1785" w:gutter="0"/>
          <w:cols w:space="720"/>
        </w:sectPr>
      </w:pPr>
    </w:p>
    <w:p w:rsidR="00123455" w:rsidRDefault="00E9192C">
      <w:pPr>
        <w:pStyle w:val="Zkladntext"/>
        <w:spacing w:before="178" w:line="288" w:lineRule="auto"/>
        <w:ind w:left="112" w:right="320"/>
      </w:pPr>
      <w:r>
        <w:t>Pojištění odpovědnosti se vztahuje i na škody způsobené společnosti společnost Hi-Beams, s.r.o., IČ 098 18 898 a jejímu společníkovi SHM, s.r.o., IČ: 479 76</w:t>
      </w:r>
      <w:r>
        <w:rPr>
          <w:spacing w:val="-14"/>
        </w:rPr>
        <w:t xml:space="preserve"> </w:t>
      </w:r>
      <w:r>
        <w:t>519.</w:t>
      </w:r>
    </w:p>
    <w:p w:rsidR="00123455" w:rsidRDefault="00123455">
      <w:pPr>
        <w:pStyle w:val="Zkladntext"/>
        <w:spacing w:before="4"/>
        <w:rPr>
          <w:sz w:val="32"/>
        </w:rPr>
      </w:pPr>
    </w:p>
    <w:p w:rsidR="00123455" w:rsidRDefault="00E9192C">
      <w:pPr>
        <w:pStyle w:val="Nadpis2"/>
        <w:spacing w:line="240" w:lineRule="auto"/>
        <w:ind w:right="320"/>
      </w:pPr>
      <w:r>
        <w:t>Odpovědnost za škodu způsobenou žáky, studenty, osobami vykonávajícími smluvní odbornou činnost (stáže, specializované pobyty, odborné školící praxe, při teoretickém nebo praktickém vyučování apod. (99)</w:t>
      </w:r>
    </w:p>
    <w:p w:rsidR="00123455" w:rsidRDefault="00E9192C">
      <w:pPr>
        <w:pStyle w:val="Zkladntext"/>
        <w:tabs>
          <w:tab w:val="left" w:pos="3799"/>
        </w:tabs>
        <w:spacing w:before="122"/>
        <w:ind w:left="112"/>
      </w:pPr>
      <w:r>
        <w:t>Sublimit plnění v</w:t>
      </w:r>
      <w:r>
        <w:rPr>
          <w:spacing w:val="-3"/>
        </w:rPr>
        <w:t xml:space="preserve"> </w:t>
      </w:r>
      <w:r>
        <w:t>Kč</w:t>
      </w:r>
      <w:r>
        <w:tab/>
        <w:t>20.000.000,-</w:t>
      </w:r>
    </w:p>
    <w:p w:rsidR="00123455" w:rsidRDefault="00E9192C">
      <w:pPr>
        <w:pStyle w:val="Zkladntext"/>
        <w:tabs>
          <w:tab w:val="left" w:pos="3799"/>
        </w:tabs>
        <w:spacing w:before="49"/>
        <w:ind w:left="112"/>
      </w:pPr>
      <w:r>
        <w:t>Spoluúčast v</w:t>
      </w:r>
      <w:r>
        <w:rPr>
          <w:spacing w:val="-2"/>
        </w:rPr>
        <w:t xml:space="preserve"> </w:t>
      </w:r>
      <w:r>
        <w:t>Kč</w:t>
      </w:r>
      <w:r>
        <w:tab/>
        <w:t>bez</w:t>
      </w:r>
      <w:r>
        <w:rPr>
          <w:spacing w:val="1"/>
        </w:rPr>
        <w:t xml:space="preserve"> </w:t>
      </w:r>
      <w:r>
        <w:t>spoluúčasti</w:t>
      </w:r>
    </w:p>
    <w:p w:rsidR="00123455" w:rsidRDefault="00E9192C">
      <w:pPr>
        <w:pStyle w:val="Zkladntext"/>
        <w:tabs>
          <w:tab w:val="left" w:pos="3799"/>
        </w:tabs>
        <w:spacing w:before="51"/>
        <w:ind w:left="112"/>
      </w:pPr>
      <w:r>
        <w:t>Územní</w:t>
      </w:r>
      <w:r>
        <w:rPr>
          <w:spacing w:val="-1"/>
        </w:rPr>
        <w:t xml:space="preserve"> </w:t>
      </w:r>
      <w:r>
        <w:t>platnost</w:t>
      </w:r>
      <w:r>
        <w:tab/>
        <w:t>Celý svět bez USA a</w:t>
      </w:r>
      <w:r>
        <w:rPr>
          <w:spacing w:val="-6"/>
        </w:rPr>
        <w:t xml:space="preserve"> </w:t>
      </w:r>
      <w:r>
        <w:t>Kanady</w:t>
      </w:r>
    </w:p>
    <w:p w:rsidR="00123455" w:rsidRDefault="00E9192C">
      <w:pPr>
        <w:pStyle w:val="Zkladntext"/>
        <w:tabs>
          <w:tab w:val="left" w:pos="3780"/>
        </w:tabs>
        <w:spacing w:before="49"/>
        <w:ind w:left="112"/>
      </w:pPr>
      <w:r>
        <w:t>Roční pojistné</w:t>
      </w:r>
      <w:r>
        <w:rPr>
          <w:spacing w:val="-2"/>
        </w:rPr>
        <w:t xml:space="preserve"> </w:t>
      </w:r>
      <w:r>
        <w:t>v</w:t>
      </w:r>
      <w:r>
        <w:rPr>
          <w:spacing w:val="1"/>
        </w:rPr>
        <w:t xml:space="preserve"> </w:t>
      </w:r>
      <w:r>
        <w:t>Kč</w:t>
      </w:r>
      <w:r>
        <w:tab/>
        <w:t>2.700,-</w:t>
      </w:r>
    </w:p>
    <w:p w:rsidR="00123455" w:rsidRDefault="00123455">
      <w:pPr>
        <w:pStyle w:val="Zkladntext"/>
      </w:pPr>
    </w:p>
    <w:p w:rsidR="00123455" w:rsidRDefault="00E9192C">
      <w:pPr>
        <w:pStyle w:val="Zkladntext"/>
        <w:spacing w:line="288" w:lineRule="auto"/>
        <w:ind w:left="112" w:right="102"/>
        <w:jc w:val="both"/>
      </w:pPr>
      <w:r>
        <w:t>Ujednává se, že pojištění se vztahuje i na povinnost žáka, studenta, osoby vykonávající smluvní odbornou činnost pojistníka nahradit škodu a při ublížení na zdraví a při usmrcení újmu způsobenou při teoretickém nebo praktickém vyučování, stáži, specializovaném pobytu, odborné školící praxi nebo v přímé souvislosti s nimi třetím osobám, u nichž jsou teoretické nebo praktické vyučování, stáž, specializovaný pobyt, odborná školící praxe vykonávány. Pojištění se vztahuje i na povinnost nahradit škodu na movitých věcech svěřených nebo užívaných při teoretickém nebo praktickém vyučování, stáži, specializovaném pobytu, odborné školící praxi, pokud došlo k jejich poškození nebo zničení, s výjimkou škod způsobených zanedbáním předepsané obsluhy a údržby. Pojištění se vztahuje i na povinnost žáka, studenta, osoby vykonávající smluvní odbornou činnost nahradit škodu a při ublížení na zdraví a při usmrcení újmu způsobenou osobám pojištěným v rámci téže pojistné smlouvy (křížová odpovědnost). Pojištění se nevztahuje na povinnost nahradit škodu vzniklou pojistníkovi. Pojištění se dále nevztahuje na povinnost uhradit schodek na svěřených hodnotách, které jsou žák, student, osoba vykonávající smluvní odbornou činnost povinni zúčtovat, ani na povinnost uhradit škodu způsobenou ztrátou věcí, a dále na povinnost uhradit majetkovou sankci uloženou subjektu, u kterého jsou žák, student, osoba vykonávajícími smluvní odbornou činnost na teoretickém nebo praktickém vyučování, stáži, specializovaném pobytu, odborné školící</w:t>
      </w:r>
      <w:r>
        <w:rPr>
          <w:spacing w:val="-8"/>
        </w:rPr>
        <w:t xml:space="preserve"> </w:t>
      </w:r>
      <w:r>
        <w:t>praxi.</w:t>
      </w:r>
    </w:p>
    <w:p w:rsidR="00123455" w:rsidRDefault="00123455">
      <w:pPr>
        <w:pStyle w:val="Zkladntext"/>
        <w:rPr>
          <w:sz w:val="21"/>
        </w:rPr>
      </w:pPr>
    </w:p>
    <w:p w:rsidR="00123455" w:rsidRDefault="00E9192C">
      <w:pPr>
        <w:pStyle w:val="Nadpis2"/>
        <w:spacing w:line="240" w:lineRule="auto"/>
      </w:pPr>
      <w:r>
        <w:t>Náklady na dokumentaci a likvidaci pojistné události (99)</w:t>
      </w:r>
    </w:p>
    <w:p w:rsidR="00123455" w:rsidRDefault="00E9192C">
      <w:pPr>
        <w:pStyle w:val="Zkladntext"/>
        <w:tabs>
          <w:tab w:val="left" w:pos="3799"/>
        </w:tabs>
        <w:spacing w:before="49"/>
        <w:ind w:left="112"/>
      </w:pPr>
      <w:r>
        <w:t>Sublimit plnění v</w:t>
      </w:r>
      <w:r>
        <w:rPr>
          <w:spacing w:val="-3"/>
        </w:rPr>
        <w:t xml:space="preserve"> </w:t>
      </w:r>
      <w:r>
        <w:t>Kč</w:t>
      </w:r>
      <w:r>
        <w:tab/>
        <w:t>500.000,-</w:t>
      </w:r>
    </w:p>
    <w:p w:rsidR="00123455" w:rsidRDefault="00E9192C">
      <w:pPr>
        <w:pStyle w:val="Zkladntext"/>
        <w:tabs>
          <w:tab w:val="left" w:pos="3799"/>
        </w:tabs>
        <w:spacing w:before="51"/>
        <w:ind w:left="112"/>
      </w:pPr>
      <w:r>
        <w:t>Spoluúčast v</w:t>
      </w:r>
      <w:r>
        <w:rPr>
          <w:spacing w:val="-2"/>
        </w:rPr>
        <w:t xml:space="preserve"> </w:t>
      </w:r>
      <w:r>
        <w:t>Kč</w:t>
      </w:r>
      <w:r>
        <w:tab/>
        <w:t>10.000,-</w:t>
      </w:r>
    </w:p>
    <w:p w:rsidR="00123455" w:rsidRDefault="00E9192C">
      <w:pPr>
        <w:pStyle w:val="Zkladntext"/>
        <w:tabs>
          <w:tab w:val="left" w:pos="3799"/>
        </w:tabs>
        <w:spacing w:before="49"/>
        <w:ind w:left="112"/>
      </w:pPr>
      <w:r>
        <w:t>Územní</w:t>
      </w:r>
      <w:r>
        <w:rPr>
          <w:spacing w:val="-2"/>
        </w:rPr>
        <w:t xml:space="preserve"> </w:t>
      </w:r>
      <w:r>
        <w:t>platnost</w:t>
      </w:r>
      <w:r>
        <w:tab/>
        <w:t>Celý svět bez USA a</w:t>
      </w:r>
      <w:r>
        <w:rPr>
          <w:spacing w:val="-6"/>
        </w:rPr>
        <w:t xml:space="preserve"> </w:t>
      </w:r>
      <w:r>
        <w:t>Kanady</w:t>
      </w:r>
    </w:p>
    <w:p w:rsidR="00123455" w:rsidRDefault="00E9192C">
      <w:pPr>
        <w:pStyle w:val="Zkladntext"/>
        <w:tabs>
          <w:tab w:val="left" w:pos="3775"/>
        </w:tabs>
        <w:spacing w:before="52"/>
        <w:ind w:left="112"/>
      </w:pPr>
      <w:r>
        <w:t>Roční pojistné</w:t>
      </w:r>
      <w:r>
        <w:rPr>
          <w:spacing w:val="-2"/>
        </w:rPr>
        <w:t xml:space="preserve"> </w:t>
      </w:r>
      <w:r>
        <w:t>v</w:t>
      </w:r>
      <w:r>
        <w:rPr>
          <w:spacing w:val="1"/>
        </w:rPr>
        <w:t xml:space="preserve"> </w:t>
      </w:r>
      <w:r>
        <w:t>Kč</w:t>
      </w:r>
      <w:r>
        <w:tab/>
        <w:t>zahrnuto v pojistném za základní</w:t>
      </w:r>
      <w:r>
        <w:rPr>
          <w:spacing w:val="-10"/>
        </w:rPr>
        <w:t xml:space="preserve"> </w:t>
      </w:r>
      <w:r>
        <w:t>rozsah</w:t>
      </w:r>
    </w:p>
    <w:p w:rsidR="00123455" w:rsidRDefault="00123455">
      <w:pPr>
        <w:sectPr w:rsidR="00123455">
          <w:headerReference w:type="default" r:id="rId13"/>
          <w:pgSz w:w="11920" w:h="16840"/>
          <w:pgMar w:top="3120" w:right="740" w:bottom="1980" w:left="740" w:header="1798" w:footer="1785" w:gutter="0"/>
          <w:cols w:space="720"/>
        </w:sectPr>
      </w:pPr>
    </w:p>
    <w:p w:rsidR="00123455" w:rsidRDefault="00E9192C">
      <w:pPr>
        <w:pStyle w:val="Zkladntext"/>
        <w:spacing w:before="178" w:line="288" w:lineRule="auto"/>
        <w:ind w:left="112" w:right="103"/>
        <w:jc w:val="both"/>
      </w:pPr>
      <w:r>
        <w:t>Pojištění sjednané touto smlouvou zahrnuje také náklady, které pojištěný vynaloží na obnovu a/nebo znovupořízení dat, databází, softwaru, plánů, záznamů, písemností a jiných dokumentů poškozených nebo zničených v souvislosti s pojistnou událostí.</w:t>
      </w:r>
    </w:p>
    <w:p w:rsidR="00123455" w:rsidRDefault="00123455">
      <w:pPr>
        <w:pStyle w:val="Zkladntext"/>
        <w:rPr>
          <w:sz w:val="21"/>
        </w:rPr>
      </w:pPr>
    </w:p>
    <w:p w:rsidR="00123455" w:rsidRDefault="00E9192C">
      <w:pPr>
        <w:pStyle w:val="Zkladntext"/>
        <w:spacing w:before="1" w:line="288" w:lineRule="auto"/>
        <w:ind w:left="112" w:right="103"/>
        <w:jc w:val="both"/>
      </w:pPr>
      <w:r>
        <w:t>Odchylně od příslušných ustanovení VPP se zahrnují do pojištění náklady a vícenáklady, které pojištěný vynaloží na přípravu, dokladování, ověřování nebo zdokumentování pojistné události, na kterou se vztahuje tato pojistná smlouva. Takové náklady zahrnují mzdové náklady a související režijní náklady vynaložené pojištěným (např. příplatky za přesčasovou práci, práci v noci, o víkendech a zákonných svátcích, za přednostní zpracování, výrobu, dodání, pronájem, za spěšnou přepravu včetně letecké přepravy apod.) a rovněž další náklady ve formě poplatků, které pojištěný účelně vynaložil na externí účetní, poradce a konzultanty, architekty, inspektory, inženýry, za právní nebo jiné poradenské služby.</w:t>
      </w:r>
    </w:p>
    <w:p w:rsidR="00123455" w:rsidRDefault="00123455">
      <w:pPr>
        <w:pStyle w:val="Zkladntext"/>
        <w:spacing w:before="1"/>
        <w:rPr>
          <w:sz w:val="21"/>
        </w:rPr>
      </w:pPr>
    </w:p>
    <w:p w:rsidR="00123455" w:rsidRDefault="00E9192C">
      <w:pPr>
        <w:pStyle w:val="Zkladntext"/>
        <w:spacing w:line="288" w:lineRule="auto"/>
        <w:ind w:left="112" w:right="102"/>
        <w:jc w:val="both"/>
      </w:pPr>
      <w:r>
        <w:t>Pojištění se dále vztahuje také na zvýšené náklady vynaložené v důsledku změny legislativy, obecně závazných předpisů, norem apod., pokud je pojistník/pojištěný při odstraňování následků po pojistné události takové náklady povinen vynaložit.</w:t>
      </w:r>
    </w:p>
    <w:p w:rsidR="00123455" w:rsidRDefault="00123455">
      <w:pPr>
        <w:pStyle w:val="Zkladntext"/>
        <w:spacing w:before="10"/>
        <w:rPr>
          <w:sz w:val="20"/>
        </w:rPr>
      </w:pPr>
    </w:p>
    <w:p w:rsidR="00123455" w:rsidRDefault="00E9192C">
      <w:pPr>
        <w:pStyle w:val="Nadpis2"/>
        <w:spacing w:line="240" w:lineRule="auto"/>
        <w:jc w:val="both"/>
      </w:pPr>
      <w:r>
        <w:rPr>
          <w:u w:val="thick"/>
        </w:rPr>
        <w:t>Ujednání:</w:t>
      </w:r>
    </w:p>
    <w:p w:rsidR="00123455" w:rsidRDefault="00123455">
      <w:pPr>
        <w:pStyle w:val="Zkladntext"/>
        <w:spacing w:before="10"/>
        <w:rPr>
          <w:b/>
          <w:sz w:val="13"/>
        </w:rPr>
      </w:pPr>
    </w:p>
    <w:p w:rsidR="00123455" w:rsidRDefault="00E9192C">
      <w:pPr>
        <w:spacing w:before="94"/>
        <w:ind w:left="112"/>
        <w:jc w:val="both"/>
        <w:rPr>
          <w:b/>
        </w:rPr>
      </w:pPr>
      <w:r>
        <w:rPr>
          <w:b/>
        </w:rPr>
        <w:t>Pojištění se sjednává na principu Claims made</w:t>
      </w:r>
    </w:p>
    <w:p w:rsidR="00123455" w:rsidRDefault="00E9192C">
      <w:pPr>
        <w:pStyle w:val="Zkladntext"/>
        <w:spacing w:before="2" w:line="288" w:lineRule="auto"/>
        <w:ind w:left="112" w:right="103"/>
        <w:jc w:val="both"/>
      </w:pPr>
      <w:r>
        <w:t>Odchylně od čl. 2 UCZ/Odp-P/14 je předpokladem vzniku práva na pojistné plnění skutečnost, že v době trvání pojištění podle této pojistné smlouvy bylo pojištěnému poprvé doručeno písemné uplatnění nároku poškozeného na náhradu škody nebo újmy a pojištěný zároveň právo na plnění z pojištění uplatnil u pojistitele v době trvání pojištění nebo v průběhu jednoho měsíce po jeho skončení. Odchylně od čl. 8 odst. 2 písm. g) UCZ/Odp/14 se pojištění vztahuje i na povinnost nahradit škodu a při ublížení na zdraví a při usmrcení též újmu, která byla způsobena porušením právní povinnosti nebo dodáním výrobku v době před uzavřením pojištění, konkrétně po datu</w:t>
      </w:r>
      <w:r>
        <w:rPr>
          <w:spacing w:val="-16"/>
        </w:rPr>
        <w:t xml:space="preserve"> </w:t>
      </w:r>
      <w:r>
        <w:t>1.8.2016.</w:t>
      </w:r>
    </w:p>
    <w:p w:rsidR="00123455" w:rsidRDefault="00123455">
      <w:pPr>
        <w:pStyle w:val="Zkladntext"/>
        <w:spacing w:before="10"/>
        <w:rPr>
          <w:sz w:val="20"/>
        </w:rPr>
      </w:pPr>
    </w:p>
    <w:p w:rsidR="00123455" w:rsidRDefault="00E9192C">
      <w:pPr>
        <w:pStyle w:val="Nadpis2"/>
        <w:jc w:val="both"/>
      </w:pPr>
      <w:r>
        <w:t>Souhrnný limit plnění</w:t>
      </w:r>
    </w:p>
    <w:p w:rsidR="00123455" w:rsidRDefault="00E9192C">
      <w:pPr>
        <w:pStyle w:val="Zkladntext"/>
        <w:spacing w:line="288" w:lineRule="auto"/>
        <w:ind w:left="112" w:right="105"/>
        <w:jc w:val="both"/>
      </w:pPr>
      <w:r>
        <w:t>Pojistná plnění vyplacená ze škodných událostí nastalých v průběhu jednoho pojistného roku nesmí přesáhnout dvojnásobek limitu, sublimitu pojistného plnění ujednaného v pojistné smlouvě pro sjednaná pojistná nebezpečí.</w:t>
      </w:r>
    </w:p>
    <w:p w:rsidR="00123455" w:rsidRDefault="00123455">
      <w:pPr>
        <w:pStyle w:val="Zkladntext"/>
        <w:spacing w:before="2"/>
        <w:rPr>
          <w:sz w:val="21"/>
        </w:rPr>
      </w:pPr>
    </w:p>
    <w:p w:rsidR="00123455" w:rsidRDefault="00E9192C">
      <w:pPr>
        <w:pStyle w:val="Nadpis2"/>
        <w:jc w:val="both"/>
      </w:pPr>
      <w:r>
        <w:t>Zachraňovací náklady</w:t>
      </w:r>
    </w:p>
    <w:p w:rsidR="00123455" w:rsidRDefault="00E9192C">
      <w:pPr>
        <w:pStyle w:val="Zkladntext"/>
        <w:spacing w:line="288" w:lineRule="auto"/>
        <w:ind w:left="112" w:right="103"/>
        <w:jc w:val="both"/>
      </w:pPr>
      <w:r>
        <w:t>Odchylně od článku 4 odst. 10 písm. b) UCZ/Odp/14 se ujednává: Úhrada zachraňovacích nákladů,  které byly vynaloženy na záchranu života a zdraví, se omezuje do výše 30% ze sjednaného limitu pojistného plnění. Úhrada ostatních vynaložených zachraňovacích nákladů podle písm. a), b) tohoto odstavce se omezuje do výše 10% ze sjednaného limitu nebo sublimitu pojistného plnění sjednaného  pro pojistné nebezpečí, kterého se zachraňovací náklady</w:t>
      </w:r>
      <w:r>
        <w:rPr>
          <w:spacing w:val="-14"/>
        </w:rPr>
        <w:t xml:space="preserve"> </w:t>
      </w:r>
      <w:r>
        <w:t>týkají.</w:t>
      </w:r>
    </w:p>
    <w:p w:rsidR="00123455" w:rsidRDefault="00123455">
      <w:pPr>
        <w:spacing w:line="288" w:lineRule="auto"/>
        <w:jc w:val="both"/>
        <w:sectPr w:rsidR="00123455">
          <w:headerReference w:type="default" r:id="rId14"/>
          <w:pgSz w:w="11920" w:h="16840"/>
          <w:pgMar w:top="3120" w:right="740" w:bottom="1980" w:left="740" w:header="1798" w:footer="1785" w:gutter="0"/>
          <w:cols w:space="720"/>
        </w:sectPr>
      </w:pPr>
    </w:p>
    <w:p w:rsidR="00123455" w:rsidRDefault="00E9192C">
      <w:pPr>
        <w:pStyle w:val="Nadpis2"/>
        <w:spacing w:before="178"/>
        <w:jc w:val="both"/>
      </w:pPr>
      <w:r>
        <w:t>Retroaktivita</w:t>
      </w:r>
    </w:p>
    <w:p w:rsidR="00123455" w:rsidRDefault="00E9192C">
      <w:pPr>
        <w:pStyle w:val="Zkladntext"/>
        <w:spacing w:line="288" w:lineRule="auto"/>
        <w:ind w:left="112" w:right="102"/>
        <w:jc w:val="both"/>
      </w:pPr>
      <w:r>
        <w:t>Odchylně od čl. 8 odst. 2 písm. g) UCZ/Odp/14 se pojištění vztahuje i na povinnost nahradit škodu a při ublížení na zdraví a při usmrcení též újmu, která byla způsobena porušením právní povinnosti nebo dodávkou výrobku v době před uzavřením pojištění, pokud k porušení právní povinnosti nebo dodávce výrobku došlo po datu 1.8.2016. Retroaktivní krytí se v tomto duchu sjednává pro celý rozsah pojistného krytí.</w:t>
      </w:r>
    </w:p>
    <w:p w:rsidR="00123455" w:rsidRDefault="00E9192C">
      <w:pPr>
        <w:pStyle w:val="Zkladntext"/>
        <w:spacing w:before="4"/>
        <w:ind w:left="162"/>
        <w:jc w:val="both"/>
      </w:pPr>
      <w:r>
        <w:t>------------------------------------------------------------------------------------------------------------------------------------------</w:t>
      </w:r>
    </w:p>
    <w:p w:rsidR="00123455" w:rsidRDefault="00123455">
      <w:pPr>
        <w:pStyle w:val="Zkladntext"/>
        <w:spacing w:before="10"/>
        <w:rPr>
          <w:sz w:val="25"/>
        </w:rPr>
      </w:pPr>
    </w:p>
    <w:p w:rsidR="00123455" w:rsidRDefault="00E9192C">
      <w:pPr>
        <w:pStyle w:val="Nadpis1"/>
        <w:rPr>
          <w:u w:val="none"/>
        </w:rPr>
      </w:pPr>
      <w:r>
        <w:rPr>
          <w:u w:val="none"/>
        </w:rPr>
        <w:t>Celkové roční pojistné</w:t>
      </w:r>
    </w:p>
    <w:p w:rsidR="00123455" w:rsidRDefault="00123455">
      <w:pPr>
        <w:pStyle w:val="Zkladntext"/>
        <w:spacing w:before="5"/>
        <w:rPr>
          <w:b/>
          <w:sz w:val="26"/>
        </w:rPr>
      </w:pPr>
    </w:p>
    <w:p w:rsidR="00123455" w:rsidRDefault="00E9192C">
      <w:pPr>
        <w:tabs>
          <w:tab w:val="left" w:pos="4288"/>
        </w:tabs>
        <w:spacing w:before="1"/>
        <w:ind w:left="112"/>
        <w:jc w:val="both"/>
      </w:pPr>
      <w:r>
        <w:rPr>
          <w:b/>
        </w:rPr>
        <w:t>Pojištění</w:t>
      </w:r>
      <w:r>
        <w:rPr>
          <w:b/>
          <w:spacing w:val="-3"/>
        </w:rPr>
        <w:t xml:space="preserve"> </w:t>
      </w:r>
      <w:r>
        <w:rPr>
          <w:b/>
        </w:rPr>
        <w:t>ALLRISK:</w:t>
      </w:r>
      <w:r>
        <w:rPr>
          <w:b/>
        </w:rPr>
        <w:tab/>
      </w:r>
      <w:r>
        <w:t>1.618.838,-</w:t>
      </w:r>
      <w:r>
        <w:rPr>
          <w:spacing w:val="-5"/>
        </w:rPr>
        <w:t xml:space="preserve"> </w:t>
      </w:r>
      <w:r>
        <w:t>Kč</w:t>
      </w:r>
    </w:p>
    <w:p w:rsidR="00123455" w:rsidRDefault="00123455">
      <w:pPr>
        <w:pStyle w:val="Zkladntext"/>
        <w:spacing w:before="9"/>
        <w:rPr>
          <w:sz w:val="30"/>
        </w:rPr>
      </w:pPr>
    </w:p>
    <w:p w:rsidR="00123455" w:rsidRDefault="00E9192C">
      <w:pPr>
        <w:tabs>
          <w:tab w:val="left" w:pos="4288"/>
        </w:tabs>
        <w:ind w:left="112"/>
        <w:jc w:val="both"/>
      </w:pPr>
      <w:r>
        <w:rPr>
          <w:b/>
        </w:rPr>
        <w:t>Pojištění skel:</w:t>
      </w:r>
      <w:r>
        <w:rPr>
          <w:b/>
        </w:rPr>
        <w:tab/>
      </w:r>
      <w:r>
        <w:t>120.000,- Kč</w:t>
      </w:r>
    </w:p>
    <w:p w:rsidR="00123455" w:rsidRDefault="00123455">
      <w:pPr>
        <w:pStyle w:val="Zkladntext"/>
        <w:spacing w:before="8"/>
        <w:rPr>
          <w:sz w:val="30"/>
        </w:rPr>
      </w:pPr>
    </w:p>
    <w:p w:rsidR="00123455" w:rsidRDefault="00E9192C">
      <w:pPr>
        <w:tabs>
          <w:tab w:val="left" w:pos="4288"/>
        </w:tabs>
        <w:spacing w:before="1"/>
        <w:ind w:left="112"/>
        <w:jc w:val="both"/>
      </w:pPr>
      <w:r>
        <w:rPr>
          <w:b/>
        </w:rPr>
        <w:t>Pojištění strojů</w:t>
      </w:r>
      <w:r>
        <w:rPr>
          <w:b/>
          <w:spacing w:val="-1"/>
        </w:rPr>
        <w:t xml:space="preserve"> </w:t>
      </w:r>
      <w:r>
        <w:rPr>
          <w:b/>
        </w:rPr>
        <w:t>a</w:t>
      </w:r>
      <w:r>
        <w:rPr>
          <w:b/>
          <w:spacing w:val="-3"/>
        </w:rPr>
        <w:t xml:space="preserve"> </w:t>
      </w:r>
      <w:r>
        <w:rPr>
          <w:b/>
        </w:rPr>
        <w:t>elektroniky:</w:t>
      </w:r>
      <w:r>
        <w:rPr>
          <w:b/>
        </w:rPr>
        <w:tab/>
      </w:r>
      <w:r>
        <w:t>225.000,- Kč</w:t>
      </w:r>
    </w:p>
    <w:p w:rsidR="00123455" w:rsidRDefault="00123455">
      <w:pPr>
        <w:pStyle w:val="Zkladntext"/>
        <w:spacing w:before="9"/>
        <w:rPr>
          <w:sz w:val="30"/>
        </w:rPr>
      </w:pPr>
    </w:p>
    <w:p w:rsidR="00123455" w:rsidRDefault="00E9192C">
      <w:pPr>
        <w:tabs>
          <w:tab w:val="left" w:pos="4288"/>
        </w:tabs>
        <w:ind w:left="112"/>
        <w:jc w:val="both"/>
      </w:pPr>
      <w:r>
        <w:rPr>
          <w:b/>
        </w:rPr>
        <w:t>Pojištění</w:t>
      </w:r>
      <w:r>
        <w:rPr>
          <w:b/>
          <w:spacing w:val="-1"/>
        </w:rPr>
        <w:t xml:space="preserve"> </w:t>
      </w:r>
      <w:r>
        <w:rPr>
          <w:b/>
        </w:rPr>
        <w:t>odpovědnosti:</w:t>
      </w:r>
      <w:r>
        <w:rPr>
          <w:b/>
        </w:rPr>
        <w:tab/>
      </w:r>
      <w:r>
        <w:t>120.100,- Kč</w:t>
      </w:r>
    </w:p>
    <w:p w:rsidR="00123455" w:rsidRDefault="00E9192C">
      <w:pPr>
        <w:pStyle w:val="Zkladntext"/>
        <w:spacing w:before="49"/>
        <w:ind w:left="112"/>
        <w:jc w:val="both"/>
      </w:pPr>
      <w:r>
        <w:t>-------------------------------------------------------------------------------------------------------------------------------------------</w:t>
      </w:r>
    </w:p>
    <w:p w:rsidR="00123455" w:rsidRDefault="00123455">
      <w:pPr>
        <w:pStyle w:val="Zkladntext"/>
        <w:spacing w:before="5"/>
        <w:rPr>
          <w:sz w:val="30"/>
        </w:rPr>
      </w:pPr>
    </w:p>
    <w:p w:rsidR="00123455" w:rsidRDefault="00E9192C">
      <w:pPr>
        <w:pStyle w:val="Nadpis1"/>
        <w:ind w:right="3126"/>
        <w:rPr>
          <w:u w:val="none"/>
        </w:rPr>
      </w:pPr>
      <w:r>
        <w:rPr>
          <w:u w:val="thick"/>
        </w:rPr>
        <w:t>Společná a závěrečná ustanovení</w:t>
      </w:r>
    </w:p>
    <w:p w:rsidR="00123455" w:rsidRDefault="00123455">
      <w:pPr>
        <w:pStyle w:val="Zkladntext"/>
        <w:rPr>
          <w:b/>
          <w:sz w:val="20"/>
        </w:rPr>
      </w:pPr>
    </w:p>
    <w:p w:rsidR="00123455" w:rsidRDefault="00123455">
      <w:pPr>
        <w:pStyle w:val="Zkladntext"/>
        <w:spacing w:before="9"/>
        <w:rPr>
          <w:b/>
          <w:sz w:val="15"/>
        </w:rPr>
      </w:pPr>
    </w:p>
    <w:p w:rsidR="00123455" w:rsidRDefault="00E9192C">
      <w:pPr>
        <w:pStyle w:val="Zkladntext"/>
        <w:tabs>
          <w:tab w:val="left" w:pos="4648"/>
        </w:tabs>
        <w:spacing w:before="94" w:line="252" w:lineRule="exact"/>
        <w:ind w:left="112"/>
      </w:pPr>
      <w:r>
        <w:t>Roční</w:t>
      </w:r>
      <w:r>
        <w:rPr>
          <w:spacing w:val="-1"/>
        </w:rPr>
        <w:t xml:space="preserve"> </w:t>
      </w:r>
      <w:r>
        <w:t>pojistné:</w:t>
      </w:r>
      <w:r>
        <w:tab/>
        <w:t>2.083.938,-</w:t>
      </w:r>
      <w:r>
        <w:rPr>
          <w:spacing w:val="-5"/>
        </w:rPr>
        <w:t xml:space="preserve"> </w:t>
      </w:r>
      <w:r>
        <w:t>Kč</w:t>
      </w:r>
    </w:p>
    <w:p w:rsidR="00123455" w:rsidRDefault="00E9192C">
      <w:pPr>
        <w:pStyle w:val="Zkladntext"/>
        <w:tabs>
          <w:tab w:val="left" w:pos="4648"/>
        </w:tabs>
        <w:spacing w:line="252" w:lineRule="exact"/>
        <w:ind w:left="112"/>
      </w:pPr>
      <w:r>
        <w:t>Způsob</w:t>
      </w:r>
      <w:r>
        <w:rPr>
          <w:spacing w:val="-1"/>
        </w:rPr>
        <w:t xml:space="preserve"> </w:t>
      </w:r>
      <w:r>
        <w:t>placení:</w:t>
      </w:r>
      <w:r>
        <w:tab/>
        <w:t>dle níže</w:t>
      </w:r>
      <w:r>
        <w:rPr>
          <w:spacing w:val="-5"/>
        </w:rPr>
        <w:t xml:space="preserve"> </w:t>
      </w:r>
      <w:r>
        <w:t>uvedeného</w:t>
      </w:r>
    </w:p>
    <w:p w:rsidR="00123455" w:rsidRDefault="00E9192C">
      <w:pPr>
        <w:pStyle w:val="Zkladntext"/>
        <w:tabs>
          <w:tab w:val="left" w:pos="4648"/>
        </w:tabs>
        <w:spacing w:before="2"/>
        <w:ind w:left="112"/>
      </w:pPr>
      <w:r>
        <w:t>Splátka</w:t>
      </w:r>
      <w:r>
        <w:rPr>
          <w:spacing w:val="-1"/>
        </w:rPr>
        <w:t xml:space="preserve"> </w:t>
      </w:r>
      <w:r>
        <w:t>pojistného:</w:t>
      </w:r>
      <w:r>
        <w:tab/>
        <w:t>2.083.938,-</w:t>
      </w:r>
      <w:r>
        <w:rPr>
          <w:spacing w:val="-4"/>
        </w:rPr>
        <w:t xml:space="preserve"> </w:t>
      </w:r>
      <w:r>
        <w:t>Kč</w:t>
      </w:r>
    </w:p>
    <w:p w:rsidR="00123455" w:rsidRDefault="00123455">
      <w:pPr>
        <w:pStyle w:val="Zkladntext"/>
        <w:spacing w:before="9"/>
        <w:rPr>
          <w:sz w:val="21"/>
        </w:rPr>
      </w:pPr>
    </w:p>
    <w:p w:rsidR="00123455" w:rsidRDefault="00E9192C">
      <w:pPr>
        <w:pStyle w:val="Nadpis2"/>
        <w:spacing w:line="240" w:lineRule="auto"/>
      </w:pPr>
      <w:r>
        <w:t>Fyzikální ústav AV ČR, v.v.i.</w:t>
      </w:r>
    </w:p>
    <w:p w:rsidR="00123455" w:rsidRDefault="00E9192C">
      <w:pPr>
        <w:pStyle w:val="Zkladntext"/>
        <w:tabs>
          <w:tab w:val="left" w:pos="4648"/>
        </w:tabs>
        <w:ind w:left="112" w:right="4052"/>
      </w:pPr>
      <w:r>
        <w:t>pojistná</w:t>
      </w:r>
      <w:r>
        <w:rPr>
          <w:spacing w:val="-3"/>
        </w:rPr>
        <w:t xml:space="preserve"> </w:t>
      </w:r>
      <w:r>
        <w:t>částka</w:t>
      </w:r>
      <w:r>
        <w:rPr>
          <w:spacing w:val="-2"/>
        </w:rPr>
        <w:t xml:space="preserve"> </w:t>
      </w:r>
      <w:r>
        <w:t>nemovitosti</w:t>
      </w:r>
      <w:r>
        <w:tab/>
        <w:t>240.301.210</w:t>
      </w:r>
      <w:r>
        <w:rPr>
          <w:spacing w:val="-4"/>
        </w:rPr>
        <w:t xml:space="preserve"> </w:t>
      </w:r>
      <w:r>
        <w:t>Kč</w:t>
      </w:r>
      <w:r>
        <w:rPr>
          <w:spacing w:val="-1"/>
        </w:rPr>
        <w:t xml:space="preserve"> </w:t>
      </w:r>
      <w:r>
        <w:t>pojistná částka movité věci</w:t>
      </w:r>
      <w:r>
        <w:rPr>
          <w:spacing w:val="-6"/>
        </w:rPr>
        <w:t xml:space="preserve"> </w:t>
      </w:r>
      <w:r>
        <w:t>vč.</w:t>
      </w:r>
      <w:r>
        <w:rPr>
          <w:spacing w:val="-1"/>
        </w:rPr>
        <w:t xml:space="preserve"> </w:t>
      </w:r>
      <w:r>
        <w:t>zásob</w:t>
      </w:r>
      <w:r>
        <w:tab/>
        <w:t>868.631.426</w:t>
      </w:r>
      <w:r>
        <w:rPr>
          <w:spacing w:val="-4"/>
        </w:rPr>
        <w:t xml:space="preserve"> </w:t>
      </w:r>
      <w:r>
        <w:t>Kč</w:t>
      </w:r>
      <w:r>
        <w:rPr>
          <w:spacing w:val="-1"/>
        </w:rPr>
        <w:t xml:space="preserve"> </w:t>
      </w:r>
      <w:r>
        <w:t>celkem</w:t>
      </w:r>
      <w:r>
        <w:tab/>
        <w:t>1.108.932.636</w:t>
      </w:r>
      <w:r>
        <w:rPr>
          <w:spacing w:val="-5"/>
        </w:rPr>
        <w:t xml:space="preserve"> </w:t>
      </w:r>
      <w:r>
        <w:t>Kč</w:t>
      </w:r>
    </w:p>
    <w:p w:rsidR="00123455" w:rsidRDefault="00123455">
      <w:pPr>
        <w:pStyle w:val="Zkladntext"/>
      </w:pPr>
    </w:p>
    <w:p w:rsidR="00123455" w:rsidRDefault="00E9192C">
      <w:pPr>
        <w:pStyle w:val="Nadpis2"/>
      </w:pPr>
      <w:r>
        <w:t>The Extreme Light Infrastructure ERIC</w:t>
      </w:r>
    </w:p>
    <w:p w:rsidR="00123455" w:rsidRDefault="00E9192C">
      <w:pPr>
        <w:pStyle w:val="Zkladntext"/>
        <w:tabs>
          <w:tab w:val="left" w:pos="4648"/>
        </w:tabs>
        <w:ind w:left="112" w:right="4052"/>
        <w:jc w:val="both"/>
      </w:pPr>
      <w:r>
        <w:t>pojistná</w:t>
      </w:r>
      <w:r>
        <w:rPr>
          <w:spacing w:val="-3"/>
        </w:rPr>
        <w:t xml:space="preserve"> </w:t>
      </w:r>
      <w:r>
        <w:t>částka</w:t>
      </w:r>
      <w:r>
        <w:rPr>
          <w:spacing w:val="-2"/>
        </w:rPr>
        <w:t xml:space="preserve"> </w:t>
      </w:r>
      <w:r>
        <w:t>nemovitosti</w:t>
      </w:r>
      <w:r>
        <w:tab/>
        <w:t>2.620.996.394</w:t>
      </w:r>
      <w:r>
        <w:rPr>
          <w:spacing w:val="-5"/>
        </w:rPr>
        <w:t xml:space="preserve"> </w:t>
      </w:r>
      <w:r>
        <w:t>Kč</w:t>
      </w:r>
      <w:r>
        <w:rPr>
          <w:spacing w:val="-1"/>
        </w:rPr>
        <w:t xml:space="preserve"> </w:t>
      </w:r>
      <w:r>
        <w:t>pojistná částka movité věci</w:t>
      </w:r>
      <w:r>
        <w:rPr>
          <w:spacing w:val="-7"/>
        </w:rPr>
        <w:t xml:space="preserve"> </w:t>
      </w:r>
      <w:r>
        <w:t>vč.</w:t>
      </w:r>
      <w:r>
        <w:rPr>
          <w:spacing w:val="-1"/>
        </w:rPr>
        <w:t xml:space="preserve"> </w:t>
      </w:r>
      <w:r>
        <w:t>zásob</w:t>
      </w:r>
      <w:r>
        <w:tab/>
        <w:t>6.661.081.462</w:t>
      </w:r>
      <w:r>
        <w:rPr>
          <w:spacing w:val="-5"/>
        </w:rPr>
        <w:t xml:space="preserve"> </w:t>
      </w:r>
      <w:r>
        <w:t>Kč</w:t>
      </w:r>
      <w:r>
        <w:rPr>
          <w:spacing w:val="-1"/>
        </w:rPr>
        <w:t xml:space="preserve"> </w:t>
      </w:r>
      <w:r>
        <w:t>celkem</w:t>
      </w:r>
      <w:r>
        <w:tab/>
        <w:t>9.282.077.856</w:t>
      </w:r>
      <w:r>
        <w:rPr>
          <w:spacing w:val="-5"/>
        </w:rPr>
        <w:t xml:space="preserve"> </w:t>
      </w:r>
      <w:r>
        <w:t>Kč</w:t>
      </w:r>
    </w:p>
    <w:p w:rsidR="00123455" w:rsidRDefault="00123455">
      <w:pPr>
        <w:jc w:val="both"/>
        <w:sectPr w:rsidR="00123455">
          <w:pgSz w:w="11920" w:h="16840"/>
          <w:pgMar w:top="3120" w:right="740" w:bottom="1980" w:left="740" w:header="1798" w:footer="1785" w:gutter="0"/>
          <w:cols w:space="720"/>
        </w:sectPr>
      </w:pPr>
    </w:p>
    <w:p w:rsidR="00123455" w:rsidRDefault="00123455">
      <w:pPr>
        <w:pStyle w:val="Zkladntext"/>
        <w:spacing w:before="5"/>
        <w:rPr>
          <w:sz w:val="15"/>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1539"/>
        <w:gridCol w:w="1274"/>
        <w:gridCol w:w="1419"/>
        <w:gridCol w:w="1431"/>
        <w:gridCol w:w="1711"/>
      </w:tblGrid>
      <w:tr w:rsidR="00123455">
        <w:trPr>
          <w:trHeight w:hRule="exact" w:val="701"/>
        </w:trPr>
        <w:tc>
          <w:tcPr>
            <w:tcW w:w="2285" w:type="dxa"/>
          </w:tcPr>
          <w:p w:rsidR="00123455" w:rsidRDefault="00123455">
            <w:pPr>
              <w:pStyle w:val="TableParagraph"/>
            </w:pPr>
          </w:p>
          <w:p w:rsidR="00123455" w:rsidRDefault="00123455">
            <w:pPr>
              <w:pStyle w:val="TableParagraph"/>
              <w:rPr>
                <w:sz w:val="18"/>
              </w:rPr>
            </w:pPr>
          </w:p>
          <w:p w:rsidR="00123455" w:rsidRDefault="00E9192C">
            <w:pPr>
              <w:pStyle w:val="TableParagraph"/>
              <w:ind w:left="64"/>
              <w:rPr>
                <w:b/>
                <w:sz w:val="20"/>
              </w:rPr>
            </w:pPr>
            <w:r>
              <w:rPr>
                <w:b/>
                <w:sz w:val="20"/>
              </w:rPr>
              <w:t>roční pojistné</w:t>
            </w:r>
          </w:p>
        </w:tc>
        <w:tc>
          <w:tcPr>
            <w:tcW w:w="1539" w:type="dxa"/>
          </w:tcPr>
          <w:p w:rsidR="00123455" w:rsidRDefault="00E9192C">
            <w:pPr>
              <w:pStyle w:val="TableParagraph"/>
              <w:spacing w:line="230" w:lineRule="exact"/>
              <w:ind w:left="119"/>
              <w:rPr>
                <w:b/>
                <w:sz w:val="20"/>
              </w:rPr>
            </w:pPr>
            <w:r>
              <w:rPr>
                <w:b/>
                <w:sz w:val="20"/>
              </w:rPr>
              <w:t>ALLRISK</w:t>
            </w:r>
          </w:p>
          <w:p w:rsidR="00123455" w:rsidRDefault="00E9192C">
            <w:pPr>
              <w:pStyle w:val="TableParagraph"/>
              <w:ind w:left="64" w:right="122"/>
              <w:rPr>
                <w:b/>
                <w:sz w:val="20"/>
              </w:rPr>
            </w:pPr>
            <w:r>
              <w:rPr>
                <w:b/>
                <w:sz w:val="20"/>
              </w:rPr>
              <w:t>(sazba 0,15579218‰)</w:t>
            </w:r>
          </w:p>
        </w:tc>
        <w:tc>
          <w:tcPr>
            <w:tcW w:w="1274" w:type="dxa"/>
          </w:tcPr>
          <w:p w:rsidR="00123455" w:rsidRDefault="00123455">
            <w:pPr>
              <w:pStyle w:val="TableParagraph"/>
              <w:rPr>
                <w:sz w:val="20"/>
              </w:rPr>
            </w:pPr>
          </w:p>
          <w:p w:rsidR="00123455" w:rsidRDefault="00E9192C">
            <w:pPr>
              <w:pStyle w:val="TableParagraph"/>
              <w:ind w:left="64" w:right="39"/>
              <w:rPr>
                <w:b/>
                <w:sz w:val="20"/>
              </w:rPr>
            </w:pPr>
            <w:r>
              <w:rPr>
                <w:b/>
                <w:w w:val="95"/>
                <w:sz w:val="20"/>
              </w:rPr>
              <w:t xml:space="preserve">Pojištění </w:t>
            </w:r>
            <w:r>
              <w:rPr>
                <w:b/>
                <w:sz w:val="20"/>
              </w:rPr>
              <w:t>skla</w:t>
            </w:r>
          </w:p>
        </w:tc>
        <w:tc>
          <w:tcPr>
            <w:tcW w:w="1419" w:type="dxa"/>
          </w:tcPr>
          <w:p w:rsidR="00123455" w:rsidRDefault="00E9192C">
            <w:pPr>
              <w:pStyle w:val="TableParagraph"/>
              <w:ind w:left="65"/>
              <w:rPr>
                <w:b/>
                <w:sz w:val="20"/>
              </w:rPr>
            </w:pPr>
            <w:r>
              <w:rPr>
                <w:b/>
                <w:sz w:val="20"/>
              </w:rPr>
              <w:t xml:space="preserve">Pojištění strojní a </w:t>
            </w:r>
            <w:r>
              <w:rPr>
                <w:b/>
                <w:w w:val="95"/>
                <w:sz w:val="20"/>
              </w:rPr>
              <w:t>elekroniky</w:t>
            </w:r>
          </w:p>
        </w:tc>
        <w:tc>
          <w:tcPr>
            <w:tcW w:w="1431" w:type="dxa"/>
          </w:tcPr>
          <w:p w:rsidR="00123455" w:rsidRDefault="00123455">
            <w:pPr>
              <w:pStyle w:val="TableParagraph"/>
            </w:pPr>
          </w:p>
          <w:p w:rsidR="00123455" w:rsidRDefault="00123455">
            <w:pPr>
              <w:pStyle w:val="TableParagraph"/>
              <w:rPr>
                <w:sz w:val="18"/>
              </w:rPr>
            </w:pPr>
          </w:p>
          <w:p w:rsidR="00123455" w:rsidRDefault="00E9192C">
            <w:pPr>
              <w:pStyle w:val="TableParagraph"/>
              <w:ind w:left="64"/>
              <w:rPr>
                <w:b/>
                <w:sz w:val="20"/>
              </w:rPr>
            </w:pPr>
            <w:r>
              <w:rPr>
                <w:b/>
                <w:sz w:val="20"/>
              </w:rPr>
              <w:t>Odpovědnost</w:t>
            </w:r>
          </w:p>
        </w:tc>
        <w:tc>
          <w:tcPr>
            <w:tcW w:w="1711" w:type="dxa"/>
          </w:tcPr>
          <w:p w:rsidR="00123455" w:rsidRDefault="00123455">
            <w:pPr>
              <w:pStyle w:val="TableParagraph"/>
            </w:pPr>
          </w:p>
          <w:p w:rsidR="00123455" w:rsidRDefault="00123455">
            <w:pPr>
              <w:pStyle w:val="TableParagraph"/>
              <w:rPr>
                <w:sz w:val="18"/>
              </w:rPr>
            </w:pPr>
          </w:p>
          <w:p w:rsidR="00123455" w:rsidRDefault="00E9192C">
            <w:pPr>
              <w:pStyle w:val="TableParagraph"/>
              <w:ind w:left="62"/>
              <w:rPr>
                <w:b/>
                <w:sz w:val="20"/>
              </w:rPr>
            </w:pPr>
            <w:r>
              <w:rPr>
                <w:b/>
                <w:sz w:val="20"/>
              </w:rPr>
              <w:t>celkem</w:t>
            </w:r>
          </w:p>
        </w:tc>
      </w:tr>
      <w:tr w:rsidR="00123455">
        <w:trPr>
          <w:trHeight w:hRule="exact" w:val="298"/>
        </w:trPr>
        <w:tc>
          <w:tcPr>
            <w:tcW w:w="2285" w:type="dxa"/>
          </w:tcPr>
          <w:p w:rsidR="00123455" w:rsidRDefault="00123455"/>
        </w:tc>
        <w:tc>
          <w:tcPr>
            <w:tcW w:w="1539" w:type="dxa"/>
          </w:tcPr>
          <w:p w:rsidR="00123455" w:rsidRDefault="00123455"/>
        </w:tc>
        <w:tc>
          <w:tcPr>
            <w:tcW w:w="1274" w:type="dxa"/>
          </w:tcPr>
          <w:p w:rsidR="00123455" w:rsidRDefault="00123455"/>
        </w:tc>
        <w:tc>
          <w:tcPr>
            <w:tcW w:w="1419" w:type="dxa"/>
          </w:tcPr>
          <w:p w:rsidR="00123455" w:rsidRDefault="00123455"/>
        </w:tc>
        <w:tc>
          <w:tcPr>
            <w:tcW w:w="1431" w:type="dxa"/>
          </w:tcPr>
          <w:p w:rsidR="00123455" w:rsidRDefault="00123455"/>
        </w:tc>
        <w:tc>
          <w:tcPr>
            <w:tcW w:w="1711" w:type="dxa"/>
          </w:tcPr>
          <w:p w:rsidR="00123455" w:rsidRDefault="00123455"/>
        </w:tc>
      </w:tr>
      <w:tr w:rsidR="00123455">
        <w:trPr>
          <w:trHeight w:hRule="exact" w:val="470"/>
        </w:trPr>
        <w:tc>
          <w:tcPr>
            <w:tcW w:w="2285" w:type="dxa"/>
          </w:tcPr>
          <w:p w:rsidR="00123455" w:rsidRDefault="00E9192C">
            <w:pPr>
              <w:pStyle w:val="TableParagraph"/>
              <w:ind w:left="64" w:right="435"/>
              <w:rPr>
                <w:b/>
                <w:sz w:val="20"/>
              </w:rPr>
            </w:pPr>
            <w:r>
              <w:rPr>
                <w:b/>
                <w:sz w:val="20"/>
              </w:rPr>
              <w:t>Fyzikální ústav AV ČR, v.v.i.</w:t>
            </w:r>
          </w:p>
        </w:tc>
        <w:tc>
          <w:tcPr>
            <w:tcW w:w="1539" w:type="dxa"/>
          </w:tcPr>
          <w:p w:rsidR="00123455" w:rsidRDefault="00E9192C">
            <w:pPr>
              <w:pStyle w:val="TableParagraph"/>
              <w:spacing w:before="206"/>
              <w:ind w:left="64"/>
            </w:pPr>
            <w:r>
              <w:t>172 763 Kč</w:t>
            </w:r>
          </w:p>
        </w:tc>
        <w:tc>
          <w:tcPr>
            <w:tcW w:w="1274" w:type="dxa"/>
          </w:tcPr>
          <w:p w:rsidR="00123455" w:rsidRDefault="00E9192C">
            <w:pPr>
              <w:pStyle w:val="TableParagraph"/>
              <w:spacing w:before="206"/>
              <w:ind w:left="64"/>
            </w:pPr>
            <w:r>
              <w:t>14 400 Kč</w:t>
            </w:r>
          </w:p>
        </w:tc>
        <w:tc>
          <w:tcPr>
            <w:tcW w:w="1419" w:type="dxa"/>
          </w:tcPr>
          <w:p w:rsidR="00123455" w:rsidRDefault="00123455"/>
        </w:tc>
        <w:tc>
          <w:tcPr>
            <w:tcW w:w="1431" w:type="dxa"/>
          </w:tcPr>
          <w:p w:rsidR="00123455" w:rsidRDefault="00E9192C">
            <w:pPr>
              <w:pStyle w:val="TableParagraph"/>
              <w:spacing w:before="206"/>
              <w:ind w:left="64"/>
            </w:pPr>
            <w:r>
              <w:t>42 035 Kč</w:t>
            </w:r>
          </w:p>
        </w:tc>
        <w:tc>
          <w:tcPr>
            <w:tcW w:w="1711" w:type="dxa"/>
          </w:tcPr>
          <w:p w:rsidR="00123455" w:rsidRDefault="00E9192C">
            <w:pPr>
              <w:pStyle w:val="TableParagraph"/>
              <w:spacing w:before="206"/>
              <w:ind w:left="124"/>
            </w:pPr>
            <w:r>
              <w:t>229 198 Kč</w:t>
            </w:r>
          </w:p>
        </w:tc>
      </w:tr>
      <w:tr w:rsidR="00123455">
        <w:trPr>
          <w:trHeight w:hRule="exact" w:val="471"/>
        </w:trPr>
        <w:tc>
          <w:tcPr>
            <w:tcW w:w="2285" w:type="dxa"/>
          </w:tcPr>
          <w:p w:rsidR="00123455" w:rsidRDefault="00E9192C">
            <w:pPr>
              <w:pStyle w:val="TableParagraph"/>
              <w:ind w:left="64" w:right="357"/>
              <w:rPr>
                <w:b/>
                <w:sz w:val="20"/>
              </w:rPr>
            </w:pPr>
            <w:r>
              <w:rPr>
                <w:b/>
                <w:sz w:val="20"/>
              </w:rPr>
              <w:t>The Extreme Light Infrastructure ERIC</w:t>
            </w:r>
          </w:p>
        </w:tc>
        <w:tc>
          <w:tcPr>
            <w:tcW w:w="1539" w:type="dxa"/>
          </w:tcPr>
          <w:p w:rsidR="00123455" w:rsidRDefault="00E9192C">
            <w:pPr>
              <w:pStyle w:val="TableParagraph"/>
              <w:spacing w:before="206"/>
              <w:ind w:left="64"/>
            </w:pPr>
            <w:r>
              <w:t>1 446 075 Kč</w:t>
            </w:r>
          </w:p>
        </w:tc>
        <w:tc>
          <w:tcPr>
            <w:tcW w:w="1274" w:type="dxa"/>
          </w:tcPr>
          <w:p w:rsidR="00123455" w:rsidRDefault="00E9192C">
            <w:pPr>
              <w:pStyle w:val="TableParagraph"/>
              <w:spacing w:before="206"/>
              <w:ind w:left="64"/>
            </w:pPr>
            <w:r>
              <w:t>105 600 Kč</w:t>
            </w:r>
          </w:p>
        </w:tc>
        <w:tc>
          <w:tcPr>
            <w:tcW w:w="1419" w:type="dxa"/>
          </w:tcPr>
          <w:p w:rsidR="00123455" w:rsidRDefault="00E9192C">
            <w:pPr>
              <w:pStyle w:val="TableParagraph"/>
              <w:spacing w:before="206"/>
              <w:ind w:left="65"/>
            </w:pPr>
            <w:r>
              <w:t>225.000 Kč</w:t>
            </w:r>
          </w:p>
        </w:tc>
        <w:tc>
          <w:tcPr>
            <w:tcW w:w="1431" w:type="dxa"/>
          </w:tcPr>
          <w:p w:rsidR="00123455" w:rsidRDefault="00E9192C">
            <w:pPr>
              <w:pStyle w:val="TableParagraph"/>
              <w:spacing w:before="206"/>
              <w:ind w:left="64"/>
            </w:pPr>
            <w:r>
              <w:t>78 065 Kč</w:t>
            </w:r>
          </w:p>
        </w:tc>
        <w:tc>
          <w:tcPr>
            <w:tcW w:w="1711" w:type="dxa"/>
          </w:tcPr>
          <w:p w:rsidR="00123455" w:rsidRDefault="00E9192C">
            <w:pPr>
              <w:pStyle w:val="TableParagraph"/>
              <w:spacing w:before="206"/>
              <w:ind w:left="124"/>
            </w:pPr>
            <w:r>
              <w:t>1 854 740 Kč</w:t>
            </w:r>
          </w:p>
        </w:tc>
      </w:tr>
    </w:tbl>
    <w:p w:rsidR="00123455" w:rsidRDefault="00123455">
      <w:pPr>
        <w:pStyle w:val="Zkladntext"/>
        <w:rPr>
          <w:sz w:val="20"/>
        </w:rPr>
      </w:pPr>
    </w:p>
    <w:p w:rsidR="00123455" w:rsidRDefault="00123455">
      <w:pPr>
        <w:pStyle w:val="Zkladntext"/>
        <w:spacing w:before="10"/>
        <w:rPr>
          <w:sz w:val="15"/>
        </w:rPr>
      </w:pPr>
    </w:p>
    <w:p w:rsidR="00123455" w:rsidRDefault="00E9192C">
      <w:pPr>
        <w:pStyle w:val="Zkladntext"/>
        <w:spacing w:before="94"/>
        <w:ind w:left="112"/>
      </w:pPr>
      <w:r>
        <w:t>Pojištění se vztahuje pouze na majetek spadající pod výzkumná centra ELI a HiLASE a na případnou odpovědnost pojistníka vzniklou z provozu těchto center.</w:t>
      </w:r>
    </w:p>
    <w:p w:rsidR="00123455" w:rsidRDefault="00123455">
      <w:pPr>
        <w:pStyle w:val="Zkladntext"/>
        <w:spacing w:before="9"/>
        <w:rPr>
          <w:sz w:val="20"/>
        </w:rPr>
      </w:pPr>
    </w:p>
    <w:p w:rsidR="00123455" w:rsidRDefault="00E9192C">
      <w:pPr>
        <w:pStyle w:val="Zkladntext"/>
        <w:ind w:left="820" w:right="734" w:hanging="709"/>
      </w:pPr>
      <w:r>
        <w:t>Pojistitel akceptuje, že pojistník během trvání pojistné smlouvy bude využívat ve vztahu k pojistiteli služeb třetí osoby, pověřené k:</w:t>
      </w:r>
    </w:p>
    <w:p w:rsidR="00123455" w:rsidRDefault="00E9192C">
      <w:pPr>
        <w:pStyle w:val="Odstavecseseznamem"/>
        <w:numPr>
          <w:ilvl w:val="0"/>
          <w:numId w:val="1"/>
        </w:numPr>
        <w:tabs>
          <w:tab w:val="left" w:pos="1540"/>
          <w:tab w:val="left" w:pos="1541"/>
        </w:tabs>
        <w:spacing w:before="119"/>
        <w:jc w:val="left"/>
      </w:pPr>
      <w:r>
        <w:t>Provádění kontrol, zda sjednané pojistné smlouvy jsou v souladu s pojistným</w:t>
      </w:r>
      <w:r>
        <w:rPr>
          <w:spacing w:val="-22"/>
        </w:rPr>
        <w:t xml:space="preserve"> </w:t>
      </w:r>
      <w:r>
        <w:t>programem</w:t>
      </w:r>
    </w:p>
    <w:p w:rsidR="00123455" w:rsidRDefault="00123455">
      <w:pPr>
        <w:pStyle w:val="Zkladntext"/>
        <w:spacing w:before="1"/>
        <w:rPr>
          <w:sz w:val="24"/>
        </w:rPr>
      </w:pPr>
    </w:p>
    <w:p w:rsidR="00123455" w:rsidRDefault="00E9192C">
      <w:pPr>
        <w:pStyle w:val="Odstavecseseznamem"/>
        <w:numPr>
          <w:ilvl w:val="0"/>
          <w:numId w:val="1"/>
        </w:numPr>
        <w:tabs>
          <w:tab w:val="left" w:pos="1540"/>
          <w:tab w:val="left" w:pos="1541"/>
        </w:tabs>
        <w:jc w:val="left"/>
      </w:pPr>
      <w:r>
        <w:t>Provádění koordinace sjednaného pojištění ve prospěch</w:t>
      </w:r>
      <w:r>
        <w:rPr>
          <w:spacing w:val="-12"/>
        </w:rPr>
        <w:t xml:space="preserve"> </w:t>
      </w:r>
      <w:r>
        <w:t>klienta;</w:t>
      </w:r>
    </w:p>
    <w:p w:rsidR="00123455" w:rsidRDefault="00123455">
      <w:pPr>
        <w:pStyle w:val="Zkladntext"/>
        <w:spacing w:before="3"/>
        <w:rPr>
          <w:sz w:val="24"/>
        </w:rPr>
      </w:pPr>
    </w:p>
    <w:p w:rsidR="00123455" w:rsidRDefault="00E9192C">
      <w:pPr>
        <w:pStyle w:val="Odstavecseseznamem"/>
        <w:numPr>
          <w:ilvl w:val="0"/>
          <w:numId w:val="1"/>
        </w:numPr>
        <w:tabs>
          <w:tab w:val="left" w:pos="1541"/>
        </w:tabs>
        <w:spacing w:line="276" w:lineRule="auto"/>
        <w:ind w:right="102"/>
      </w:pPr>
      <w:r>
        <w:t>Provádění dohledu nad účastníky pojistných vztahů (pojistitel, správci pojištění, likvidátoři pojistných událostí apod.) a nad jejich činností v rámci uzavřených pojistných smluv – Poskytování pomoci klientovi při řešení problémů, vzniklých ze sjednaného pojištění, včetně asistence při řešení pojistných</w:t>
      </w:r>
      <w:r>
        <w:rPr>
          <w:spacing w:val="-11"/>
        </w:rPr>
        <w:t xml:space="preserve"> </w:t>
      </w:r>
      <w:r>
        <w:t>událostí;</w:t>
      </w:r>
    </w:p>
    <w:p w:rsidR="00123455" w:rsidRDefault="00123455">
      <w:pPr>
        <w:pStyle w:val="Zkladntext"/>
        <w:spacing w:before="10"/>
        <w:rPr>
          <w:sz w:val="20"/>
        </w:rPr>
      </w:pPr>
    </w:p>
    <w:p w:rsidR="00123455" w:rsidRDefault="00E9192C">
      <w:pPr>
        <w:pStyle w:val="Zkladntext"/>
        <w:spacing w:line="278" w:lineRule="auto"/>
        <w:ind w:left="112"/>
      </w:pPr>
      <w:r>
        <w:t>Pojistník si vyhrazuje právo tuto osobu jako pojišťovacího zprostředkovatele určit a pojistitel tuto skutečnost akceptuje. Jméno zprostředkovatele bude pojistníkem sděleno po uzavření pojistné smlouvy;</w:t>
      </w:r>
    </w:p>
    <w:p w:rsidR="00123455" w:rsidRDefault="00123455">
      <w:pPr>
        <w:pStyle w:val="Zkladntext"/>
        <w:spacing w:before="7"/>
        <w:rPr>
          <w:sz w:val="20"/>
        </w:rPr>
      </w:pPr>
    </w:p>
    <w:p w:rsidR="00123455" w:rsidRDefault="00E9192C">
      <w:pPr>
        <w:pStyle w:val="Zkladntext"/>
        <w:spacing w:before="1" w:line="504" w:lineRule="auto"/>
        <w:ind w:left="112" w:right="3484"/>
      </w:pPr>
      <w:r>
        <w:t>Za svou činnost bude zprostředkovatel odměňován přímo pojistitelem; Nabídková cena obsahuje provizi zprostředkovatele.</w:t>
      </w:r>
    </w:p>
    <w:p w:rsidR="00123455" w:rsidRDefault="00E9192C">
      <w:pPr>
        <w:pStyle w:val="Nadpis2"/>
        <w:spacing w:before="141"/>
        <w:ind w:left="3126" w:right="3119"/>
        <w:jc w:val="center"/>
      </w:pPr>
      <w:r>
        <w:t>A.</w:t>
      </w:r>
    </w:p>
    <w:p w:rsidR="00123455" w:rsidRDefault="00E9192C">
      <w:pPr>
        <w:spacing w:line="252" w:lineRule="exact"/>
        <w:ind w:left="3126" w:right="3123"/>
        <w:jc w:val="center"/>
        <w:rPr>
          <w:b/>
        </w:rPr>
      </w:pPr>
      <w:r>
        <w:rPr>
          <w:b/>
        </w:rPr>
        <w:t>Základní ustanovení</w:t>
      </w:r>
    </w:p>
    <w:p w:rsidR="00123455" w:rsidRDefault="00E9192C">
      <w:pPr>
        <w:pStyle w:val="Odstavecseseznamem"/>
        <w:numPr>
          <w:ilvl w:val="0"/>
          <w:numId w:val="5"/>
        </w:numPr>
        <w:tabs>
          <w:tab w:val="left" w:pos="473"/>
        </w:tabs>
        <w:spacing w:before="122"/>
        <w:ind w:right="101" w:hanging="340"/>
        <w:jc w:val="both"/>
      </w:pPr>
      <w:r>
        <w:t>Tato smlouva je uzavírána na základě výsledků zadávacího řízení s názvem „Majetkové pojištění a pojištění odpovědnosti od roku 2021 (vědecko-výzkumná centra ELI a HiLASE)“ (dále jen „</w:t>
      </w:r>
      <w:r>
        <w:rPr>
          <w:b/>
        </w:rPr>
        <w:t>Zadávací řízení</w:t>
      </w:r>
      <w:r>
        <w:t>“), v němž byla nabídka pojistitele vybrána jako</w:t>
      </w:r>
      <w:r>
        <w:rPr>
          <w:spacing w:val="-20"/>
        </w:rPr>
        <w:t xml:space="preserve"> </w:t>
      </w:r>
      <w:r>
        <w:t>nejvhodnější.</w:t>
      </w:r>
    </w:p>
    <w:p w:rsidR="00123455" w:rsidRDefault="00123455">
      <w:pPr>
        <w:pStyle w:val="Zkladntext"/>
        <w:spacing w:before="10"/>
        <w:rPr>
          <w:sz w:val="20"/>
        </w:rPr>
      </w:pPr>
    </w:p>
    <w:p w:rsidR="00123455" w:rsidRDefault="00E9192C">
      <w:pPr>
        <w:pStyle w:val="Odstavecseseznamem"/>
        <w:numPr>
          <w:ilvl w:val="0"/>
          <w:numId w:val="5"/>
        </w:numPr>
        <w:tabs>
          <w:tab w:val="left" w:pos="473"/>
        </w:tabs>
        <w:spacing w:before="1"/>
        <w:ind w:left="472" w:hanging="360"/>
      </w:pPr>
      <w:r>
        <w:t>Tato smlouva bude vykládána v souladu se zadávacími podmínkami Zadávacího</w:t>
      </w:r>
      <w:r>
        <w:rPr>
          <w:spacing w:val="-17"/>
        </w:rPr>
        <w:t xml:space="preserve"> </w:t>
      </w:r>
      <w:r>
        <w:t>řízení.</w:t>
      </w:r>
    </w:p>
    <w:p w:rsidR="00123455" w:rsidRDefault="00123455">
      <w:pPr>
        <w:pStyle w:val="Zkladntext"/>
        <w:spacing w:before="9"/>
        <w:rPr>
          <w:sz w:val="20"/>
        </w:rPr>
      </w:pPr>
    </w:p>
    <w:p w:rsidR="00123455" w:rsidRDefault="00E9192C">
      <w:pPr>
        <w:pStyle w:val="Odstavecseseznamem"/>
        <w:numPr>
          <w:ilvl w:val="0"/>
          <w:numId w:val="5"/>
        </w:numPr>
        <w:tabs>
          <w:tab w:val="left" w:pos="473"/>
        </w:tabs>
        <w:ind w:right="108" w:hanging="340"/>
        <w:jc w:val="both"/>
      </w:pPr>
      <w:r>
        <w:t>Tato smlouva nabývá účinků prvním dnem měsíce následujícího po měsíci, ve kterém byla uzavřena, ne však dříve než 1. 8.</w:t>
      </w:r>
      <w:r>
        <w:rPr>
          <w:spacing w:val="-4"/>
        </w:rPr>
        <w:t xml:space="preserve"> </w:t>
      </w:r>
      <w:r>
        <w:t>2021.</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Odstavecseseznamem"/>
        <w:numPr>
          <w:ilvl w:val="0"/>
          <w:numId w:val="5"/>
        </w:numPr>
        <w:tabs>
          <w:tab w:val="left" w:pos="473"/>
        </w:tabs>
        <w:spacing w:before="178"/>
        <w:ind w:right="105" w:hanging="340"/>
        <w:jc w:val="both"/>
      </w:pPr>
      <w:r>
        <w:t>Smlouva se uzavírá na dobu pěti let ode dne nabytí účinnosti s jednoročním pojistným obdobím, za které se hradí běžné</w:t>
      </w:r>
      <w:r>
        <w:rPr>
          <w:spacing w:val="-6"/>
        </w:rPr>
        <w:t xml:space="preserve"> </w:t>
      </w:r>
      <w:r>
        <w:t>pojistné.</w:t>
      </w:r>
    </w:p>
    <w:p w:rsidR="00123455" w:rsidRDefault="00123455">
      <w:pPr>
        <w:pStyle w:val="Zkladntext"/>
        <w:spacing w:before="8"/>
        <w:rPr>
          <w:sz w:val="20"/>
        </w:rPr>
      </w:pPr>
    </w:p>
    <w:p w:rsidR="00123455" w:rsidRDefault="00E9192C">
      <w:pPr>
        <w:pStyle w:val="Odstavecseseznamem"/>
        <w:numPr>
          <w:ilvl w:val="0"/>
          <w:numId w:val="5"/>
        </w:numPr>
        <w:tabs>
          <w:tab w:val="left" w:pos="473"/>
        </w:tabs>
        <w:ind w:right="106" w:hanging="340"/>
        <w:jc w:val="both"/>
      </w:pPr>
      <w:r>
        <w:t>Sazba pojistného pro all-risk majetkové pojištění musí být zachována po celou dobu platnosti pojištění ve vztahu k jakémukoliv objemu pojištěného</w:t>
      </w:r>
      <w:r>
        <w:rPr>
          <w:spacing w:val="-15"/>
        </w:rPr>
        <w:t xml:space="preserve"> </w:t>
      </w:r>
      <w:r>
        <w:t>majetku.</w:t>
      </w:r>
    </w:p>
    <w:p w:rsidR="00123455" w:rsidRDefault="00123455">
      <w:pPr>
        <w:pStyle w:val="Zkladntext"/>
        <w:spacing w:before="10"/>
        <w:rPr>
          <w:sz w:val="20"/>
        </w:rPr>
      </w:pPr>
    </w:p>
    <w:p w:rsidR="00123455" w:rsidRDefault="00E9192C">
      <w:pPr>
        <w:pStyle w:val="Odstavecseseznamem"/>
        <w:numPr>
          <w:ilvl w:val="0"/>
          <w:numId w:val="5"/>
        </w:numPr>
        <w:tabs>
          <w:tab w:val="left" w:pos="473"/>
        </w:tabs>
        <w:ind w:right="103" w:hanging="340"/>
        <w:jc w:val="both"/>
      </w:pPr>
      <w:r>
        <w:t>Po ukončení každého pojistného období pojistník pojistiteli oznámí (do 30 dnů od skončení  pojistného období) objem majetku nabytý v uplynulém pojistném období. Takto navýšená hodnota pojištěného majetku (navýšená pojistná částka) bude základem výpočtu pojistného pro all-risk majetkové pojištění pro další pojistné období za použití konstantní sazby</w:t>
      </w:r>
      <w:r>
        <w:rPr>
          <w:spacing w:val="-24"/>
        </w:rPr>
        <w:t xml:space="preserve"> </w:t>
      </w:r>
      <w:r>
        <w:t>pojistného.</w:t>
      </w:r>
    </w:p>
    <w:p w:rsidR="00123455" w:rsidRDefault="00123455">
      <w:pPr>
        <w:pStyle w:val="Zkladntext"/>
        <w:spacing w:before="8"/>
        <w:rPr>
          <w:sz w:val="20"/>
        </w:rPr>
      </w:pPr>
    </w:p>
    <w:p w:rsidR="00123455" w:rsidRDefault="00E9192C">
      <w:pPr>
        <w:pStyle w:val="Odstavecseseznamem"/>
        <w:numPr>
          <w:ilvl w:val="0"/>
          <w:numId w:val="5"/>
        </w:numPr>
        <w:tabs>
          <w:tab w:val="left" w:pos="473"/>
        </w:tabs>
        <w:ind w:right="104" w:hanging="340"/>
        <w:jc w:val="both"/>
      </w:pPr>
      <w:r>
        <w:t>Majetkové pojištění pokrývá veškerý majetek pořízený pojistníkem pro účely budování a provozu výzkumných center ELI a HiLASE od okamžiku jeho nabytí do vlastnictví nebo od okamžiku  přechodu nebezpečí škody na takovém majetku na pojistníka (předchází-li nabytí vlastnického  práva), i když dosud nebyl zahrnut do pojistné hodnoty a pojistné částky prostřednictvím výročního hlášení.</w:t>
      </w:r>
    </w:p>
    <w:p w:rsidR="00123455" w:rsidRDefault="00123455">
      <w:pPr>
        <w:pStyle w:val="Zkladntext"/>
        <w:spacing w:before="11"/>
        <w:rPr>
          <w:sz w:val="20"/>
        </w:rPr>
      </w:pPr>
    </w:p>
    <w:p w:rsidR="00123455" w:rsidRDefault="00E9192C">
      <w:pPr>
        <w:pStyle w:val="Odstavecseseznamem"/>
        <w:numPr>
          <w:ilvl w:val="0"/>
          <w:numId w:val="5"/>
        </w:numPr>
        <w:tabs>
          <w:tab w:val="left" w:pos="473"/>
        </w:tabs>
        <w:ind w:right="107" w:hanging="340"/>
        <w:jc w:val="both"/>
      </w:pPr>
      <w:r>
        <w:t>Je-li určitý majetek pojištěn stavebně-montážním pojištěním, vztahuje se na něj majetkové pojištění dnem, kdy je ukončeno stavebně-montážní</w:t>
      </w:r>
      <w:r>
        <w:rPr>
          <w:spacing w:val="-11"/>
        </w:rPr>
        <w:t xml:space="preserve"> </w:t>
      </w:r>
      <w:r>
        <w:t>pojištění.</w:t>
      </w:r>
    </w:p>
    <w:p w:rsidR="00123455" w:rsidRDefault="00123455">
      <w:pPr>
        <w:pStyle w:val="Zkladntext"/>
        <w:spacing w:before="9"/>
        <w:rPr>
          <w:sz w:val="20"/>
        </w:rPr>
      </w:pPr>
    </w:p>
    <w:p w:rsidR="00123455" w:rsidRDefault="00E9192C">
      <w:pPr>
        <w:pStyle w:val="Odstavecseseznamem"/>
        <w:numPr>
          <w:ilvl w:val="0"/>
          <w:numId w:val="5"/>
        </w:numPr>
        <w:tabs>
          <w:tab w:val="left" w:pos="473"/>
        </w:tabs>
        <w:ind w:right="104" w:hanging="340"/>
        <w:jc w:val="both"/>
      </w:pPr>
      <w:r>
        <w:t>Jednorázové nabytí majetkových hodnot (nabytí vlastnického práva nebo přechod nebezpečí škody na pojistníka) nebo jednorázové zařazení majetkových hodnot do majetkového pojištění (v případě ukončení stavebně-montážního pojištění) v ceně převyšující 500 mil. Kč (včetně  příslušné  DPH) bude pojistníkem pojistiteli oznámeno vždy bez zbytečného odkladu (do 10 dnů ode dne nabytí/ zařazení).</w:t>
      </w:r>
    </w:p>
    <w:p w:rsidR="00123455" w:rsidRDefault="00123455">
      <w:pPr>
        <w:pStyle w:val="Zkladntext"/>
        <w:spacing w:before="9"/>
        <w:rPr>
          <w:sz w:val="20"/>
        </w:rPr>
      </w:pPr>
    </w:p>
    <w:p w:rsidR="00123455" w:rsidRDefault="00E9192C">
      <w:pPr>
        <w:pStyle w:val="Odstavecseseznamem"/>
        <w:numPr>
          <w:ilvl w:val="0"/>
          <w:numId w:val="5"/>
        </w:numPr>
        <w:tabs>
          <w:tab w:val="left" w:pos="453"/>
        </w:tabs>
        <w:ind w:hanging="340"/>
      </w:pPr>
      <w:r>
        <w:t>Pojistné</w:t>
      </w:r>
      <w:r>
        <w:rPr>
          <w:spacing w:val="37"/>
        </w:rPr>
        <w:t xml:space="preserve"> </w:t>
      </w:r>
      <w:r>
        <w:t>se</w:t>
      </w:r>
      <w:r>
        <w:rPr>
          <w:spacing w:val="37"/>
        </w:rPr>
        <w:t xml:space="preserve"> </w:t>
      </w:r>
      <w:r>
        <w:t>platí</w:t>
      </w:r>
      <w:r>
        <w:rPr>
          <w:spacing w:val="39"/>
        </w:rPr>
        <w:t xml:space="preserve"> </w:t>
      </w:r>
      <w:r>
        <w:t>ročně</w:t>
      </w:r>
      <w:r>
        <w:rPr>
          <w:spacing w:val="35"/>
        </w:rPr>
        <w:t xml:space="preserve"> </w:t>
      </w:r>
      <w:r>
        <w:t>na</w:t>
      </w:r>
      <w:r>
        <w:rPr>
          <w:spacing w:val="40"/>
        </w:rPr>
        <w:t xml:space="preserve"> </w:t>
      </w:r>
      <w:r>
        <w:t>počátku</w:t>
      </w:r>
      <w:r>
        <w:rPr>
          <w:spacing w:val="37"/>
        </w:rPr>
        <w:t xml:space="preserve"> </w:t>
      </w:r>
      <w:r>
        <w:t>příslušného</w:t>
      </w:r>
      <w:r>
        <w:rPr>
          <w:spacing w:val="35"/>
        </w:rPr>
        <w:t xml:space="preserve"> </w:t>
      </w:r>
      <w:r>
        <w:t>pojistného</w:t>
      </w:r>
      <w:r>
        <w:rPr>
          <w:spacing w:val="37"/>
        </w:rPr>
        <w:t xml:space="preserve"> </w:t>
      </w:r>
      <w:r>
        <w:t>období.</w:t>
      </w:r>
      <w:r>
        <w:rPr>
          <w:spacing w:val="39"/>
        </w:rPr>
        <w:t xml:space="preserve"> </w:t>
      </w:r>
      <w:r>
        <w:t>Po</w:t>
      </w:r>
      <w:r>
        <w:rPr>
          <w:spacing w:val="37"/>
        </w:rPr>
        <w:t xml:space="preserve"> </w:t>
      </w:r>
      <w:r>
        <w:t>doručení</w:t>
      </w:r>
      <w:r>
        <w:rPr>
          <w:spacing w:val="38"/>
        </w:rPr>
        <w:t xml:space="preserve"> </w:t>
      </w:r>
      <w:r>
        <w:t>výročního</w:t>
      </w:r>
      <w:r>
        <w:rPr>
          <w:spacing w:val="37"/>
        </w:rPr>
        <w:t xml:space="preserve"> </w:t>
      </w:r>
      <w:r>
        <w:t>hlášení</w:t>
      </w:r>
    </w:p>
    <w:p w:rsidR="00123455" w:rsidRDefault="00E9192C">
      <w:pPr>
        <w:pStyle w:val="Zkladntext"/>
        <w:spacing w:before="1"/>
        <w:ind w:left="452" w:right="105"/>
        <w:jc w:val="both"/>
      </w:pPr>
      <w:r>
        <w:t>o přírůstku hodnoty majetku za uplynulé pojistné období pojistitel dle hodnoty všeho majetku zařazeného do pojištění k prvnímu dni daného pojistného období určí výši běžného pojistného za následující pojistné období za all-risk majetkové pojištění a spolu s pojistným za další složky majetkového pojištění a pojištění odpovědnosti je vyúčtuje pojistníkovi.</w:t>
      </w:r>
    </w:p>
    <w:p w:rsidR="00123455" w:rsidRDefault="00123455">
      <w:pPr>
        <w:pStyle w:val="Zkladntext"/>
        <w:spacing w:before="11"/>
        <w:rPr>
          <w:sz w:val="20"/>
        </w:rPr>
      </w:pPr>
    </w:p>
    <w:p w:rsidR="00123455" w:rsidRDefault="00E9192C">
      <w:pPr>
        <w:pStyle w:val="Odstavecseseznamem"/>
        <w:numPr>
          <w:ilvl w:val="0"/>
          <w:numId w:val="5"/>
        </w:numPr>
        <w:tabs>
          <w:tab w:val="left" w:pos="453"/>
        </w:tabs>
        <w:ind w:right="103" w:hanging="340"/>
        <w:jc w:val="both"/>
      </w:pPr>
      <w:r>
        <w:t>V případě jednorázového nabytí/ zařazení do pojištění majetkové hodnoty překračující 500 mil Kč (včetně příslušné DPH) náleží pojistiteli pojistné za all-risk majetkové pojištění již ode dne nabytí/ zařazení do pojištění. Pojistné za příslušnou část probíhajícího pojistného období může pojistitel účtovat</w:t>
      </w:r>
      <w:r>
        <w:rPr>
          <w:spacing w:val="-3"/>
        </w:rPr>
        <w:t xml:space="preserve"> </w:t>
      </w:r>
      <w:r>
        <w:t>bezodkladně.</w:t>
      </w:r>
    </w:p>
    <w:p w:rsidR="00123455" w:rsidRDefault="00123455">
      <w:pPr>
        <w:pStyle w:val="Zkladntext"/>
        <w:spacing w:before="9"/>
        <w:rPr>
          <w:sz w:val="20"/>
        </w:rPr>
      </w:pPr>
    </w:p>
    <w:p w:rsidR="00123455" w:rsidRDefault="00E9192C">
      <w:pPr>
        <w:pStyle w:val="Odstavecseseznamem"/>
        <w:numPr>
          <w:ilvl w:val="0"/>
          <w:numId w:val="5"/>
        </w:numPr>
        <w:tabs>
          <w:tab w:val="left" w:pos="473"/>
        </w:tabs>
        <w:ind w:right="102" w:hanging="340"/>
        <w:jc w:val="both"/>
      </w:pPr>
      <w:r>
        <w:t>Pojistitel bude vždy zvláště účtovat pojistné vážící se k výzkumnému centru ELI a k výzkumnému centru HiLASE. Pojistník může dále požadovat, aby pojistné připadající na jednotlivá centra bylo        v průběhu pojistného období účtováno ve dvou splátkách, a to za období do 31. 12. a od 1. 1. do konce pojistného období, přičemž splátka za období od 1. 1. může být fakturována nejdříve tímto dnem.</w:t>
      </w:r>
    </w:p>
    <w:p w:rsidR="00123455" w:rsidRDefault="00123455">
      <w:pPr>
        <w:pStyle w:val="Zkladntext"/>
        <w:spacing w:before="9"/>
        <w:rPr>
          <w:sz w:val="20"/>
        </w:rPr>
      </w:pPr>
    </w:p>
    <w:p w:rsidR="00123455" w:rsidRDefault="00E9192C">
      <w:pPr>
        <w:pStyle w:val="Odstavecseseznamem"/>
        <w:numPr>
          <w:ilvl w:val="0"/>
          <w:numId w:val="5"/>
        </w:numPr>
        <w:tabs>
          <w:tab w:val="left" w:pos="473"/>
        </w:tabs>
        <w:ind w:right="103" w:hanging="340"/>
        <w:jc w:val="both"/>
      </w:pPr>
      <w:r>
        <w:t>Výše pojistného dle této smlouvy je úplnou a konečnou cenou za poskytnutí všech pojistných služeb a všeho plnění dle této pojistné smlouvy a nemůže být nijak zvyšována či pojistitel nebude</w:t>
      </w:r>
      <w:r>
        <w:rPr>
          <w:spacing w:val="3"/>
        </w:rPr>
        <w:t xml:space="preserve"> </w:t>
      </w:r>
      <w:r>
        <w:t>požadovat</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Zkladntext"/>
        <w:spacing w:before="178"/>
        <w:ind w:left="452" w:right="107"/>
        <w:jc w:val="both"/>
      </w:pPr>
      <w:r>
        <w:t>žádné dodatečné úhrady, například prostřednictvím aplikace sazebníků poplatků za různé služby apod. Zákaz účtování dodatečných nákladů se nevztahuje na případy, kde je takový výdaj účtován    v důsledku porušení povinností pojistníka (například náklady upomínky</w:t>
      </w:r>
      <w:r>
        <w:rPr>
          <w:spacing w:val="-16"/>
        </w:rPr>
        <w:t xml:space="preserve"> </w:t>
      </w:r>
      <w:r>
        <w:t>apod.).</w:t>
      </w:r>
    </w:p>
    <w:p w:rsidR="00123455" w:rsidRDefault="00123455">
      <w:pPr>
        <w:pStyle w:val="Zkladntext"/>
        <w:spacing w:before="8"/>
        <w:rPr>
          <w:sz w:val="20"/>
        </w:rPr>
      </w:pPr>
    </w:p>
    <w:p w:rsidR="00123455" w:rsidRDefault="00E9192C">
      <w:pPr>
        <w:pStyle w:val="Odstavecseseznamem"/>
        <w:numPr>
          <w:ilvl w:val="0"/>
          <w:numId w:val="5"/>
        </w:numPr>
        <w:tabs>
          <w:tab w:val="left" w:pos="473"/>
        </w:tabs>
        <w:ind w:right="104" w:hanging="340"/>
        <w:jc w:val="both"/>
      </w:pPr>
      <w:r>
        <w:t xml:space="preserve">Správcem této pojistné smlouvy (pojišťovacím zprostředkovatelem) bude společnost </w:t>
      </w:r>
      <w:r>
        <w:rPr>
          <w:b/>
        </w:rPr>
        <w:t>Aon Central and Eastern Europe a.s.</w:t>
      </w:r>
      <w:r>
        <w:t>, sídlem Václavské náměstí 832/19, Praha 1, 110 00 (IČO 47123672), která bude vystupovat v pozici nevýhradního inkasního agenta (číslo zprostředkovatele 70013372). Pojistné bude hrazeno na účet společnosti Aon Central and Eastern Europe a.s. na základě faktury vystavené</w:t>
      </w:r>
      <w:r>
        <w:rPr>
          <w:spacing w:val="-7"/>
        </w:rPr>
        <w:t xml:space="preserve"> </w:t>
      </w:r>
      <w:r>
        <w:t>pojistitelem.</w:t>
      </w:r>
    </w:p>
    <w:p w:rsidR="00123455" w:rsidRDefault="00123455">
      <w:pPr>
        <w:pStyle w:val="Zkladntext"/>
        <w:spacing w:before="8"/>
        <w:rPr>
          <w:sz w:val="20"/>
        </w:rPr>
      </w:pPr>
    </w:p>
    <w:p w:rsidR="00123455" w:rsidRDefault="00E9192C">
      <w:pPr>
        <w:pStyle w:val="Odstavecseseznamem"/>
        <w:numPr>
          <w:ilvl w:val="0"/>
          <w:numId w:val="5"/>
        </w:numPr>
        <w:tabs>
          <w:tab w:val="left" w:pos="473"/>
        </w:tabs>
        <w:ind w:left="472" w:hanging="360"/>
      </w:pPr>
      <w:r>
        <w:t>Pojistitel neuplatní žádné čekací</w:t>
      </w:r>
      <w:r>
        <w:rPr>
          <w:spacing w:val="-11"/>
        </w:rPr>
        <w:t xml:space="preserve"> </w:t>
      </w:r>
      <w:r>
        <w:t>doby.</w:t>
      </w:r>
    </w:p>
    <w:p w:rsidR="00123455" w:rsidRDefault="00123455">
      <w:pPr>
        <w:pStyle w:val="Zkladntext"/>
        <w:spacing w:before="11"/>
        <w:rPr>
          <w:sz w:val="20"/>
        </w:rPr>
      </w:pPr>
    </w:p>
    <w:p w:rsidR="00123455" w:rsidRDefault="00E9192C">
      <w:pPr>
        <w:pStyle w:val="Odstavecseseznamem"/>
        <w:numPr>
          <w:ilvl w:val="0"/>
          <w:numId w:val="5"/>
        </w:numPr>
        <w:tabs>
          <w:tab w:val="left" w:pos="473"/>
        </w:tabs>
        <w:ind w:right="105" w:hanging="340"/>
        <w:jc w:val="both"/>
      </w:pPr>
      <w:r>
        <w:t xml:space="preserve">Pojistník je plátcem DPH, ovšem ve vztahu k výdajům při provozu center ELI a HiLASE mu s dále uvedenou výjimkou nevzniká nárok na odpočet DPH. Pojistné plnění musí být pojistníkovi poskytováno tak, aby při znovu pořizování majetku krylo také příslušnou DPH dle platných právních předpisů. Pojistníkovi při realizaci Projektu HiLASE vzniká nárok na částečný odpočet </w:t>
      </w:r>
      <w:r>
        <w:rPr>
          <w:spacing w:val="-2"/>
        </w:rPr>
        <w:t>DPH</w:t>
      </w:r>
      <w:r>
        <w:rPr>
          <w:spacing w:val="57"/>
        </w:rPr>
        <w:t xml:space="preserve"> </w:t>
      </w:r>
      <w:r>
        <w:t>stanovený koeficientem určeným platnými právními</w:t>
      </w:r>
      <w:r>
        <w:rPr>
          <w:spacing w:val="-14"/>
        </w:rPr>
        <w:t xml:space="preserve"> </w:t>
      </w:r>
      <w:r>
        <w:t>předpisy.</w:t>
      </w:r>
    </w:p>
    <w:p w:rsidR="00123455" w:rsidRDefault="00E9192C">
      <w:pPr>
        <w:pStyle w:val="Nadpis2"/>
        <w:spacing w:before="121"/>
        <w:ind w:left="3126" w:right="3124"/>
        <w:jc w:val="center"/>
      </w:pPr>
      <w:r>
        <w:t>B.</w:t>
      </w:r>
    </w:p>
    <w:p w:rsidR="00123455" w:rsidRDefault="00E9192C">
      <w:pPr>
        <w:spacing w:line="252" w:lineRule="exact"/>
        <w:ind w:left="3126" w:right="3123"/>
        <w:jc w:val="center"/>
        <w:rPr>
          <w:b/>
        </w:rPr>
      </w:pPr>
      <w:r>
        <w:rPr>
          <w:b/>
        </w:rPr>
        <w:t>Platební ujednání</w:t>
      </w:r>
    </w:p>
    <w:p w:rsidR="00123455" w:rsidRDefault="00E9192C">
      <w:pPr>
        <w:pStyle w:val="Odstavecseseznamem"/>
        <w:numPr>
          <w:ilvl w:val="0"/>
          <w:numId w:val="4"/>
        </w:numPr>
        <w:tabs>
          <w:tab w:val="left" w:pos="473"/>
        </w:tabs>
        <w:spacing w:before="121"/>
        <w:ind w:right="104" w:hanging="340"/>
        <w:jc w:val="both"/>
      </w:pPr>
      <w:r>
        <w:t>Pojistné dle této smlouvy bude hradit pojistník na základě daňového dokladu (faktury), řádně vystaveného pojišťovacím</w:t>
      </w:r>
      <w:r>
        <w:rPr>
          <w:spacing w:val="-13"/>
        </w:rPr>
        <w:t xml:space="preserve"> </w:t>
      </w:r>
      <w:r>
        <w:t>zprostředkovatelem.</w:t>
      </w:r>
    </w:p>
    <w:p w:rsidR="00123455" w:rsidRDefault="00123455">
      <w:pPr>
        <w:pStyle w:val="Zkladntext"/>
        <w:spacing w:before="8"/>
        <w:rPr>
          <w:sz w:val="20"/>
        </w:rPr>
      </w:pPr>
    </w:p>
    <w:p w:rsidR="00123455" w:rsidRDefault="00E9192C">
      <w:pPr>
        <w:pStyle w:val="Odstavecseseznamem"/>
        <w:numPr>
          <w:ilvl w:val="0"/>
          <w:numId w:val="4"/>
        </w:numPr>
        <w:tabs>
          <w:tab w:val="left" w:pos="473"/>
        </w:tabs>
        <w:ind w:left="472" w:hanging="360"/>
      </w:pPr>
      <w:r>
        <w:t>Splatnost faktury je 30 dnů ode dne jejího doručení</w:t>
      </w:r>
      <w:r>
        <w:rPr>
          <w:spacing w:val="-16"/>
        </w:rPr>
        <w:t xml:space="preserve"> </w:t>
      </w:r>
      <w:r>
        <w:t>pojistníkovi.</w:t>
      </w:r>
    </w:p>
    <w:p w:rsidR="00123455" w:rsidRDefault="00123455">
      <w:pPr>
        <w:pStyle w:val="Zkladntext"/>
        <w:spacing w:before="11"/>
        <w:rPr>
          <w:sz w:val="20"/>
        </w:rPr>
      </w:pPr>
    </w:p>
    <w:p w:rsidR="00123455" w:rsidRDefault="00E9192C">
      <w:pPr>
        <w:pStyle w:val="Odstavecseseznamem"/>
        <w:numPr>
          <w:ilvl w:val="0"/>
          <w:numId w:val="4"/>
        </w:numPr>
        <w:tabs>
          <w:tab w:val="left" w:pos="473"/>
        </w:tabs>
        <w:ind w:right="103" w:hanging="340"/>
        <w:jc w:val="both"/>
      </w:pPr>
      <w:r>
        <w:t>Faktura musí obsahovat náležitosti daňového dokladu dle ustanovení zvláštního právního předpisu.  V případě, že faktura nebude odpovídat stanoveným požadavkům, je pojistník oprávněn zaslat ji ve lhůtě splatnosti zpět k doplnění, aniž by se tak dostal do prodlení s platbou; lhůta splatnosti počíná běžet znovu od opětovného doručení náležitě doplněného či opraveného dokladu</w:t>
      </w:r>
      <w:r>
        <w:rPr>
          <w:spacing w:val="-17"/>
        </w:rPr>
        <w:t xml:space="preserve"> </w:t>
      </w:r>
      <w:r>
        <w:t>pojistníkovi.</w:t>
      </w:r>
    </w:p>
    <w:p w:rsidR="00123455" w:rsidRDefault="00123455">
      <w:pPr>
        <w:pStyle w:val="Zkladntext"/>
        <w:spacing w:before="9"/>
        <w:rPr>
          <w:sz w:val="20"/>
        </w:rPr>
      </w:pPr>
    </w:p>
    <w:p w:rsidR="00123455" w:rsidRDefault="00E9192C">
      <w:pPr>
        <w:pStyle w:val="Odstavecseseznamem"/>
        <w:numPr>
          <w:ilvl w:val="0"/>
          <w:numId w:val="4"/>
        </w:numPr>
        <w:tabs>
          <w:tab w:val="left" w:pos="473"/>
        </w:tabs>
        <w:ind w:right="104" w:hanging="340"/>
        <w:jc w:val="both"/>
      </w:pPr>
      <w:r>
        <w:t>Faktura bude obsahovat sdělení, že účtované pojistné souvisí s plněním příslušných projektů hrazených z dotačních zdrojů, bude-li to pojistník požadovat a udělí-li dopředu potřebné</w:t>
      </w:r>
      <w:r>
        <w:rPr>
          <w:spacing w:val="-20"/>
        </w:rPr>
        <w:t xml:space="preserve"> </w:t>
      </w:r>
      <w:r>
        <w:t>instrukce.</w:t>
      </w:r>
    </w:p>
    <w:p w:rsidR="00123455" w:rsidRDefault="00123455">
      <w:pPr>
        <w:pStyle w:val="Zkladntext"/>
        <w:spacing w:before="9"/>
        <w:rPr>
          <w:sz w:val="20"/>
        </w:rPr>
      </w:pPr>
    </w:p>
    <w:p w:rsidR="00123455" w:rsidRDefault="00E9192C">
      <w:pPr>
        <w:pStyle w:val="Odstavecseseznamem"/>
        <w:numPr>
          <w:ilvl w:val="0"/>
          <w:numId w:val="4"/>
        </w:numPr>
        <w:tabs>
          <w:tab w:val="left" w:pos="473"/>
        </w:tabs>
        <w:ind w:right="103" w:hanging="340"/>
        <w:jc w:val="both"/>
      </w:pPr>
      <w:r>
        <w:t>Faktura se považuje za včas uhrazenou, pokud je fakturovaná částka nejpozději v den splatnosti odepsána z účtu pojistníka ve prospěch účtu pojišťovacího</w:t>
      </w:r>
      <w:r>
        <w:rPr>
          <w:spacing w:val="-18"/>
        </w:rPr>
        <w:t xml:space="preserve"> </w:t>
      </w:r>
      <w:r>
        <w:t>zprostředkovatele.</w:t>
      </w:r>
    </w:p>
    <w:p w:rsidR="00123455" w:rsidRDefault="00123455">
      <w:pPr>
        <w:pStyle w:val="Zkladntext"/>
        <w:spacing w:before="3"/>
        <w:rPr>
          <w:sz w:val="32"/>
        </w:rPr>
      </w:pPr>
    </w:p>
    <w:p w:rsidR="00123455" w:rsidRDefault="00E9192C">
      <w:pPr>
        <w:pStyle w:val="Nadpis2"/>
        <w:spacing w:line="240" w:lineRule="auto"/>
        <w:ind w:left="3126" w:right="3124"/>
        <w:jc w:val="center"/>
      </w:pPr>
      <w:r>
        <w:t>C.</w:t>
      </w:r>
    </w:p>
    <w:p w:rsidR="00123455" w:rsidRDefault="00E9192C">
      <w:pPr>
        <w:spacing w:before="1"/>
        <w:ind w:left="3126" w:right="3121"/>
        <w:jc w:val="center"/>
        <w:rPr>
          <w:b/>
        </w:rPr>
      </w:pPr>
      <w:r>
        <w:rPr>
          <w:b/>
        </w:rPr>
        <w:t>Smluvní pokuty, úrok z prodlení</w:t>
      </w:r>
    </w:p>
    <w:p w:rsidR="00123455" w:rsidRDefault="00E9192C">
      <w:pPr>
        <w:pStyle w:val="Zkladntext"/>
        <w:spacing w:before="119"/>
        <w:ind w:left="452" w:right="106" w:hanging="341"/>
        <w:jc w:val="both"/>
      </w:pPr>
      <w:r>
        <w:t>1. Pro případ prodlení se splněním peněžitého závazku dle této smlouvy se obě smluvní strany dohodly na úroku z prodlení v zákonné výši. Na smluvní pokutu pro totéž porušení povinnosti, za něž náleží úrok z prodlení, nevzniká ani jedné straně právo.</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Nadpis2"/>
        <w:spacing w:before="178"/>
        <w:ind w:left="3126" w:right="3124"/>
        <w:jc w:val="center"/>
      </w:pPr>
      <w:r>
        <w:t>D.</w:t>
      </w:r>
    </w:p>
    <w:p w:rsidR="00123455" w:rsidRDefault="00E9192C">
      <w:pPr>
        <w:spacing w:line="252" w:lineRule="exact"/>
        <w:ind w:left="3126" w:right="3121"/>
        <w:jc w:val="center"/>
        <w:rPr>
          <w:b/>
        </w:rPr>
      </w:pPr>
      <w:r>
        <w:rPr>
          <w:b/>
        </w:rPr>
        <w:t>Zánik pojištění</w:t>
      </w:r>
    </w:p>
    <w:p w:rsidR="00123455" w:rsidRDefault="00E9192C">
      <w:pPr>
        <w:pStyle w:val="Odstavecseseznamem"/>
        <w:numPr>
          <w:ilvl w:val="0"/>
          <w:numId w:val="3"/>
        </w:numPr>
        <w:tabs>
          <w:tab w:val="left" w:pos="473"/>
        </w:tabs>
        <w:spacing w:before="121"/>
        <w:ind w:right="102" w:hanging="340"/>
        <w:jc w:val="both"/>
      </w:pPr>
      <w:r>
        <w:t>Smluvní strany nesjednávají možnost automatického prodlužování pojistné smlouvy a nelze  tak využít § 2803 odst. 2 občanského</w:t>
      </w:r>
      <w:r>
        <w:rPr>
          <w:spacing w:val="-7"/>
        </w:rPr>
        <w:t xml:space="preserve"> </w:t>
      </w:r>
      <w:r>
        <w:t>zákoníku.</w:t>
      </w:r>
    </w:p>
    <w:p w:rsidR="00123455" w:rsidRDefault="00123455">
      <w:pPr>
        <w:pStyle w:val="Zkladntext"/>
        <w:spacing w:before="10"/>
        <w:rPr>
          <w:sz w:val="20"/>
        </w:rPr>
      </w:pPr>
    </w:p>
    <w:p w:rsidR="00123455" w:rsidRDefault="00E9192C">
      <w:pPr>
        <w:pStyle w:val="Odstavecseseznamem"/>
        <w:numPr>
          <w:ilvl w:val="0"/>
          <w:numId w:val="3"/>
        </w:numPr>
        <w:tabs>
          <w:tab w:val="left" w:pos="473"/>
        </w:tabs>
        <w:ind w:right="105" w:hanging="340"/>
        <w:jc w:val="both"/>
      </w:pPr>
      <w:r>
        <w:t>Při zachování aplikovatelnosti § 2807 pro tuto smlouvu strany (s ohledem na povinnost pojistníka zajistit si jakékoliv náhradní pojištění v zákonném zadávacím řízení) odchylně od něj ujednávají, že výpověď musí být kteroukoliv smluvní stranou podána ne později než 4 měsíce před skončením příslušného pojistného období, aby platnost této smlouvy skončila ke konci takového pojistného období.</w:t>
      </w:r>
    </w:p>
    <w:p w:rsidR="00123455" w:rsidRDefault="00123455">
      <w:pPr>
        <w:pStyle w:val="Zkladntext"/>
        <w:spacing w:before="10"/>
        <w:rPr>
          <w:sz w:val="20"/>
        </w:rPr>
      </w:pPr>
    </w:p>
    <w:p w:rsidR="00123455" w:rsidRDefault="00E9192C">
      <w:pPr>
        <w:pStyle w:val="Nadpis2"/>
        <w:ind w:left="3126" w:right="3126"/>
        <w:jc w:val="center"/>
      </w:pPr>
      <w:r>
        <w:t>E.</w:t>
      </w:r>
    </w:p>
    <w:p w:rsidR="00123455" w:rsidRDefault="00E9192C">
      <w:pPr>
        <w:spacing w:line="252" w:lineRule="exact"/>
        <w:ind w:left="3126" w:right="3122"/>
        <w:jc w:val="center"/>
        <w:rPr>
          <w:b/>
        </w:rPr>
      </w:pPr>
      <w:r>
        <w:rPr>
          <w:b/>
        </w:rPr>
        <w:t>Ostatní ujednání</w:t>
      </w:r>
    </w:p>
    <w:p w:rsidR="00123455" w:rsidRDefault="00E9192C">
      <w:pPr>
        <w:pStyle w:val="Zkladntext"/>
        <w:spacing w:before="122"/>
        <w:ind w:left="452" w:right="102" w:hanging="341"/>
        <w:jc w:val="both"/>
      </w:pPr>
      <w:r>
        <w:t>1. Smlouva se řídí českým právním řádem. Spory mezi smluvními stranami bude řešit soud České republiky věcně a místně příslušný dle platných právních předpisů. Rozhodčí řízení je vyloučeno.</w:t>
      </w:r>
    </w:p>
    <w:p w:rsidR="00123455" w:rsidRDefault="00123455">
      <w:pPr>
        <w:pStyle w:val="Zkladntext"/>
        <w:rPr>
          <w:sz w:val="24"/>
        </w:rPr>
      </w:pPr>
    </w:p>
    <w:p w:rsidR="00123455" w:rsidRDefault="00123455">
      <w:pPr>
        <w:pStyle w:val="Zkladntext"/>
        <w:spacing w:before="4"/>
        <w:rPr>
          <w:sz w:val="30"/>
        </w:rPr>
      </w:pPr>
    </w:p>
    <w:p w:rsidR="00123455" w:rsidRDefault="00E9192C">
      <w:pPr>
        <w:pStyle w:val="Nadpis2"/>
        <w:spacing w:line="240" w:lineRule="auto"/>
        <w:jc w:val="both"/>
      </w:pPr>
      <w:r>
        <w:t>SANKČNÍ DOLOŽKA</w:t>
      </w:r>
    </w:p>
    <w:p w:rsidR="00123455" w:rsidRDefault="00E9192C">
      <w:pPr>
        <w:pStyle w:val="Zkladntext"/>
        <w:spacing w:before="1" w:line="288" w:lineRule="auto"/>
        <w:ind w:left="112" w:right="102"/>
        <w:jc w:val="both"/>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w:t>
      </w:r>
      <w:r>
        <w:rPr>
          <w:spacing w:val="-18"/>
        </w:rPr>
        <w:t xml:space="preserve"> </w:t>
      </w:r>
      <w:r>
        <w:t>smlouvy</w:t>
      </w:r>
    </w:p>
    <w:p w:rsidR="00123455" w:rsidRDefault="00123455">
      <w:pPr>
        <w:pStyle w:val="Zkladntext"/>
        <w:spacing w:before="6"/>
        <w:rPr>
          <w:sz w:val="26"/>
        </w:rPr>
      </w:pPr>
    </w:p>
    <w:p w:rsidR="00123455" w:rsidRDefault="00E9192C">
      <w:pPr>
        <w:pStyle w:val="Nadpis2"/>
        <w:jc w:val="both"/>
      </w:pPr>
      <w:r>
        <w:t>Doložka -  vyloučení krytí infekčních onemocnění</w:t>
      </w:r>
    </w:p>
    <w:p w:rsidR="00123455" w:rsidRDefault="00E9192C">
      <w:pPr>
        <w:pStyle w:val="Odstavecseseznamem"/>
        <w:numPr>
          <w:ilvl w:val="0"/>
          <w:numId w:val="2"/>
        </w:numPr>
        <w:tabs>
          <w:tab w:val="left" w:pos="419"/>
        </w:tabs>
        <w:ind w:right="103" w:firstLine="0"/>
        <w:jc w:val="both"/>
      </w:pPr>
      <w:r>
        <w:t xml:space="preserve">Smluvní strany se dohodly, že pojištění se kromě výluk uvedených </w:t>
      </w:r>
      <w:r>
        <w:rPr>
          <w:spacing w:val="3"/>
        </w:rPr>
        <w:t xml:space="preserve">ve </w:t>
      </w:r>
      <w:r>
        <w:t>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w:t>
      </w:r>
      <w:r>
        <w:rPr>
          <w:spacing w:val="-16"/>
        </w:rPr>
        <w:t xml:space="preserve"> </w:t>
      </w:r>
      <w:r>
        <w:t>příčinou.</w:t>
      </w:r>
    </w:p>
    <w:p w:rsidR="00123455" w:rsidRDefault="00E9192C">
      <w:pPr>
        <w:pStyle w:val="Odstavecseseznamem"/>
        <w:numPr>
          <w:ilvl w:val="0"/>
          <w:numId w:val="2"/>
        </w:numPr>
        <w:tabs>
          <w:tab w:val="left" w:pos="412"/>
        </w:tabs>
        <w:ind w:right="103" w:firstLine="0"/>
        <w:jc w:val="both"/>
      </w:pPr>
      <w:r>
        <w:t>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w:t>
      </w:r>
      <w:r>
        <w:rPr>
          <w:spacing w:val="-19"/>
        </w:rPr>
        <w:t xml:space="preserve"> </w:t>
      </w:r>
      <w:r>
        <w:t>majetku.</w:t>
      </w:r>
    </w:p>
    <w:p w:rsidR="00123455" w:rsidRDefault="00E9192C">
      <w:pPr>
        <w:pStyle w:val="Odstavecseseznamem"/>
        <w:numPr>
          <w:ilvl w:val="0"/>
          <w:numId w:val="2"/>
        </w:numPr>
        <w:tabs>
          <w:tab w:val="left" w:pos="412"/>
        </w:tabs>
        <w:spacing w:before="2"/>
        <w:ind w:right="104" w:firstLine="0"/>
        <w:jc w:val="both"/>
      </w:pPr>
      <w:r>
        <w:t>Pro účely této doložky se za ztráty, škody, nároky, náklady, výdaje nebo jiné částky či hodnoty, považují také jakékoli náklady na vyčištění, detoxikaci, odstranění, sledování nebo</w:t>
      </w:r>
      <w:r>
        <w:rPr>
          <w:spacing w:val="-26"/>
        </w:rPr>
        <w:t xml:space="preserve"> </w:t>
      </w:r>
      <w:r>
        <w:t>testování:</w:t>
      </w:r>
    </w:p>
    <w:p w:rsidR="00123455" w:rsidRDefault="00123455">
      <w:pPr>
        <w:jc w:val="both"/>
        <w:sectPr w:rsidR="00123455">
          <w:pgSz w:w="11920" w:h="16840"/>
          <w:pgMar w:top="3120" w:right="740" w:bottom="1980" w:left="740" w:header="1798" w:footer="1785" w:gutter="0"/>
          <w:cols w:space="720"/>
        </w:sectPr>
      </w:pPr>
    </w:p>
    <w:p w:rsidR="00123455" w:rsidRDefault="00E9192C">
      <w:pPr>
        <w:pStyle w:val="Odstavecseseznamem"/>
        <w:numPr>
          <w:ilvl w:val="1"/>
          <w:numId w:val="2"/>
        </w:numPr>
        <w:tabs>
          <w:tab w:val="left" w:pos="542"/>
        </w:tabs>
        <w:spacing w:before="178" w:line="252" w:lineRule="exact"/>
        <w:ind w:firstLine="0"/>
        <w:jc w:val="both"/>
      </w:pPr>
      <w:r>
        <w:t>Infekčního onemocnění,</w:t>
      </w:r>
      <w:r>
        <w:rPr>
          <w:spacing w:val="-9"/>
        </w:rPr>
        <w:t xml:space="preserve"> </w:t>
      </w:r>
      <w:r>
        <w:t>nebo</w:t>
      </w:r>
    </w:p>
    <w:p w:rsidR="00123455" w:rsidRDefault="00E9192C">
      <w:pPr>
        <w:pStyle w:val="Odstavecseseznamem"/>
        <w:numPr>
          <w:ilvl w:val="1"/>
          <w:numId w:val="2"/>
        </w:numPr>
        <w:tabs>
          <w:tab w:val="left" w:pos="618"/>
        </w:tabs>
        <w:ind w:right="104" w:firstLine="0"/>
        <w:jc w:val="both"/>
      </w:pPr>
      <w:r>
        <w:t>jakéhokoliv majetku pojištěného podle této pojistné smlouvy, ovlivněného takovým infekčním onemocněním.</w:t>
      </w:r>
    </w:p>
    <w:p w:rsidR="00123455" w:rsidRDefault="00E9192C">
      <w:pPr>
        <w:pStyle w:val="Odstavecseseznamem"/>
        <w:numPr>
          <w:ilvl w:val="0"/>
          <w:numId w:val="2"/>
        </w:numPr>
        <w:tabs>
          <w:tab w:val="left" w:pos="427"/>
        </w:tabs>
        <w:ind w:right="108" w:firstLine="0"/>
        <w:jc w:val="both"/>
      </w:pPr>
      <w:r>
        <w:t>Definice infekčního onemocnění je stanovena příslušnými obecně závaznými právními předpisy platnými na území České republiky nebo na území země, pro kterou byla sjednána územní platnost pojištění.</w:t>
      </w:r>
    </w:p>
    <w:p w:rsidR="00123455" w:rsidRDefault="00E9192C">
      <w:pPr>
        <w:pStyle w:val="Odstavecseseznamem"/>
        <w:numPr>
          <w:ilvl w:val="0"/>
          <w:numId w:val="2"/>
        </w:numPr>
        <w:tabs>
          <w:tab w:val="left" w:pos="360"/>
        </w:tabs>
        <w:spacing w:before="1"/>
        <w:ind w:left="359" w:hanging="247"/>
        <w:jc w:val="both"/>
      </w:pPr>
      <w:r>
        <w:t>Všechny ostatní podmínky a výluky pojistné smlouvy zůstávají beze</w:t>
      </w:r>
      <w:r>
        <w:rPr>
          <w:spacing w:val="-16"/>
        </w:rPr>
        <w:t xml:space="preserve"> </w:t>
      </w:r>
      <w:r>
        <w:t>změny.</w:t>
      </w:r>
    </w:p>
    <w:p w:rsidR="00123455" w:rsidRDefault="00123455">
      <w:pPr>
        <w:pStyle w:val="Zkladntext"/>
        <w:spacing w:before="2"/>
        <w:rPr>
          <w:sz w:val="26"/>
        </w:rPr>
      </w:pPr>
    </w:p>
    <w:p w:rsidR="00123455" w:rsidRDefault="00E9192C">
      <w:pPr>
        <w:pStyle w:val="Zkladntext"/>
        <w:ind w:left="112" w:right="102"/>
        <w:jc w:val="both"/>
      </w:pPr>
      <w:r>
        <w:t>Pojistná smlouva obsahuje 27 listů a je na základě dohody smluvních stran vyhotovena v elektronické podobě ve formátu PDF, přičemž původ a integrita elektronického vyhotovení této smlouvy, jakož i totožnost jednajících osob, jsou zaručeny elektronickými podpisy smluvních stran, resp. osob oprávněných za smluvní stranu tuto smlouvu uzavřít. Každá ze smluvních stran obdrží originál pojistné smlouvy v elektronické podobě.</w:t>
      </w:r>
    </w:p>
    <w:p w:rsidR="00123455" w:rsidRDefault="00E9192C">
      <w:pPr>
        <w:pStyle w:val="Zkladntext"/>
        <w:ind w:left="112" w:right="101"/>
        <w:jc w:val="both"/>
      </w:pPr>
      <w:r>
        <w:t>Veškeré změny a doplňky pojistné smlouvy lze činit pouze formou písemných číslovaných dodatků, a to v elektronické podobě ve formátu PDF, který bude opatřen elektronickými podpisy smluvních stran, resp. osob oprávněných za smluvní stranu dodatek</w:t>
      </w:r>
      <w:r>
        <w:rPr>
          <w:spacing w:val="-11"/>
        </w:rPr>
        <w:t xml:space="preserve"> </w:t>
      </w:r>
      <w:r>
        <w:t>uzavřít.</w:t>
      </w:r>
    </w:p>
    <w:p w:rsidR="00123455" w:rsidRDefault="00123455">
      <w:pPr>
        <w:pStyle w:val="Zkladntext"/>
        <w:rPr>
          <w:sz w:val="24"/>
        </w:rPr>
      </w:pPr>
    </w:p>
    <w:p w:rsidR="00123455" w:rsidRDefault="00123455">
      <w:pPr>
        <w:pStyle w:val="Zkladntext"/>
        <w:rPr>
          <w:sz w:val="29"/>
        </w:rPr>
      </w:pPr>
    </w:p>
    <w:p w:rsidR="00123455" w:rsidRPr="00DA78FB" w:rsidRDefault="00E9192C">
      <w:pPr>
        <w:pStyle w:val="Zkladntext"/>
        <w:ind w:left="112"/>
        <w:jc w:val="both"/>
        <w:rPr>
          <w:lang w:val="de-DE"/>
        </w:rPr>
      </w:pPr>
      <w:r w:rsidRPr="00DA78FB">
        <w:rPr>
          <w:lang w:val="de-DE"/>
        </w:rPr>
        <w:t>V Praze, dne (viz elektronický podpis)</w:t>
      </w:r>
    </w:p>
    <w:p w:rsidR="00123455" w:rsidRPr="00DA78FB" w:rsidRDefault="00123455">
      <w:pPr>
        <w:pStyle w:val="Zkladntext"/>
        <w:spacing w:before="9"/>
        <w:rPr>
          <w:sz w:val="29"/>
          <w:lang w:val="de-DE"/>
        </w:rPr>
      </w:pPr>
    </w:p>
    <w:p w:rsidR="00123455" w:rsidRPr="00DA78FB" w:rsidRDefault="00123455">
      <w:pPr>
        <w:rPr>
          <w:sz w:val="29"/>
          <w:lang w:val="de-DE"/>
        </w:rPr>
        <w:sectPr w:rsidR="00123455" w:rsidRPr="00DA78FB">
          <w:pgSz w:w="11920" w:h="16840"/>
          <w:pgMar w:top="3120" w:right="740" w:bottom="1980" w:left="740" w:header="1798" w:footer="1785" w:gutter="0"/>
          <w:cols w:space="720"/>
        </w:sectPr>
      </w:pPr>
    </w:p>
    <w:p w:rsidR="00123455" w:rsidRPr="00DA78FB" w:rsidRDefault="00E9192C" w:rsidP="00DA78FB">
      <w:pPr>
        <w:pStyle w:val="Zkladntext"/>
        <w:spacing w:line="270" w:lineRule="exact"/>
        <w:ind w:left="3516"/>
        <w:rPr>
          <w:rFonts w:ascii="Myriad Pro"/>
          <w:sz w:val="13"/>
          <w:lang w:val="de-DE"/>
        </w:rPr>
      </w:pPr>
      <w:r w:rsidRPr="00DA78FB">
        <w:rPr>
          <w:lang w:val="de-DE"/>
        </w:rPr>
        <w:t>.</w:t>
      </w:r>
      <w:r w:rsidRPr="00DA78FB">
        <w:rPr>
          <w:spacing w:val="-2"/>
          <w:lang w:val="de-DE"/>
        </w:rPr>
        <w:t>.</w:t>
      </w:r>
      <w:r w:rsidRPr="00DA78FB">
        <w:rPr>
          <w:spacing w:val="1"/>
          <w:lang w:val="de-DE"/>
        </w:rPr>
        <w:t>.</w:t>
      </w:r>
      <w:r w:rsidRPr="00DA78FB">
        <w:rPr>
          <w:spacing w:val="-2"/>
          <w:lang w:val="de-DE"/>
        </w:rPr>
        <w:t>.</w:t>
      </w:r>
      <w:r w:rsidRPr="00DA78FB">
        <w:rPr>
          <w:lang w:val="de-DE"/>
        </w:rPr>
        <w:t>.</w:t>
      </w:r>
      <w:r w:rsidRPr="00DA78FB">
        <w:rPr>
          <w:spacing w:val="-2"/>
          <w:lang w:val="de-DE"/>
        </w:rPr>
        <w:t>.</w:t>
      </w:r>
      <w:r w:rsidRPr="00DA78FB">
        <w:rPr>
          <w:spacing w:val="1"/>
          <w:lang w:val="de-DE"/>
        </w:rPr>
        <w:t>.</w:t>
      </w:r>
      <w:r w:rsidRPr="00DA78FB">
        <w:rPr>
          <w:spacing w:val="-2"/>
          <w:lang w:val="de-DE"/>
        </w:rPr>
        <w:t>.</w:t>
      </w:r>
      <w:r w:rsidRPr="00DA78FB">
        <w:rPr>
          <w:spacing w:val="1"/>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spacing w:val="1"/>
          <w:lang w:val="de-DE"/>
        </w:rPr>
        <w:t>.</w:t>
      </w:r>
      <w:r w:rsidRPr="00DA78FB">
        <w:rPr>
          <w:spacing w:val="-2"/>
          <w:lang w:val="de-DE"/>
        </w:rPr>
        <w:t>.</w:t>
      </w:r>
      <w:r w:rsidRPr="00DA78FB">
        <w:rPr>
          <w:lang w:val="de-DE"/>
        </w:rPr>
        <w:t>.</w:t>
      </w:r>
      <w:r w:rsidRPr="00DA78FB">
        <w:rPr>
          <w:spacing w:val="-2"/>
          <w:lang w:val="de-DE"/>
        </w:rPr>
        <w:t>.</w:t>
      </w:r>
      <w:r w:rsidRPr="00DA78FB">
        <w:rPr>
          <w:spacing w:val="1"/>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lang w:val="de-DE"/>
        </w:rPr>
        <w:t>.</w:t>
      </w:r>
      <w:r w:rsidRPr="00DA78FB">
        <w:rPr>
          <w:spacing w:val="-2"/>
          <w:lang w:val="de-DE"/>
        </w:rPr>
        <w:t>.</w:t>
      </w:r>
      <w:r w:rsidRPr="00DA78FB">
        <w:rPr>
          <w:spacing w:val="1"/>
          <w:lang w:val="de-DE"/>
        </w:rPr>
        <w:t>.</w:t>
      </w:r>
      <w:r w:rsidRPr="00DA78FB">
        <w:rPr>
          <w:spacing w:val="-2"/>
          <w:lang w:val="de-DE"/>
        </w:rPr>
        <w:t>.</w:t>
      </w:r>
      <w:r w:rsidRPr="00DA78FB">
        <w:rPr>
          <w:spacing w:val="1"/>
          <w:lang w:val="de-DE"/>
        </w:rPr>
        <w:t>.</w:t>
      </w:r>
      <w:r w:rsidRPr="00DA78FB">
        <w:rPr>
          <w:spacing w:val="-2"/>
          <w:lang w:val="de-DE"/>
        </w:rPr>
        <w:t>..</w:t>
      </w:r>
      <w:r w:rsidRPr="00DA78FB">
        <w:rPr>
          <w:lang w:val="de-DE"/>
        </w:rPr>
        <w:t>.</w:t>
      </w:r>
      <w:r w:rsidRPr="00DA78FB">
        <w:rPr>
          <w:spacing w:val="-2"/>
          <w:lang w:val="de-DE"/>
        </w:rPr>
        <w:t>.</w:t>
      </w:r>
    </w:p>
    <w:p w:rsidR="00DA78FB" w:rsidRDefault="00DA78FB" w:rsidP="00DA78FB">
      <w:pPr>
        <w:tabs>
          <w:tab w:val="left" w:pos="6958"/>
          <w:tab w:val="left" w:pos="7006"/>
          <w:tab w:val="left" w:pos="7226"/>
        </w:tabs>
        <w:spacing w:before="1" w:line="285" w:lineRule="auto"/>
        <w:ind w:left="4248" w:right="1069" w:firstLine="369"/>
        <w:rPr>
          <w:sz w:val="20"/>
          <w:lang w:val="de-DE"/>
        </w:rPr>
      </w:pPr>
      <w:r>
        <w:rPr>
          <w:sz w:val="20"/>
          <w:lang w:val="de-DE"/>
        </w:rPr>
        <w:t>(vypuštěno)</w:t>
      </w:r>
      <w:r w:rsidR="00E9192C" w:rsidRPr="00DA78FB">
        <w:rPr>
          <w:sz w:val="20"/>
          <w:lang w:val="de-DE"/>
        </w:rPr>
        <w:tab/>
      </w:r>
      <w:r w:rsidR="00E9192C" w:rsidRPr="00DA78FB">
        <w:rPr>
          <w:sz w:val="20"/>
          <w:lang w:val="de-DE"/>
        </w:rPr>
        <w:tab/>
      </w:r>
      <w:r w:rsidR="00E9192C" w:rsidRPr="00DA78FB">
        <w:rPr>
          <w:sz w:val="20"/>
          <w:lang w:val="de-DE"/>
        </w:rPr>
        <w:tab/>
      </w:r>
      <w:r>
        <w:rPr>
          <w:sz w:val="20"/>
          <w:lang w:val="de-DE"/>
        </w:rPr>
        <w:t>(vypuštěno)</w:t>
      </w:r>
    </w:p>
    <w:p w:rsidR="00123455" w:rsidRPr="00DA78FB" w:rsidRDefault="00E9192C" w:rsidP="00DA78FB">
      <w:pPr>
        <w:tabs>
          <w:tab w:val="left" w:pos="6958"/>
          <w:tab w:val="left" w:pos="7006"/>
          <w:tab w:val="left" w:pos="7226"/>
        </w:tabs>
        <w:spacing w:before="1" w:line="285" w:lineRule="auto"/>
        <w:ind w:left="4248" w:right="1069" w:firstLine="369"/>
        <w:rPr>
          <w:sz w:val="20"/>
          <w:lang w:val="de-DE"/>
        </w:rPr>
      </w:pPr>
      <w:r w:rsidRPr="00DA78FB">
        <w:rPr>
          <w:sz w:val="20"/>
          <w:lang w:val="de-DE"/>
        </w:rPr>
        <w:t>pojištění</w:t>
      </w:r>
      <w:r w:rsidRPr="00DA78FB">
        <w:rPr>
          <w:spacing w:val="-3"/>
          <w:sz w:val="20"/>
          <w:lang w:val="de-DE"/>
        </w:rPr>
        <w:t xml:space="preserve"> </w:t>
      </w:r>
      <w:r w:rsidRPr="00DA78FB">
        <w:rPr>
          <w:sz w:val="20"/>
          <w:lang w:val="de-DE"/>
        </w:rPr>
        <w:t>korporátního</w:t>
      </w:r>
      <w:r w:rsidRPr="00DA78FB">
        <w:rPr>
          <w:sz w:val="20"/>
          <w:lang w:val="de-DE"/>
        </w:rPr>
        <w:tab/>
      </w:r>
      <w:r w:rsidRPr="00DA78FB">
        <w:rPr>
          <w:sz w:val="20"/>
          <w:lang w:val="de-DE"/>
        </w:rPr>
        <w:tab/>
        <w:t>pojištění</w:t>
      </w:r>
      <w:r w:rsidRPr="00DA78FB">
        <w:rPr>
          <w:spacing w:val="-2"/>
          <w:sz w:val="20"/>
          <w:lang w:val="de-DE"/>
        </w:rPr>
        <w:t xml:space="preserve"> </w:t>
      </w:r>
      <w:r w:rsidRPr="00DA78FB">
        <w:rPr>
          <w:sz w:val="20"/>
          <w:lang w:val="de-DE"/>
        </w:rPr>
        <w:t>korporátního</w:t>
      </w:r>
      <w:r w:rsidRPr="00DA78FB">
        <w:rPr>
          <w:w w:val="99"/>
          <w:sz w:val="20"/>
          <w:lang w:val="de-DE"/>
        </w:rPr>
        <w:t xml:space="preserve"> </w:t>
      </w:r>
      <w:r w:rsidRPr="00DA78FB">
        <w:rPr>
          <w:sz w:val="20"/>
          <w:lang w:val="de-DE"/>
        </w:rPr>
        <w:t>majetku a</w:t>
      </w:r>
      <w:r w:rsidRPr="00DA78FB">
        <w:rPr>
          <w:spacing w:val="-4"/>
          <w:sz w:val="20"/>
          <w:lang w:val="de-DE"/>
        </w:rPr>
        <w:t xml:space="preserve"> </w:t>
      </w:r>
      <w:r w:rsidRPr="00DA78FB">
        <w:rPr>
          <w:sz w:val="20"/>
          <w:lang w:val="de-DE"/>
        </w:rPr>
        <w:t>technických</w:t>
      </w:r>
      <w:r w:rsidRPr="00DA78FB">
        <w:rPr>
          <w:spacing w:val="-3"/>
          <w:sz w:val="20"/>
          <w:lang w:val="de-DE"/>
        </w:rPr>
        <w:t xml:space="preserve"> </w:t>
      </w:r>
      <w:r w:rsidRPr="00DA78FB">
        <w:rPr>
          <w:sz w:val="20"/>
          <w:lang w:val="de-DE"/>
        </w:rPr>
        <w:t>rizik</w:t>
      </w:r>
      <w:r w:rsidRPr="00DA78FB">
        <w:rPr>
          <w:sz w:val="20"/>
          <w:lang w:val="de-DE"/>
        </w:rPr>
        <w:tab/>
        <w:t>majetku a</w:t>
      </w:r>
      <w:r w:rsidRPr="00DA78FB">
        <w:rPr>
          <w:spacing w:val="-3"/>
          <w:sz w:val="20"/>
          <w:lang w:val="de-DE"/>
        </w:rPr>
        <w:t xml:space="preserve"> </w:t>
      </w:r>
      <w:r w:rsidRPr="00DA78FB">
        <w:rPr>
          <w:sz w:val="20"/>
          <w:lang w:val="de-DE"/>
        </w:rPr>
        <w:t>technických</w:t>
      </w:r>
      <w:r w:rsidRPr="00DA78FB">
        <w:rPr>
          <w:spacing w:val="-2"/>
          <w:sz w:val="20"/>
          <w:lang w:val="de-DE"/>
        </w:rPr>
        <w:t xml:space="preserve"> </w:t>
      </w:r>
      <w:r w:rsidRPr="00DA78FB">
        <w:rPr>
          <w:sz w:val="20"/>
          <w:lang w:val="de-DE"/>
        </w:rPr>
        <w:t>rizik</w:t>
      </w:r>
      <w:r w:rsidRPr="00DA78FB">
        <w:rPr>
          <w:w w:val="99"/>
          <w:sz w:val="20"/>
          <w:lang w:val="de-DE"/>
        </w:rPr>
        <w:t xml:space="preserve"> </w:t>
      </w:r>
      <w:r w:rsidRPr="00DA78FB">
        <w:rPr>
          <w:sz w:val="20"/>
          <w:lang w:val="de-DE"/>
        </w:rPr>
        <w:t>senior upisovatel</w:t>
      </w:r>
      <w:r w:rsidRPr="00DA78FB">
        <w:rPr>
          <w:spacing w:val="-6"/>
          <w:sz w:val="20"/>
          <w:lang w:val="de-DE"/>
        </w:rPr>
        <w:t xml:space="preserve"> </w:t>
      </w:r>
      <w:r w:rsidRPr="00DA78FB">
        <w:rPr>
          <w:sz w:val="20"/>
          <w:lang w:val="de-DE"/>
        </w:rPr>
        <w:t>-</w:t>
      </w:r>
      <w:r w:rsidRPr="00DA78FB">
        <w:rPr>
          <w:spacing w:val="-3"/>
          <w:sz w:val="20"/>
          <w:lang w:val="de-DE"/>
        </w:rPr>
        <w:t xml:space="preserve"> </w:t>
      </w:r>
      <w:r w:rsidRPr="00DA78FB">
        <w:rPr>
          <w:sz w:val="20"/>
          <w:lang w:val="de-DE"/>
        </w:rPr>
        <w:t>majetek</w:t>
      </w:r>
      <w:r w:rsidRPr="00DA78FB">
        <w:rPr>
          <w:sz w:val="20"/>
          <w:lang w:val="de-DE"/>
        </w:rPr>
        <w:tab/>
        <w:t>hlavní upisovatel -</w:t>
      </w:r>
      <w:r w:rsidRPr="00DA78FB">
        <w:rPr>
          <w:spacing w:val="-5"/>
          <w:sz w:val="20"/>
          <w:lang w:val="de-DE"/>
        </w:rPr>
        <w:t xml:space="preserve"> </w:t>
      </w:r>
      <w:r w:rsidRPr="00DA78FB">
        <w:rPr>
          <w:sz w:val="20"/>
          <w:lang w:val="de-DE"/>
        </w:rPr>
        <w:t>majetek</w:t>
      </w:r>
    </w:p>
    <w:p w:rsidR="00123455" w:rsidRPr="00DA78FB" w:rsidRDefault="00123455">
      <w:pPr>
        <w:pStyle w:val="Zkladntext"/>
        <w:spacing w:before="5"/>
        <w:rPr>
          <w:sz w:val="23"/>
          <w:lang w:val="de-DE"/>
        </w:rPr>
      </w:pPr>
    </w:p>
    <w:p w:rsidR="00123455" w:rsidRDefault="00E9192C">
      <w:pPr>
        <w:pStyle w:val="Zkladntext"/>
        <w:spacing w:before="1" w:line="288" w:lineRule="auto"/>
        <w:ind w:left="112" w:right="101"/>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rsidR="00123455" w:rsidRDefault="00E9192C">
      <w:pPr>
        <w:pStyle w:val="Zkladntext"/>
        <w:spacing w:line="288" w:lineRule="auto"/>
        <w:ind w:left="112" w:right="104" w:firstLine="307"/>
        <w:jc w:val="both"/>
      </w:pPr>
      <w:r>
        <w:t xml:space="preserve">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w:t>
      </w:r>
      <w:r>
        <w:rPr>
          <w:spacing w:val="15"/>
        </w:rPr>
        <w:t xml:space="preserve"> </w:t>
      </w:r>
      <w:r>
        <w:t>pojištěné,</w:t>
      </w:r>
    </w:p>
    <w:p w:rsidR="00123455" w:rsidRDefault="00123455">
      <w:pPr>
        <w:spacing w:line="288" w:lineRule="auto"/>
        <w:jc w:val="both"/>
        <w:sectPr w:rsidR="00123455">
          <w:type w:val="continuous"/>
          <w:pgSz w:w="11920" w:h="16840"/>
          <w:pgMar w:top="3120" w:right="740" w:bottom="1980" w:left="740" w:header="720" w:footer="720" w:gutter="0"/>
          <w:cols w:space="720"/>
        </w:sectPr>
      </w:pPr>
    </w:p>
    <w:p w:rsidR="00123455" w:rsidRDefault="00E9192C">
      <w:pPr>
        <w:pStyle w:val="Zkladntext"/>
        <w:spacing w:before="178" w:line="288" w:lineRule="auto"/>
        <w:ind w:left="112" w:right="103"/>
        <w:jc w:val="both"/>
      </w:pPr>
      <w:r>
        <w:t>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w:t>
      </w:r>
      <w:r>
        <w:rPr>
          <w:spacing w:val="-14"/>
        </w:rPr>
        <w:t xml:space="preserve"> </w:t>
      </w:r>
      <w:r>
        <w:t>způsobem.</w:t>
      </w:r>
    </w:p>
    <w:p w:rsidR="00123455" w:rsidRDefault="00E9192C">
      <w:pPr>
        <w:pStyle w:val="Zkladntext"/>
        <w:spacing w:line="288" w:lineRule="auto"/>
        <w:ind w:left="112" w:right="109"/>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rsidR="00123455" w:rsidRDefault="00E9192C">
      <w:pPr>
        <w:pStyle w:val="Zkladntext"/>
        <w:spacing w:line="288" w:lineRule="auto"/>
        <w:ind w:left="112" w:right="108"/>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rsidR="00123455" w:rsidRDefault="00123455">
      <w:pPr>
        <w:pStyle w:val="Zkladntext"/>
        <w:spacing w:before="2"/>
      </w:pPr>
    </w:p>
    <w:p w:rsidR="00123455" w:rsidRDefault="00E9192C">
      <w:pPr>
        <w:pStyle w:val="Zkladntext"/>
        <w:spacing w:line="288" w:lineRule="auto"/>
        <w:ind w:left="112" w:right="102"/>
        <w:jc w:val="both"/>
      </w:pPr>
      <w:r>
        <w:t>Pojistník prohlašuje, že je povinným subjektem ve smyslu zákona č. 340/2015 Sb., o registru smluv (dále jen „povinný subjekt“), a tedy že pojistná smlouva č. 2730325699, resp. dodatek k této pojistné smlouvě (dále jen „smlouva“) podléhá povinnosti uveřejnění v registru smluv ve smyslu zákona č. 340/2015 Sb., o registru smluv (dále jen „registr smluv“).</w:t>
      </w:r>
    </w:p>
    <w:p w:rsidR="00123455" w:rsidRDefault="00E9192C">
      <w:pPr>
        <w:pStyle w:val="Zkladntext"/>
        <w:spacing w:line="288" w:lineRule="auto"/>
        <w:ind w:left="112" w:right="105"/>
        <w:jc w:val="both"/>
      </w:pPr>
      <w:r>
        <w:t>Pojistník bere na vědomí, že pokud se výše uvedené prohlášení nezakládá na pravdě, odpovídá společnosti UNIQA pojišťovna, a. s. (dále jen „UNIQA“) za škodu, která UNIQA v důsledku tohoto nepravdivého prohlášení vznikne.</w:t>
      </w:r>
    </w:p>
    <w:p w:rsidR="00123455" w:rsidRDefault="00E9192C">
      <w:pPr>
        <w:pStyle w:val="Zkladntext"/>
        <w:spacing w:before="2" w:line="288" w:lineRule="auto"/>
        <w:ind w:left="112" w:right="102"/>
        <w:jc w:val="both"/>
      </w:pPr>
      <w:r>
        <w:t>Pojistník se jako povinný subjekt tímto zavazuje k uveřejnění smlouvy v registru smluv, a to ve lhůtě 30 dní od data uzavření smlouvy. Pojistník je povinen bezodkladně informovat pojistitele o zaslání smlouvy správci registru smluv zprávou do datové schránky ID: andcicx. Pojistník se dále zavazuje, že před zasláním smlouvy k uveřejnění zajistí znečitelnění neuveřejnitelných informací (např. osobních údajů o fyzických osobách).</w:t>
      </w:r>
    </w:p>
    <w:p w:rsidR="00123455" w:rsidRDefault="00123455">
      <w:pPr>
        <w:pStyle w:val="Zkladntext"/>
        <w:spacing w:before="5"/>
        <w:rPr>
          <w:sz w:val="26"/>
        </w:rPr>
      </w:pPr>
    </w:p>
    <w:p w:rsidR="00123455" w:rsidRDefault="00E9192C">
      <w:pPr>
        <w:pStyle w:val="Zkladntext"/>
        <w:spacing w:line="288" w:lineRule="auto"/>
        <w:ind w:left="112" w:right="105"/>
        <w:jc w:val="both"/>
      </w:pPr>
      <w:r>
        <w:t>Pojistník bere na vědomí, že UNIQA je oprávněna smlouvu rovněž zveřejnit (aniž by tímto byla dotčena sjednaná povinnost pojistníka ke zveřejnění smlouvy). V případě, že smlouva bude uveřejněna v registru smluv přímo UNIQA, pojistník výslovně prohlašuje, že nepovažuje toto uveřejnění za porušení povinnosti mlčenlivosti dle § 127 zákona č. 277/2009 Sb., o pojišťovnictví.</w:t>
      </w:r>
    </w:p>
    <w:p w:rsidR="00123455" w:rsidRDefault="00E9192C">
      <w:pPr>
        <w:pStyle w:val="Zkladntext"/>
        <w:spacing w:before="2" w:line="288" w:lineRule="auto"/>
        <w:ind w:left="112" w:right="101"/>
        <w:jc w:val="both"/>
      </w:pPr>
      <w:r>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w:t>
      </w:r>
      <w:r>
        <w:rPr>
          <w:spacing w:val="-14"/>
        </w:rPr>
        <w:t xml:space="preserve"> </w:t>
      </w:r>
      <w:r>
        <w:t>nastala.</w:t>
      </w:r>
    </w:p>
    <w:p w:rsidR="00123455" w:rsidRDefault="00123455">
      <w:pPr>
        <w:spacing w:line="288" w:lineRule="auto"/>
        <w:jc w:val="both"/>
        <w:sectPr w:rsidR="00123455">
          <w:pgSz w:w="11920" w:h="16840"/>
          <w:pgMar w:top="3120" w:right="740" w:bottom="1980" w:left="740" w:header="1798" w:footer="1785" w:gutter="0"/>
          <w:cols w:space="720"/>
        </w:sectPr>
      </w:pPr>
    </w:p>
    <w:p w:rsidR="00123455" w:rsidRDefault="00123455">
      <w:pPr>
        <w:pStyle w:val="Zkladntext"/>
        <w:rPr>
          <w:sz w:val="20"/>
        </w:rPr>
      </w:pPr>
    </w:p>
    <w:p w:rsidR="00123455" w:rsidRDefault="00123455">
      <w:pPr>
        <w:pStyle w:val="Zkladntext"/>
        <w:rPr>
          <w:sz w:val="20"/>
        </w:rPr>
      </w:pPr>
    </w:p>
    <w:p w:rsidR="00123455" w:rsidRDefault="00123455">
      <w:pPr>
        <w:pStyle w:val="Zkladntext"/>
        <w:rPr>
          <w:sz w:val="20"/>
        </w:rPr>
      </w:pPr>
    </w:p>
    <w:p w:rsidR="00123455" w:rsidRDefault="00123455">
      <w:pPr>
        <w:pStyle w:val="Zkladntext"/>
        <w:spacing w:before="7"/>
        <w:rPr>
          <w:sz w:val="26"/>
        </w:rPr>
      </w:pPr>
    </w:p>
    <w:p w:rsidR="00123455" w:rsidRPr="00DA78FB" w:rsidRDefault="00E9192C">
      <w:pPr>
        <w:pStyle w:val="Zkladntext"/>
        <w:tabs>
          <w:tab w:val="left" w:pos="5827"/>
        </w:tabs>
        <w:spacing w:before="94"/>
        <w:ind w:left="112"/>
        <w:rPr>
          <w:lang w:val="de-DE"/>
        </w:rPr>
      </w:pPr>
      <w:r w:rsidRPr="00DA78FB">
        <w:rPr>
          <w:lang w:val="de-DE"/>
        </w:rPr>
        <w:t>V Praze, dne (viz</w:t>
      </w:r>
      <w:r w:rsidRPr="00DA78FB">
        <w:rPr>
          <w:spacing w:val="-6"/>
          <w:lang w:val="de-DE"/>
        </w:rPr>
        <w:t xml:space="preserve"> </w:t>
      </w:r>
      <w:r w:rsidRPr="00DA78FB">
        <w:rPr>
          <w:lang w:val="de-DE"/>
        </w:rPr>
        <w:t>elektronický podpis)</w:t>
      </w:r>
      <w:r w:rsidRPr="00DA78FB">
        <w:rPr>
          <w:lang w:val="de-DE"/>
        </w:rPr>
        <w:tab/>
        <w:t>.............................................................</w:t>
      </w:r>
    </w:p>
    <w:p w:rsidR="00123455" w:rsidRPr="00DA78FB" w:rsidRDefault="00E9192C">
      <w:pPr>
        <w:spacing w:before="48"/>
        <w:ind w:left="5873" w:right="1091"/>
        <w:rPr>
          <w:sz w:val="20"/>
          <w:lang w:val="de-DE"/>
        </w:rPr>
      </w:pPr>
      <w:r w:rsidRPr="00DA78FB">
        <w:rPr>
          <w:sz w:val="20"/>
          <w:lang w:val="de-DE"/>
        </w:rPr>
        <w:t>podpis pojistníka a pojištěného (Fyzikální ústav AV ČR, v.v.i.)</w:t>
      </w:r>
    </w:p>
    <w:p w:rsidR="00123455" w:rsidRPr="00DA78FB" w:rsidRDefault="00123455">
      <w:pPr>
        <w:pStyle w:val="Zkladntext"/>
        <w:rPr>
          <w:lang w:val="de-DE"/>
        </w:rPr>
      </w:pPr>
    </w:p>
    <w:p w:rsidR="00123455" w:rsidRPr="00DA78FB" w:rsidRDefault="00123455">
      <w:pPr>
        <w:pStyle w:val="Zkladntext"/>
        <w:rPr>
          <w:lang w:val="de-DE"/>
        </w:rPr>
      </w:pPr>
    </w:p>
    <w:p w:rsidR="00123455" w:rsidRPr="00DA78FB" w:rsidRDefault="00123455">
      <w:pPr>
        <w:pStyle w:val="Zkladntext"/>
        <w:rPr>
          <w:lang w:val="de-DE"/>
        </w:rPr>
      </w:pPr>
    </w:p>
    <w:p w:rsidR="00123455" w:rsidRPr="00DA78FB" w:rsidRDefault="00123455">
      <w:pPr>
        <w:pStyle w:val="Zkladntext"/>
        <w:rPr>
          <w:lang w:val="de-DE"/>
        </w:rPr>
      </w:pPr>
    </w:p>
    <w:p w:rsidR="00123455" w:rsidRPr="00DA78FB" w:rsidRDefault="00123455">
      <w:pPr>
        <w:pStyle w:val="Zkladntext"/>
        <w:rPr>
          <w:lang w:val="de-DE"/>
        </w:rPr>
      </w:pPr>
    </w:p>
    <w:p w:rsidR="00123455" w:rsidRPr="00DA78FB" w:rsidRDefault="00E9192C">
      <w:pPr>
        <w:pStyle w:val="Zkladntext"/>
        <w:tabs>
          <w:tab w:val="left" w:pos="5873"/>
        </w:tabs>
        <w:ind w:left="112"/>
        <w:rPr>
          <w:lang w:val="de-DE"/>
        </w:rPr>
      </w:pPr>
      <w:r w:rsidRPr="00DA78FB">
        <w:rPr>
          <w:lang w:val="de-DE"/>
        </w:rPr>
        <w:t>V Dolních Břežanech, dne (viz</w:t>
      </w:r>
      <w:r w:rsidRPr="00DA78FB">
        <w:rPr>
          <w:spacing w:val="-7"/>
          <w:lang w:val="de-DE"/>
        </w:rPr>
        <w:t xml:space="preserve"> </w:t>
      </w:r>
      <w:r w:rsidRPr="00DA78FB">
        <w:rPr>
          <w:lang w:val="de-DE"/>
        </w:rPr>
        <w:t>elektronický</w:t>
      </w:r>
      <w:r w:rsidRPr="00DA78FB">
        <w:rPr>
          <w:spacing w:val="-3"/>
          <w:lang w:val="de-DE"/>
        </w:rPr>
        <w:t xml:space="preserve"> </w:t>
      </w:r>
      <w:r w:rsidRPr="00DA78FB">
        <w:rPr>
          <w:lang w:val="de-DE"/>
        </w:rPr>
        <w:t>podpis)</w:t>
      </w:r>
      <w:r w:rsidRPr="00DA78FB">
        <w:rPr>
          <w:lang w:val="de-DE"/>
        </w:rPr>
        <w:tab/>
        <w:t>.............................................................</w:t>
      </w:r>
    </w:p>
    <w:p w:rsidR="00123455" w:rsidRPr="00DA78FB" w:rsidRDefault="00E9192C">
      <w:pPr>
        <w:spacing w:before="48"/>
        <w:ind w:left="5873"/>
        <w:rPr>
          <w:sz w:val="20"/>
          <w:lang w:val="de-DE"/>
        </w:rPr>
      </w:pPr>
      <w:r w:rsidRPr="00DA78FB">
        <w:rPr>
          <w:sz w:val="20"/>
          <w:lang w:val="de-DE"/>
        </w:rPr>
        <w:t>podpis pojištěného</w:t>
      </w:r>
    </w:p>
    <w:p w:rsidR="00123455" w:rsidRPr="00DA78FB" w:rsidRDefault="00E9192C">
      <w:pPr>
        <w:ind w:left="5873"/>
        <w:rPr>
          <w:sz w:val="20"/>
          <w:lang w:val="de-DE"/>
        </w:rPr>
      </w:pPr>
      <w:r w:rsidRPr="00DA78FB">
        <w:rPr>
          <w:sz w:val="20"/>
          <w:lang w:val="de-DE"/>
        </w:rPr>
        <w:t>(Extreme Light Infrastructure ERIC )</w:t>
      </w:r>
    </w:p>
    <w:p w:rsidR="00123455" w:rsidRPr="00DA78FB" w:rsidRDefault="00123455">
      <w:pPr>
        <w:pStyle w:val="Zkladntext"/>
        <w:rPr>
          <w:lang w:val="de-DE"/>
        </w:rPr>
      </w:pPr>
    </w:p>
    <w:p w:rsidR="00123455" w:rsidRPr="00DA78FB" w:rsidRDefault="00123455">
      <w:pPr>
        <w:pStyle w:val="Zkladntext"/>
        <w:rPr>
          <w:lang w:val="de-DE"/>
        </w:rPr>
      </w:pPr>
    </w:p>
    <w:p w:rsidR="00123455" w:rsidRPr="00DA78FB" w:rsidRDefault="00123455">
      <w:pPr>
        <w:pStyle w:val="Zkladntext"/>
        <w:rPr>
          <w:lang w:val="de-DE"/>
        </w:rPr>
      </w:pPr>
    </w:p>
    <w:p w:rsidR="00123455" w:rsidRPr="00DA78FB" w:rsidRDefault="00E9192C" w:rsidP="00DA78FB">
      <w:pPr>
        <w:tabs>
          <w:tab w:val="left" w:pos="1552"/>
        </w:tabs>
        <w:spacing w:line="252" w:lineRule="exact"/>
        <w:ind w:left="112"/>
        <w:rPr>
          <w:lang w:val="de-DE"/>
        </w:rPr>
      </w:pPr>
      <w:r w:rsidRPr="00DA78FB">
        <w:rPr>
          <w:b/>
          <w:lang w:val="de-DE"/>
        </w:rPr>
        <w:t>Zpracoval:</w:t>
      </w:r>
      <w:r w:rsidRPr="00DA78FB">
        <w:rPr>
          <w:b/>
          <w:lang w:val="de-DE"/>
        </w:rPr>
        <w:tab/>
      </w:r>
      <w:r w:rsidR="00DA78FB">
        <w:rPr>
          <w:sz w:val="20"/>
          <w:lang w:val="de-DE"/>
        </w:rPr>
        <w:t>(vypuštěno)</w:t>
      </w:r>
    </w:p>
    <w:p w:rsidR="00123455" w:rsidRDefault="00DA78FB" w:rsidP="00DA78FB">
      <w:pPr>
        <w:pStyle w:val="Zkladntext"/>
        <w:spacing w:line="252" w:lineRule="exact"/>
        <w:ind w:left="1521"/>
      </w:pPr>
      <w:r>
        <w:rPr>
          <w:sz w:val="20"/>
          <w:lang w:val="de-DE"/>
        </w:rPr>
        <w:t>(vypuštěno)</w:t>
      </w:r>
    </w:p>
    <w:sectPr w:rsidR="00123455">
      <w:pgSz w:w="11920" w:h="16840"/>
      <w:pgMar w:top="3120" w:right="1460" w:bottom="1980" w:left="740" w:header="1798" w:footer="1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2C" w:rsidRDefault="00E9192C">
      <w:r>
        <w:separator/>
      </w:r>
    </w:p>
  </w:endnote>
  <w:endnote w:type="continuationSeparator" w:id="0">
    <w:p w:rsidR="00E9192C" w:rsidRDefault="00E9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55" w:rsidRDefault="00DA78FB">
    <w:pPr>
      <w:pStyle w:val="Zkladntext"/>
      <w:spacing w:line="14" w:lineRule="auto"/>
      <w:rPr>
        <w:sz w:val="20"/>
      </w:rPr>
    </w:pPr>
    <w:r>
      <w:rPr>
        <w:noProof/>
        <w:lang w:val="cs-CZ" w:eastAsia="cs-CZ"/>
      </w:rPr>
      <mc:AlternateContent>
        <mc:Choice Requires="wps">
          <w:drawing>
            <wp:anchor distT="0" distB="0" distL="114300" distR="114300" simplePos="0" relativeHeight="503284256" behindDoc="1" locked="0" layoutInCell="1" allowOverlap="1">
              <wp:simplePos x="0" y="0"/>
              <wp:positionH relativeFrom="page">
                <wp:posOffset>2941320</wp:posOffset>
              </wp:positionH>
              <wp:positionV relativeFrom="page">
                <wp:posOffset>9414510</wp:posOffset>
              </wp:positionV>
              <wp:extent cx="1684020" cy="299720"/>
              <wp:effectExtent l="0" t="3810" r="381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455" w:rsidRDefault="00E9192C">
                          <w:pPr>
                            <w:spacing w:before="14"/>
                            <w:ind w:left="2"/>
                            <w:jc w:val="center"/>
                            <w:rPr>
                              <w:sz w:val="18"/>
                            </w:rPr>
                          </w:pPr>
                          <w:r>
                            <w:rPr>
                              <w:sz w:val="18"/>
                            </w:rPr>
                            <w:t xml:space="preserve">Strana </w:t>
                          </w:r>
                          <w:r>
                            <w:fldChar w:fldCharType="begin"/>
                          </w:r>
                          <w:r>
                            <w:rPr>
                              <w:sz w:val="18"/>
                            </w:rPr>
                            <w:instrText xml:space="preserve"> PAGE </w:instrText>
                          </w:r>
                          <w:r>
                            <w:fldChar w:fldCharType="separate"/>
                          </w:r>
                          <w:r w:rsidR="0092558B">
                            <w:rPr>
                              <w:noProof/>
                              <w:sz w:val="18"/>
                            </w:rPr>
                            <w:t>4</w:t>
                          </w:r>
                          <w:r>
                            <w:fldChar w:fldCharType="end"/>
                          </w:r>
                          <w:r>
                            <w:rPr>
                              <w:sz w:val="18"/>
                            </w:rPr>
                            <w:t xml:space="preserve"> (celkem 27)</w:t>
                          </w:r>
                        </w:p>
                        <w:p w:rsidR="00123455" w:rsidRDefault="00E9192C">
                          <w:pPr>
                            <w:jc w:val="center"/>
                            <w:rPr>
                              <w:rFonts w:ascii="Times New Roman" w:hAnsi="Times New Roman"/>
                              <w:sz w:val="20"/>
                            </w:rPr>
                          </w:pPr>
                          <w:r>
                            <w:rPr>
                              <w:rFonts w:ascii="Times New Roman" w:hAnsi="Times New Roman"/>
                              <w:sz w:val="20"/>
                            </w:rPr>
                            <w:t>Pojistná smlouva č. 2738325794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31.6pt;margin-top:741.3pt;width:132.6pt;height:23.6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kwqg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" filled="f" stroked="f">
              <v:textbox inset="0,0,0,0">
                <w:txbxContent>
                  <w:p w:rsidR="00123455" w:rsidRDefault="00E9192C">
                    <w:pPr>
                      <w:spacing w:before="14"/>
                      <w:ind w:left="2"/>
                      <w:jc w:val="center"/>
                      <w:rPr>
                        <w:sz w:val="18"/>
                      </w:rPr>
                    </w:pPr>
                    <w:r>
                      <w:rPr>
                        <w:sz w:val="18"/>
                      </w:rPr>
                      <w:t xml:space="preserve">Strana </w:t>
                    </w:r>
                    <w:r>
                      <w:fldChar w:fldCharType="begin"/>
                    </w:r>
                    <w:r>
                      <w:rPr>
                        <w:sz w:val="18"/>
                      </w:rPr>
                      <w:instrText xml:space="preserve"> PAGE </w:instrText>
                    </w:r>
                    <w:r>
                      <w:fldChar w:fldCharType="separate"/>
                    </w:r>
                    <w:r w:rsidR="0092558B">
                      <w:rPr>
                        <w:noProof/>
                        <w:sz w:val="18"/>
                      </w:rPr>
                      <w:t>4</w:t>
                    </w:r>
                    <w:r>
                      <w:fldChar w:fldCharType="end"/>
                    </w:r>
                    <w:r>
                      <w:rPr>
                        <w:sz w:val="18"/>
                      </w:rPr>
                      <w:t xml:space="preserve"> (celkem 27)</w:t>
                    </w:r>
                  </w:p>
                  <w:p w:rsidR="00123455" w:rsidRDefault="00E9192C">
                    <w:pPr>
                      <w:jc w:val="center"/>
                      <w:rPr>
                        <w:rFonts w:ascii="Times New Roman" w:hAnsi="Times New Roman"/>
                        <w:sz w:val="20"/>
                      </w:rPr>
                    </w:pPr>
                    <w:r>
                      <w:rPr>
                        <w:rFonts w:ascii="Times New Roman" w:hAnsi="Times New Roman"/>
                        <w:sz w:val="20"/>
                      </w:rPr>
                      <w:t>Pojistná smlouva č. 2738325794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2C" w:rsidRDefault="00E9192C">
      <w:r>
        <w:separator/>
      </w:r>
    </w:p>
  </w:footnote>
  <w:footnote w:type="continuationSeparator" w:id="0">
    <w:p w:rsidR="00E9192C" w:rsidRDefault="00E9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55" w:rsidRDefault="00E9192C">
    <w:pPr>
      <w:pStyle w:val="Zkladntext"/>
      <w:spacing w:line="14" w:lineRule="auto"/>
      <w:rPr>
        <w:sz w:val="20"/>
      </w:rPr>
    </w:pPr>
    <w:r>
      <w:rPr>
        <w:noProof/>
        <w:lang w:val="cs-CZ" w:eastAsia="cs-CZ"/>
      </w:rPr>
      <w:drawing>
        <wp:anchor distT="0" distB="0" distL="0" distR="0" simplePos="0" relativeHeight="268403207" behindDoc="1" locked="0" layoutInCell="1" allowOverlap="1">
          <wp:simplePos x="0" y="0"/>
          <wp:positionH relativeFrom="page">
            <wp:posOffset>541019</wp:posOffset>
          </wp:positionH>
          <wp:positionV relativeFrom="page">
            <wp:posOffset>1141729</wp:posOffset>
          </wp:positionV>
          <wp:extent cx="861060" cy="8439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1060" cy="8439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55" w:rsidRDefault="00E9192C">
    <w:pPr>
      <w:pStyle w:val="Zkladntext"/>
      <w:spacing w:line="14" w:lineRule="auto"/>
      <w:rPr>
        <w:sz w:val="20"/>
      </w:rPr>
    </w:pPr>
    <w:r>
      <w:rPr>
        <w:noProof/>
        <w:lang w:val="cs-CZ" w:eastAsia="cs-CZ"/>
      </w:rPr>
      <w:drawing>
        <wp:anchor distT="0" distB="0" distL="0" distR="0" simplePos="0" relativeHeight="268403255" behindDoc="1" locked="0" layoutInCell="1" allowOverlap="1">
          <wp:simplePos x="0" y="0"/>
          <wp:positionH relativeFrom="page">
            <wp:posOffset>541019</wp:posOffset>
          </wp:positionH>
          <wp:positionV relativeFrom="page">
            <wp:posOffset>1141729</wp:posOffset>
          </wp:positionV>
          <wp:extent cx="861060" cy="84391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861060" cy="843915"/>
                  </a:xfrm>
                  <a:prstGeom prst="rect">
                    <a:avLst/>
                  </a:prstGeom>
                </pic:spPr>
              </pic:pic>
            </a:graphicData>
          </a:graphic>
        </wp:anchor>
      </w:drawing>
    </w:r>
    <w:r w:rsidR="00DA78FB">
      <w:rPr>
        <w:noProof/>
        <w:lang w:val="cs-CZ" w:eastAsia="cs-CZ"/>
      </w:rPr>
      <mc:AlternateContent>
        <mc:Choice Requires="wps">
          <w:drawing>
            <wp:anchor distT="0" distB="0" distL="114300" distR="114300" simplePos="0" relativeHeight="503284304" behindDoc="1" locked="0" layoutInCell="1" allowOverlap="1">
              <wp:simplePos x="0" y="0"/>
              <wp:positionH relativeFrom="page">
                <wp:posOffset>528320</wp:posOffset>
              </wp:positionH>
              <wp:positionV relativeFrom="page">
                <wp:posOffset>2090420</wp:posOffset>
              </wp:positionV>
              <wp:extent cx="1223010" cy="342265"/>
              <wp:effectExtent l="4445" t="4445"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455" w:rsidRDefault="00E9192C">
                          <w:pPr>
                            <w:pStyle w:val="Zkladntext"/>
                            <w:spacing w:before="13"/>
                            <w:ind w:left="20" w:right="2"/>
                          </w:pPr>
                          <w:r>
                            <w:t>Územní platnost Roční pojistné v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6pt;margin-top:164.6pt;width:96.3pt;height:26.95pt;z-index:-3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dmrwIAALA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" filled="f" stroked="f">
              <v:textbox inset="0,0,0,0">
                <w:txbxContent>
                  <w:p w:rsidR="00123455" w:rsidRDefault="00E9192C">
                    <w:pPr>
                      <w:pStyle w:val="Zkladntext"/>
                      <w:spacing w:before="13"/>
                      <w:ind w:left="20" w:right="2"/>
                    </w:pPr>
                    <w:r>
                      <w:t>Územní platnost Roční pojistné v Kč</w:t>
                    </w:r>
                  </w:p>
                </w:txbxContent>
              </v:textbox>
              <w10:wrap anchorx="page" anchory="page"/>
            </v:shape>
          </w:pict>
        </mc:Fallback>
      </mc:AlternateContent>
    </w:r>
    <w:r w:rsidR="00DA78FB">
      <w:rPr>
        <w:noProof/>
        <w:lang w:val="cs-CZ" w:eastAsia="cs-CZ"/>
      </w:rPr>
      <mc:AlternateContent>
        <mc:Choice Requires="wps">
          <w:drawing>
            <wp:anchor distT="0" distB="0" distL="114300" distR="114300" simplePos="0" relativeHeight="503284328" behindDoc="1" locked="0" layoutInCell="1" allowOverlap="1">
              <wp:simplePos x="0" y="0"/>
              <wp:positionH relativeFrom="page">
                <wp:posOffset>2867025</wp:posOffset>
              </wp:positionH>
              <wp:positionV relativeFrom="page">
                <wp:posOffset>2090420</wp:posOffset>
              </wp:positionV>
              <wp:extent cx="2519045" cy="342265"/>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455" w:rsidRDefault="00E9192C">
                          <w:pPr>
                            <w:pStyle w:val="Zkladntext"/>
                            <w:spacing w:before="13" w:line="252" w:lineRule="exact"/>
                            <w:ind w:left="24"/>
                          </w:pPr>
                          <w:r>
                            <w:t>Celý svět bez USA a Kanady</w:t>
                          </w:r>
                        </w:p>
                        <w:p w:rsidR="00123455" w:rsidRDefault="00E9192C">
                          <w:pPr>
                            <w:pStyle w:val="Zkladntext"/>
                            <w:spacing w:line="252" w:lineRule="exact"/>
                            <w:ind w:left="20"/>
                          </w:pPr>
                          <w:r>
                            <w:t>zahrnuto v pojistném za základní rozsah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25.75pt;margin-top:164.6pt;width:198.35pt;height:26.95pt;z-index:-3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1Yrw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" filled="f" stroked="f">
              <v:textbox inset="0,0,0,0">
                <w:txbxContent>
                  <w:p w:rsidR="00123455" w:rsidRDefault="00E9192C">
                    <w:pPr>
                      <w:pStyle w:val="Zkladntext"/>
                      <w:spacing w:before="13" w:line="252" w:lineRule="exact"/>
                      <w:ind w:left="24"/>
                    </w:pPr>
                    <w:r>
                      <w:t>Celý svět bez USA</w:t>
                    </w:r>
                    <w:r>
                      <w:t xml:space="preserve"> a Kanady</w:t>
                    </w:r>
                  </w:p>
                  <w:p w:rsidR="00123455" w:rsidRDefault="00E9192C">
                    <w:pPr>
                      <w:pStyle w:val="Zkladntext"/>
                      <w:spacing w:line="252" w:lineRule="exact"/>
                      <w:ind w:left="20"/>
                    </w:pPr>
                    <w:r>
                      <w:t>zahrnuto v pojistném za základní rozsah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55" w:rsidRDefault="00E9192C">
    <w:pPr>
      <w:pStyle w:val="Zkladntext"/>
      <w:spacing w:line="14" w:lineRule="auto"/>
      <w:rPr>
        <w:sz w:val="20"/>
      </w:rPr>
    </w:pPr>
    <w:r>
      <w:rPr>
        <w:noProof/>
        <w:lang w:val="cs-CZ" w:eastAsia="cs-CZ"/>
      </w:rPr>
      <w:drawing>
        <wp:anchor distT="0" distB="0" distL="0" distR="0" simplePos="0" relativeHeight="268403327" behindDoc="1" locked="0" layoutInCell="1" allowOverlap="1">
          <wp:simplePos x="0" y="0"/>
          <wp:positionH relativeFrom="page">
            <wp:posOffset>541019</wp:posOffset>
          </wp:positionH>
          <wp:positionV relativeFrom="page">
            <wp:posOffset>1141729</wp:posOffset>
          </wp:positionV>
          <wp:extent cx="861060" cy="84391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861060" cy="84391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55" w:rsidRDefault="00E9192C">
    <w:pPr>
      <w:pStyle w:val="Zkladntext"/>
      <w:spacing w:line="14" w:lineRule="auto"/>
      <w:rPr>
        <w:sz w:val="20"/>
      </w:rPr>
    </w:pPr>
    <w:r>
      <w:rPr>
        <w:noProof/>
        <w:lang w:val="cs-CZ" w:eastAsia="cs-CZ"/>
      </w:rPr>
      <w:drawing>
        <wp:anchor distT="0" distB="0" distL="0" distR="0" simplePos="0" relativeHeight="268403351" behindDoc="1" locked="0" layoutInCell="1" allowOverlap="1">
          <wp:simplePos x="0" y="0"/>
          <wp:positionH relativeFrom="page">
            <wp:posOffset>541019</wp:posOffset>
          </wp:positionH>
          <wp:positionV relativeFrom="page">
            <wp:posOffset>1141729</wp:posOffset>
          </wp:positionV>
          <wp:extent cx="861060" cy="84391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861060" cy="843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20A6"/>
    <w:multiLevelType w:val="hybridMultilevel"/>
    <w:tmpl w:val="7CBA65BE"/>
    <w:lvl w:ilvl="0" w:tplc="9402B7DC">
      <w:numFmt w:val="bullet"/>
      <w:lvlText w:val="▪"/>
      <w:lvlJc w:val="left"/>
      <w:pPr>
        <w:ind w:left="1540" w:hanging="360"/>
      </w:pPr>
      <w:rPr>
        <w:rFonts w:ascii="Microsoft Sans Serif" w:eastAsia="Microsoft Sans Serif" w:hAnsi="Microsoft Sans Serif" w:cs="Microsoft Sans Serif" w:hint="default"/>
        <w:color w:val="0A91D0"/>
        <w:w w:val="129"/>
        <w:sz w:val="22"/>
        <w:szCs w:val="22"/>
      </w:rPr>
    </w:lvl>
    <w:lvl w:ilvl="1" w:tplc="1AF6BD0C">
      <w:numFmt w:val="bullet"/>
      <w:lvlText w:val="•"/>
      <w:lvlJc w:val="left"/>
      <w:pPr>
        <w:ind w:left="2429" w:hanging="360"/>
      </w:pPr>
      <w:rPr>
        <w:rFonts w:hint="default"/>
      </w:rPr>
    </w:lvl>
    <w:lvl w:ilvl="2" w:tplc="F418DC2A">
      <w:numFmt w:val="bullet"/>
      <w:lvlText w:val="•"/>
      <w:lvlJc w:val="left"/>
      <w:pPr>
        <w:ind w:left="3318" w:hanging="360"/>
      </w:pPr>
      <w:rPr>
        <w:rFonts w:hint="default"/>
      </w:rPr>
    </w:lvl>
    <w:lvl w:ilvl="3" w:tplc="B3847EEE">
      <w:numFmt w:val="bullet"/>
      <w:lvlText w:val="•"/>
      <w:lvlJc w:val="left"/>
      <w:pPr>
        <w:ind w:left="4207" w:hanging="360"/>
      </w:pPr>
      <w:rPr>
        <w:rFonts w:hint="default"/>
      </w:rPr>
    </w:lvl>
    <w:lvl w:ilvl="4" w:tplc="148A30D2">
      <w:numFmt w:val="bullet"/>
      <w:lvlText w:val="•"/>
      <w:lvlJc w:val="left"/>
      <w:pPr>
        <w:ind w:left="5096" w:hanging="360"/>
      </w:pPr>
      <w:rPr>
        <w:rFonts w:hint="default"/>
      </w:rPr>
    </w:lvl>
    <w:lvl w:ilvl="5" w:tplc="54C0BB00">
      <w:numFmt w:val="bullet"/>
      <w:lvlText w:val="•"/>
      <w:lvlJc w:val="left"/>
      <w:pPr>
        <w:ind w:left="5985" w:hanging="360"/>
      </w:pPr>
      <w:rPr>
        <w:rFonts w:hint="default"/>
      </w:rPr>
    </w:lvl>
    <w:lvl w:ilvl="6" w:tplc="A61E5F0E">
      <w:numFmt w:val="bullet"/>
      <w:lvlText w:val="•"/>
      <w:lvlJc w:val="left"/>
      <w:pPr>
        <w:ind w:left="6874" w:hanging="360"/>
      </w:pPr>
      <w:rPr>
        <w:rFonts w:hint="default"/>
      </w:rPr>
    </w:lvl>
    <w:lvl w:ilvl="7" w:tplc="251060F8">
      <w:numFmt w:val="bullet"/>
      <w:lvlText w:val="•"/>
      <w:lvlJc w:val="left"/>
      <w:pPr>
        <w:ind w:left="7763" w:hanging="360"/>
      </w:pPr>
      <w:rPr>
        <w:rFonts w:hint="default"/>
      </w:rPr>
    </w:lvl>
    <w:lvl w:ilvl="8" w:tplc="78DC0794">
      <w:numFmt w:val="bullet"/>
      <w:lvlText w:val="•"/>
      <w:lvlJc w:val="left"/>
      <w:pPr>
        <w:ind w:left="8652" w:hanging="360"/>
      </w:pPr>
      <w:rPr>
        <w:rFonts w:hint="default"/>
      </w:rPr>
    </w:lvl>
  </w:abstractNum>
  <w:abstractNum w:abstractNumId="1" w15:restartNumberingAfterBreak="0">
    <w:nsid w:val="0AB208BE"/>
    <w:multiLevelType w:val="hybridMultilevel"/>
    <w:tmpl w:val="04D0FBCC"/>
    <w:lvl w:ilvl="0" w:tplc="5A4A62C8">
      <w:numFmt w:val="bullet"/>
      <w:lvlText w:val=""/>
      <w:lvlJc w:val="left"/>
      <w:pPr>
        <w:ind w:left="1531" w:hanging="360"/>
      </w:pPr>
      <w:rPr>
        <w:rFonts w:hint="default"/>
        <w:w w:val="100"/>
      </w:rPr>
    </w:lvl>
    <w:lvl w:ilvl="1" w:tplc="EFE84980">
      <w:numFmt w:val="bullet"/>
      <w:lvlText w:val="•"/>
      <w:lvlJc w:val="left"/>
      <w:pPr>
        <w:ind w:left="2260" w:hanging="360"/>
      </w:pPr>
      <w:rPr>
        <w:rFonts w:hint="default"/>
      </w:rPr>
    </w:lvl>
    <w:lvl w:ilvl="2" w:tplc="48347D2E">
      <w:numFmt w:val="bullet"/>
      <w:lvlText w:val="•"/>
      <w:lvlJc w:val="left"/>
      <w:pPr>
        <w:ind w:left="2752" w:hanging="360"/>
      </w:pPr>
      <w:rPr>
        <w:rFonts w:hint="default"/>
      </w:rPr>
    </w:lvl>
    <w:lvl w:ilvl="3" w:tplc="B50AB47A">
      <w:numFmt w:val="bullet"/>
      <w:lvlText w:val="•"/>
      <w:lvlJc w:val="left"/>
      <w:pPr>
        <w:ind w:left="3245" w:hanging="360"/>
      </w:pPr>
      <w:rPr>
        <w:rFonts w:hint="default"/>
      </w:rPr>
    </w:lvl>
    <w:lvl w:ilvl="4" w:tplc="53C2B468">
      <w:numFmt w:val="bullet"/>
      <w:lvlText w:val="•"/>
      <w:lvlJc w:val="left"/>
      <w:pPr>
        <w:ind w:left="3737" w:hanging="360"/>
      </w:pPr>
      <w:rPr>
        <w:rFonts w:hint="default"/>
      </w:rPr>
    </w:lvl>
    <w:lvl w:ilvl="5" w:tplc="A6D24C72">
      <w:numFmt w:val="bullet"/>
      <w:lvlText w:val="•"/>
      <w:lvlJc w:val="left"/>
      <w:pPr>
        <w:ind w:left="4230" w:hanging="360"/>
      </w:pPr>
      <w:rPr>
        <w:rFonts w:hint="default"/>
      </w:rPr>
    </w:lvl>
    <w:lvl w:ilvl="6" w:tplc="0E96E048">
      <w:numFmt w:val="bullet"/>
      <w:lvlText w:val="•"/>
      <w:lvlJc w:val="left"/>
      <w:pPr>
        <w:ind w:left="4722" w:hanging="360"/>
      </w:pPr>
      <w:rPr>
        <w:rFonts w:hint="default"/>
      </w:rPr>
    </w:lvl>
    <w:lvl w:ilvl="7" w:tplc="C6786220">
      <w:numFmt w:val="bullet"/>
      <w:lvlText w:val="•"/>
      <w:lvlJc w:val="left"/>
      <w:pPr>
        <w:ind w:left="5215" w:hanging="360"/>
      </w:pPr>
      <w:rPr>
        <w:rFonts w:hint="default"/>
      </w:rPr>
    </w:lvl>
    <w:lvl w:ilvl="8" w:tplc="CF465E98">
      <w:numFmt w:val="bullet"/>
      <w:lvlText w:val="•"/>
      <w:lvlJc w:val="left"/>
      <w:pPr>
        <w:ind w:left="5707" w:hanging="360"/>
      </w:pPr>
      <w:rPr>
        <w:rFonts w:hint="default"/>
      </w:rPr>
    </w:lvl>
  </w:abstractNum>
  <w:abstractNum w:abstractNumId="2" w15:restartNumberingAfterBreak="0">
    <w:nsid w:val="0F2E17E2"/>
    <w:multiLevelType w:val="multilevel"/>
    <w:tmpl w:val="C2EC826E"/>
    <w:lvl w:ilvl="0">
      <w:start w:val="1"/>
      <w:numFmt w:val="decimal"/>
      <w:lvlText w:val="%1."/>
      <w:lvlJc w:val="left"/>
      <w:pPr>
        <w:ind w:left="112" w:hanging="307"/>
        <w:jc w:val="left"/>
      </w:pPr>
      <w:rPr>
        <w:rFonts w:ascii="Arial" w:eastAsia="Arial" w:hAnsi="Arial" w:cs="Arial" w:hint="default"/>
        <w:w w:val="100"/>
        <w:sz w:val="22"/>
        <w:szCs w:val="22"/>
      </w:rPr>
    </w:lvl>
    <w:lvl w:ilvl="1">
      <w:start w:val="1"/>
      <w:numFmt w:val="decimal"/>
      <w:lvlText w:val="%1.%2."/>
      <w:lvlJc w:val="left"/>
      <w:pPr>
        <w:ind w:left="112" w:hanging="430"/>
        <w:jc w:val="left"/>
      </w:pPr>
      <w:rPr>
        <w:rFonts w:ascii="Arial" w:eastAsia="Arial" w:hAnsi="Arial" w:cs="Arial" w:hint="default"/>
        <w:w w:val="100"/>
        <w:sz w:val="22"/>
        <w:szCs w:val="22"/>
      </w:rPr>
    </w:lvl>
    <w:lvl w:ilvl="2">
      <w:numFmt w:val="bullet"/>
      <w:lvlText w:val="•"/>
      <w:lvlJc w:val="left"/>
      <w:pPr>
        <w:ind w:left="2182" w:hanging="430"/>
      </w:pPr>
      <w:rPr>
        <w:rFonts w:hint="default"/>
      </w:rPr>
    </w:lvl>
    <w:lvl w:ilvl="3">
      <w:numFmt w:val="bullet"/>
      <w:lvlText w:val="•"/>
      <w:lvlJc w:val="left"/>
      <w:pPr>
        <w:ind w:left="3213" w:hanging="430"/>
      </w:pPr>
      <w:rPr>
        <w:rFonts w:hint="default"/>
      </w:rPr>
    </w:lvl>
    <w:lvl w:ilvl="4">
      <w:numFmt w:val="bullet"/>
      <w:lvlText w:val="•"/>
      <w:lvlJc w:val="left"/>
      <w:pPr>
        <w:ind w:left="4244" w:hanging="430"/>
      </w:pPr>
      <w:rPr>
        <w:rFonts w:hint="default"/>
      </w:rPr>
    </w:lvl>
    <w:lvl w:ilvl="5">
      <w:numFmt w:val="bullet"/>
      <w:lvlText w:val="•"/>
      <w:lvlJc w:val="left"/>
      <w:pPr>
        <w:ind w:left="5275" w:hanging="430"/>
      </w:pPr>
      <w:rPr>
        <w:rFonts w:hint="default"/>
      </w:rPr>
    </w:lvl>
    <w:lvl w:ilvl="6">
      <w:numFmt w:val="bullet"/>
      <w:lvlText w:val="•"/>
      <w:lvlJc w:val="left"/>
      <w:pPr>
        <w:ind w:left="6306" w:hanging="430"/>
      </w:pPr>
      <w:rPr>
        <w:rFonts w:hint="default"/>
      </w:rPr>
    </w:lvl>
    <w:lvl w:ilvl="7">
      <w:numFmt w:val="bullet"/>
      <w:lvlText w:val="•"/>
      <w:lvlJc w:val="left"/>
      <w:pPr>
        <w:ind w:left="7337" w:hanging="430"/>
      </w:pPr>
      <w:rPr>
        <w:rFonts w:hint="default"/>
      </w:rPr>
    </w:lvl>
    <w:lvl w:ilvl="8">
      <w:numFmt w:val="bullet"/>
      <w:lvlText w:val="•"/>
      <w:lvlJc w:val="left"/>
      <w:pPr>
        <w:ind w:left="8368" w:hanging="430"/>
      </w:pPr>
      <w:rPr>
        <w:rFonts w:hint="default"/>
      </w:rPr>
    </w:lvl>
  </w:abstractNum>
  <w:abstractNum w:abstractNumId="3" w15:restartNumberingAfterBreak="0">
    <w:nsid w:val="1D9630DE"/>
    <w:multiLevelType w:val="hybridMultilevel"/>
    <w:tmpl w:val="C9D8E75A"/>
    <w:lvl w:ilvl="0" w:tplc="F670C512">
      <w:start w:val="1"/>
      <w:numFmt w:val="decimal"/>
      <w:lvlText w:val="%1."/>
      <w:lvlJc w:val="left"/>
      <w:pPr>
        <w:ind w:left="152" w:hanging="264"/>
        <w:jc w:val="right"/>
      </w:pPr>
      <w:rPr>
        <w:rFonts w:hint="default"/>
        <w:b/>
        <w:bCs/>
        <w:w w:val="100"/>
      </w:rPr>
    </w:lvl>
    <w:lvl w:ilvl="1" w:tplc="ECA4CDD6">
      <w:numFmt w:val="bullet"/>
      <w:lvlText w:val="•"/>
      <w:lvlJc w:val="left"/>
      <w:pPr>
        <w:ind w:left="1191" w:hanging="264"/>
      </w:pPr>
      <w:rPr>
        <w:rFonts w:hint="default"/>
      </w:rPr>
    </w:lvl>
    <w:lvl w:ilvl="2" w:tplc="2788F344">
      <w:numFmt w:val="bullet"/>
      <w:lvlText w:val="•"/>
      <w:lvlJc w:val="left"/>
      <w:pPr>
        <w:ind w:left="2222" w:hanging="264"/>
      </w:pPr>
      <w:rPr>
        <w:rFonts w:hint="default"/>
      </w:rPr>
    </w:lvl>
    <w:lvl w:ilvl="3" w:tplc="23745B18">
      <w:numFmt w:val="bullet"/>
      <w:lvlText w:val="•"/>
      <w:lvlJc w:val="left"/>
      <w:pPr>
        <w:ind w:left="3253" w:hanging="264"/>
      </w:pPr>
      <w:rPr>
        <w:rFonts w:hint="default"/>
      </w:rPr>
    </w:lvl>
    <w:lvl w:ilvl="4" w:tplc="1DBACBF4">
      <w:numFmt w:val="bullet"/>
      <w:lvlText w:val="•"/>
      <w:lvlJc w:val="left"/>
      <w:pPr>
        <w:ind w:left="4284" w:hanging="264"/>
      </w:pPr>
      <w:rPr>
        <w:rFonts w:hint="default"/>
      </w:rPr>
    </w:lvl>
    <w:lvl w:ilvl="5" w:tplc="EB940BFC">
      <w:numFmt w:val="bullet"/>
      <w:lvlText w:val="•"/>
      <w:lvlJc w:val="left"/>
      <w:pPr>
        <w:ind w:left="5315" w:hanging="264"/>
      </w:pPr>
      <w:rPr>
        <w:rFonts w:hint="default"/>
      </w:rPr>
    </w:lvl>
    <w:lvl w:ilvl="6" w:tplc="31BA2E8A">
      <w:numFmt w:val="bullet"/>
      <w:lvlText w:val="•"/>
      <w:lvlJc w:val="left"/>
      <w:pPr>
        <w:ind w:left="6346" w:hanging="264"/>
      </w:pPr>
      <w:rPr>
        <w:rFonts w:hint="default"/>
      </w:rPr>
    </w:lvl>
    <w:lvl w:ilvl="7" w:tplc="C33A0526">
      <w:numFmt w:val="bullet"/>
      <w:lvlText w:val="•"/>
      <w:lvlJc w:val="left"/>
      <w:pPr>
        <w:ind w:left="7377" w:hanging="264"/>
      </w:pPr>
      <w:rPr>
        <w:rFonts w:hint="default"/>
      </w:rPr>
    </w:lvl>
    <w:lvl w:ilvl="8" w:tplc="C9AED030">
      <w:numFmt w:val="bullet"/>
      <w:lvlText w:val="•"/>
      <w:lvlJc w:val="left"/>
      <w:pPr>
        <w:ind w:left="8408" w:hanging="264"/>
      </w:pPr>
      <w:rPr>
        <w:rFonts w:hint="default"/>
      </w:rPr>
    </w:lvl>
  </w:abstractNum>
  <w:abstractNum w:abstractNumId="4" w15:restartNumberingAfterBreak="0">
    <w:nsid w:val="20F47407"/>
    <w:multiLevelType w:val="hybridMultilevel"/>
    <w:tmpl w:val="F47A7006"/>
    <w:lvl w:ilvl="0" w:tplc="1990F76E">
      <w:start w:val="1"/>
      <w:numFmt w:val="decimal"/>
      <w:lvlText w:val="%1."/>
      <w:lvlJc w:val="left"/>
      <w:pPr>
        <w:ind w:left="539" w:hanging="423"/>
        <w:jc w:val="left"/>
      </w:pPr>
      <w:rPr>
        <w:rFonts w:ascii="Arial" w:eastAsia="Arial" w:hAnsi="Arial" w:cs="Arial" w:hint="default"/>
        <w:b/>
        <w:bCs/>
        <w:spacing w:val="-1"/>
        <w:w w:val="100"/>
        <w:sz w:val="22"/>
        <w:szCs w:val="22"/>
      </w:rPr>
    </w:lvl>
    <w:lvl w:ilvl="1" w:tplc="F55ED094">
      <w:start w:val="1"/>
      <w:numFmt w:val="lowerLetter"/>
      <w:lvlText w:val="%2."/>
      <w:lvlJc w:val="left"/>
      <w:pPr>
        <w:ind w:left="539" w:hanging="428"/>
        <w:jc w:val="left"/>
      </w:pPr>
      <w:rPr>
        <w:rFonts w:ascii="Arial" w:eastAsia="Arial" w:hAnsi="Arial" w:cs="Arial" w:hint="default"/>
        <w:spacing w:val="-1"/>
        <w:w w:val="100"/>
        <w:sz w:val="22"/>
        <w:szCs w:val="22"/>
      </w:rPr>
    </w:lvl>
    <w:lvl w:ilvl="2" w:tplc="51582204">
      <w:numFmt w:val="bullet"/>
      <w:lvlText w:val="•"/>
      <w:lvlJc w:val="left"/>
      <w:pPr>
        <w:ind w:left="2518" w:hanging="428"/>
      </w:pPr>
      <w:rPr>
        <w:rFonts w:hint="default"/>
      </w:rPr>
    </w:lvl>
    <w:lvl w:ilvl="3" w:tplc="40CC310C">
      <w:numFmt w:val="bullet"/>
      <w:lvlText w:val="•"/>
      <w:lvlJc w:val="left"/>
      <w:pPr>
        <w:ind w:left="3507" w:hanging="428"/>
      </w:pPr>
      <w:rPr>
        <w:rFonts w:hint="default"/>
      </w:rPr>
    </w:lvl>
    <w:lvl w:ilvl="4" w:tplc="FE1C0756">
      <w:numFmt w:val="bullet"/>
      <w:lvlText w:val="•"/>
      <w:lvlJc w:val="left"/>
      <w:pPr>
        <w:ind w:left="4496" w:hanging="428"/>
      </w:pPr>
      <w:rPr>
        <w:rFonts w:hint="default"/>
      </w:rPr>
    </w:lvl>
    <w:lvl w:ilvl="5" w:tplc="B3042802">
      <w:numFmt w:val="bullet"/>
      <w:lvlText w:val="•"/>
      <w:lvlJc w:val="left"/>
      <w:pPr>
        <w:ind w:left="5485" w:hanging="428"/>
      </w:pPr>
      <w:rPr>
        <w:rFonts w:hint="default"/>
      </w:rPr>
    </w:lvl>
    <w:lvl w:ilvl="6" w:tplc="268C1CA8">
      <w:numFmt w:val="bullet"/>
      <w:lvlText w:val="•"/>
      <w:lvlJc w:val="left"/>
      <w:pPr>
        <w:ind w:left="6474" w:hanging="428"/>
      </w:pPr>
      <w:rPr>
        <w:rFonts w:hint="default"/>
      </w:rPr>
    </w:lvl>
    <w:lvl w:ilvl="7" w:tplc="D15E852A">
      <w:numFmt w:val="bullet"/>
      <w:lvlText w:val="•"/>
      <w:lvlJc w:val="left"/>
      <w:pPr>
        <w:ind w:left="7463" w:hanging="428"/>
      </w:pPr>
      <w:rPr>
        <w:rFonts w:hint="default"/>
      </w:rPr>
    </w:lvl>
    <w:lvl w:ilvl="8" w:tplc="3F0C228E">
      <w:numFmt w:val="bullet"/>
      <w:lvlText w:val="•"/>
      <w:lvlJc w:val="left"/>
      <w:pPr>
        <w:ind w:left="8452" w:hanging="428"/>
      </w:pPr>
      <w:rPr>
        <w:rFonts w:hint="default"/>
      </w:rPr>
    </w:lvl>
  </w:abstractNum>
  <w:abstractNum w:abstractNumId="5" w15:restartNumberingAfterBreak="0">
    <w:nsid w:val="214350E7"/>
    <w:multiLevelType w:val="hybridMultilevel"/>
    <w:tmpl w:val="D65C3250"/>
    <w:lvl w:ilvl="0" w:tplc="944A64F0">
      <w:numFmt w:val="bullet"/>
      <w:lvlText w:val=""/>
      <w:lvlJc w:val="left"/>
      <w:pPr>
        <w:ind w:left="820" w:hanging="284"/>
      </w:pPr>
      <w:rPr>
        <w:rFonts w:ascii="Symbol" w:eastAsia="Symbol" w:hAnsi="Symbol" w:cs="Symbol" w:hint="default"/>
        <w:w w:val="100"/>
        <w:sz w:val="22"/>
        <w:szCs w:val="22"/>
      </w:rPr>
    </w:lvl>
    <w:lvl w:ilvl="1" w:tplc="AF6A042E">
      <w:numFmt w:val="bullet"/>
      <w:lvlText w:val="•"/>
      <w:lvlJc w:val="left"/>
      <w:pPr>
        <w:ind w:left="1781" w:hanging="284"/>
      </w:pPr>
      <w:rPr>
        <w:rFonts w:hint="default"/>
      </w:rPr>
    </w:lvl>
    <w:lvl w:ilvl="2" w:tplc="BC627332">
      <w:numFmt w:val="bullet"/>
      <w:lvlText w:val="•"/>
      <w:lvlJc w:val="left"/>
      <w:pPr>
        <w:ind w:left="2742" w:hanging="284"/>
      </w:pPr>
      <w:rPr>
        <w:rFonts w:hint="default"/>
      </w:rPr>
    </w:lvl>
    <w:lvl w:ilvl="3" w:tplc="E7569466">
      <w:numFmt w:val="bullet"/>
      <w:lvlText w:val="•"/>
      <w:lvlJc w:val="left"/>
      <w:pPr>
        <w:ind w:left="3703" w:hanging="284"/>
      </w:pPr>
      <w:rPr>
        <w:rFonts w:hint="default"/>
      </w:rPr>
    </w:lvl>
    <w:lvl w:ilvl="4" w:tplc="9404C6AE">
      <w:numFmt w:val="bullet"/>
      <w:lvlText w:val="•"/>
      <w:lvlJc w:val="left"/>
      <w:pPr>
        <w:ind w:left="4664" w:hanging="284"/>
      </w:pPr>
      <w:rPr>
        <w:rFonts w:hint="default"/>
      </w:rPr>
    </w:lvl>
    <w:lvl w:ilvl="5" w:tplc="A392925A">
      <w:numFmt w:val="bullet"/>
      <w:lvlText w:val="•"/>
      <w:lvlJc w:val="left"/>
      <w:pPr>
        <w:ind w:left="5625" w:hanging="284"/>
      </w:pPr>
      <w:rPr>
        <w:rFonts w:hint="default"/>
      </w:rPr>
    </w:lvl>
    <w:lvl w:ilvl="6" w:tplc="F35C9A8C">
      <w:numFmt w:val="bullet"/>
      <w:lvlText w:val="•"/>
      <w:lvlJc w:val="left"/>
      <w:pPr>
        <w:ind w:left="6586" w:hanging="284"/>
      </w:pPr>
      <w:rPr>
        <w:rFonts w:hint="default"/>
      </w:rPr>
    </w:lvl>
    <w:lvl w:ilvl="7" w:tplc="65CE1E8C">
      <w:numFmt w:val="bullet"/>
      <w:lvlText w:val="•"/>
      <w:lvlJc w:val="left"/>
      <w:pPr>
        <w:ind w:left="7547" w:hanging="284"/>
      </w:pPr>
      <w:rPr>
        <w:rFonts w:hint="default"/>
      </w:rPr>
    </w:lvl>
    <w:lvl w:ilvl="8" w:tplc="63F2D238">
      <w:numFmt w:val="bullet"/>
      <w:lvlText w:val="•"/>
      <w:lvlJc w:val="left"/>
      <w:pPr>
        <w:ind w:left="8508" w:hanging="284"/>
      </w:pPr>
      <w:rPr>
        <w:rFonts w:hint="default"/>
      </w:rPr>
    </w:lvl>
  </w:abstractNum>
  <w:abstractNum w:abstractNumId="6" w15:restartNumberingAfterBreak="0">
    <w:nsid w:val="2AEC4E5A"/>
    <w:multiLevelType w:val="hybridMultilevel"/>
    <w:tmpl w:val="1E168344"/>
    <w:lvl w:ilvl="0" w:tplc="49F21CCE">
      <w:start w:val="1"/>
      <w:numFmt w:val="lowerLetter"/>
      <w:lvlText w:val="%1)"/>
      <w:lvlJc w:val="left"/>
      <w:pPr>
        <w:ind w:left="872" w:hanging="721"/>
        <w:jc w:val="left"/>
      </w:pPr>
      <w:rPr>
        <w:rFonts w:ascii="Arial" w:eastAsia="Arial" w:hAnsi="Arial" w:cs="Arial" w:hint="default"/>
        <w:spacing w:val="-1"/>
        <w:w w:val="100"/>
        <w:sz w:val="22"/>
        <w:szCs w:val="22"/>
      </w:rPr>
    </w:lvl>
    <w:lvl w:ilvl="1" w:tplc="68A031C0">
      <w:numFmt w:val="bullet"/>
      <w:lvlText w:val="•"/>
      <w:lvlJc w:val="left"/>
      <w:pPr>
        <w:ind w:left="1839" w:hanging="721"/>
      </w:pPr>
      <w:rPr>
        <w:rFonts w:hint="default"/>
      </w:rPr>
    </w:lvl>
    <w:lvl w:ilvl="2" w:tplc="2020ACEE">
      <w:numFmt w:val="bullet"/>
      <w:lvlText w:val="•"/>
      <w:lvlJc w:val="left"/>
      <w:pPr>
        <w:ind w:left="2798" w:hanging="721"/>
      </w:pPr>
      <w:rPr>
        <w:rFonts w:hint="default"/>
      </w:rPr>
    </w:lvl>
    <w:lvl w:ilvl="3" w:tplc="A100EC54">
      <w:numFmt w:val="bullet"/>
      <w:lvlText w:val="•"/>
      <w:lvlJc w:val="left"/>
      <w:pPr>
        <w:ind w:left="3757" w:hanging="721"/>
      </w:pPr>
      <w:rPr>
        <w:rFonts w:hint="default"/>
      </w:rPr>
    </w:lvl>
    <w:lvl w:ilvl="4" w:tplc="D3E814B8">
      <w:numFmt w:val="bullet"/>
      <w:lvlText w:val="•"/>
      <w:lvlJc w:val="left"/>
      <w:pPr>
        <w:ind w:left="4716" w:hanging="721"/>
      </w:pPr>
      <w:rPr>
        <w:rFonts w:hint="default"/>
      </w:rPr>
    </w:lvl>
    <w:lvl w:ilvl="5" w:tplc="44B8A27A">
      <w:numFmt w:val="bullet"/>
      <w:lvlText w:val="•"/>
      <w:lvlJc w:val="left"/>
      <w:pPr>
        <w:ind w:left="5675" w:hanging="721"/>
      </w:pPr>
      <w:rPr>
        <w:rFonts w:hint="default"/>
      </w:rPr>
    </w:lvl>
    <w:lvl w:ilvl="6" w:tplc="CC7C3944">
      <w:numFmt w:val="bullet"/>
      <w:lvlText w:val="•"/>
      <w:lvlJc w:val="left"/>
      <w:pPr>
        <w:ind w:left="6634" w:hanging="721"/>
      </w:pPr>
      <w:rPr>
        <w:rFonts w:hint="default"/>
      </w:rPr>
    </w:lvl>
    <w:lvl w:ilvl="7" w:tplc="55A8873A">
      <w:numFmt w:val="bullet"/>
      <w:lvlText w:val="•"/>
      <w:lvlJc w:val="left"/>
      <w:pPr>
        <w:ind w:left="7593" w:hanging="721"/>
      </w:pPr>
      <w:rPr>
        <w:rFonts w:hint="default"/>
      </w:rPr>
    </w:lvl>
    <w:lvl w:ilvl="8" w:tplc="50C63612">
      <w:numFmt w:val="bullet"/>
      <w:lvlText w:val="•"/>
      <w:lvlJc w:val="left"/>
      <w:pPr>
        <w:ind w:left="8552" w:hanging="721"/>
      </w:pPr>
      <w:rPr>
        <w:rFonts w:hint="default"/>
      </w:rPr>
    </w:lvl>
  </w:abstractNum>
  <w:abstractNum w:abstractNumId="7" w15:restartNumberingAfterBreak="0">
    <w:nsid w:val="2B5B6AF2"/>
    <w:multiLevelType w:val="hybridMultilevel"/>
    <w:tmpl w:val="100A8FBA"/>
    <w:lvl w:ilvl="0" w:tplc="6978C11E">
      <w:numFmt w:val="bullet"/>
      <w:lvlText w:val="-"/>
      <w:lvlJc w:val="left"/>
      <w:pPr>
        <w:ind w:left="103" w:hanging="360"/>
      </w:pPr>
      <w:rPr>
        <w:rFonts w:ascii="Calibri" w:eastAsia="Calibri" w:hAnsi="Calibri" w:cs="Calibri" w:hint="default"/>
        <w:w w:val="100"/>
        <w:sz w:val="22"/>
        <w:szCs w:val="22"/>
      </w:rPr>
    </w:lvl>
    <w:lvl w:ilvl="1" w:tplc="32CC4C84">
      <w:numFmt w:val="bullet"/>
      <w:lvlText w:val="•"/>
      <w:lvlJc w:val="left"/>
      <w:pPr>
        <w:ind w:left="759" w:hanging="360"/>
      </w:pPr>
      <w:rPr>
        <w:rFonts w:hint="default"/>
      </w:rPr>
    </w:lvl>
    <w:lvl w:ilvl="2" w:tplc="B6C65B16">
      <w:numFmt w:val="bullet"/>
      <w:lvlText w:val="•"/>
      <w:lvlJc w:val="left"/>
      <w:pPr>
        <w:ind w:left="1418" w:hanging="360"/>
      </w:pPr>
      <w:rPr>
        <w:rFonts w:hint="default"/>
      </w:rPr>
    </w:lvl>
    <w:lvl w:ilvl="3" w:tplc="B222503A">
      <w:numFmt w:val="bullet"/>
      <w:lvlText w:val="•"/>
      <w:lvlJc w:val="left"/>
      <w:pPr>
        <w:ind w:left="2077" w:hanging="360"/>
      </w:pPr>
      <w:rPr>
        <w:rFonts w:hint="default"/>
      </w:rPr>
    </w:lvl>
    <w:lvl w:ilvl="4" w:tplc="32F2B430">
      <w:numFmt w:val="bullet"/>
      <w:lvlText w:val="•"/>
      <w:lvlJc w:val="left"/>
      <w:pPr>
        <w:ind w:left="2737" w:hanging="360"/>
      </w:pPr>
      <w:rPr>
        <w:rFonts w:hint="default"/>
      </w:rPr>
    </w:lvl>
    <w:lvl w:ilvl="5" w:tplc="07ACBD44">
      <w:numFmt w:val="bullet"/>
      <w:lvlText w:val="•"/>
      <w:lvlJc w:val="left"/>
      <w:pPr>
        <w:ind w:left="3396" w:hanging="360"/>
      </w:pPr>
      <w:rPr>
        <w:rFonts w:hint="default"/>
      </w:rPr>
    </w:lvl>
    <w:lvl w:ilvl="6" w:tplc="7318E78C">
      <w:numFmt w:val="bullet"/>
      <w:lvlText w:val="•"/>
      <w:lvlJc w:val="left"/>
      <w:pPr>
        <w:ind w:left="4055" w:hanging="360"/>
      </w:pPr>
      <w:rPr>
        <w:rFonts w:hint="default"/>
      </w:rPr>
    </w:lvl>
    <w:lvl w:ilvl="7" w:tplc="A04859BC">
      <w:numFmt w:val="bullet"/>
      <w:lvlText w:val="•"/>
      <w:lvlJc w:val="left"/>
      <w:pPr>
        <w:ind w:left="4714" w:hanging="360"/>
      </w:pPr>
      <w:rPr>
        <w:rFonts w:hint="default"/>
      </w:rPr>
    </w:lvl>
    <w:lvl w:ilvl="8" w:tplc="DEB08F00">
      <w:numFmt w:val="bullet"/>
      <w:lvlText w:val="•"/>
      <w:lvlJc w:val="left"/>
      <w:pPr>
        <w:ind w:left="5374" w:hanging="360"/>
      </w:pPr>
      <w:rPr>
        <w:rFonts w:hint="default"/>
      </w:rPr>
    </w:lvl>
  </w:abstractNum>
  <w:abstractNum w:abstractNumId="8" w15:restartNumberingAfterBreak="0">
    <w:nsid w:val="2F4231D0"/>
    <w:multiLevelType w:val="hybridMultilevel"/>
    <w:tmpl w:val="8D5ED334"/>
    <w:lvl w:ilvl="0" w:tplc="16F41242">
      <w:start w:val="27"/>
      <w:numFmt w:val="decimal"/>
      <w:lvlText w:val="%1."/>
      <w:lvlJc w:val="left"/>
      <w:pPr>
        <w:ind w:left="539" w:hanging="423"/>
        <w:jc w:val="left"/>
      </w:pPr>
      <w:rPr>
        <w:rFonts w:ascii="Arial" w:eastAsia="Arial" w:hAnsi="Arial" w:cs="Arial" w:hint="default"/>
        <w:b/>
        <w:bCs/>
        <w:spacing w:val="-1"/>
        <w:w w:val="100"/>
        <w:sz w:val="22"/>
        <w:szCs w:val="22"/>
      </w:rPr>
    </w:lvl>
    <w:lvl w:ilvl="1" w:tplc="CEDA002E">
      <w:numFmt w:val="bullet"/>
      <w:lvlText w:val="•"/>
      <w:lvlJc w:val="left"/>
      <w:pPr>
        <w:ind w:left="1529" w:hanging="423"/>
      </w:pPr>
      <w:rPr>
        <w:rFonts w:hint="default"/>
      </w:rPr>
    </w:lvl>
    <w:lvl w:ilvl="2" w:tplc="5FC69512">
      <w:numFmt w:val="bullet"/>
      <w:lvlText w:val="•"/>
      <w:lvlJc w:val="left"/>
      <w:pPr>
        <w:ind w:left="2518" w:hanging="423"/>
      </w:pPr>
      <w:rPr>
        <w:rFonts w:hint="default"/>
      </w:rPr>
    </w:lvl>
    <w:lvl w:ilvl="3" w:tplc="3D2882FE">
      <w:numFmt w:val="bullet"/>
      <w:lvlText w:val="•"/>
      <w:lvlJc w:val="left"/>
      <w:pPr>
        <w:ind w:left="3507" w:hanging="423"/>
      </w:pPr>
      <w:rPr>
        <w:rFonts w:hint="default"/>
      </w:rPr>
    </w:lvl>
    <w:lvl w:ilvl="4" w:tplc="D1A2C606">
      <w:numFmt w:val="bullet"/>
      <w:lvlText w:val="•"/>
      <w:lvlJc w:val="left"/>
      <w:pPr>
        <w:ind w:left="4496" w:hanging="423"/>
      </w:pPr>
      <w:rPr>
        <w:rFonts w:hint="default"/>
      </w:rPr>
    </w:lvl>
    <w:lvl w:ilvl="5" w:tplc="8DCC34F4">
      <w:numFmt w:val="bullet"/>
      <w:lvlText w:val="•"/>
      <w:lvlJc w:val="left"/>
      <w:pPr>
        <w:ind w:left="5485" w:hanging="423"/>
      </w:pPr>
      <w:rPr>
        <w:rFonts w:hint="default"/>
      </w:rPr>
    </w:lvl>
    <w:lvl w:ilvl="6" w:tplc="FACE40AE">
      <w:numFmt w:val="bullet"/>
      <w:lvlText w:val="•"/>
      <w:lvlJc w:val="left"/>
      <w:pPr>
        <w:ind w:left="6474" w:hanging="423"/>
      </w:pPr>
      <w:rPr>
        <w:rFonts w:hint="default"/>
      </w:rPr>
    </w:lvl>
    <w:lvl w:ilvl="7" w:tplc="A3B4AA74">
      <w:numFmt w:val="bullet"/>
      <w:lvlText w:val="•"/>
      <w:lvlJc w:val="left"/>
      <w:pPr>
        <w:ind w:left="7463" w:hanging="423"/>
      </w:pPr>
      <w:rPr>
        <w:rFonts w:hint="default"/>
      </w:rPr>
    </w:lvl>
    <w:lvl w:ilvl="8" w:tplc="B42214D6">
      <w:numFmt w:val="bullet"/>
      <w:lvlText w:val="•"/>
      <w:lvlJc w:val="left"/>
      <w:pPr>
        <w:ind w:left="8452" w:hanging="423"/>
      </w:pPr>
      <w:rPr>
        <w:rFonts w:hint="default"/>
      </w:rPr>
    </w:lvl>
  </w:abstractNum>
  <w:abstractNum w:abstractNumId="9" w15:restartNumberingAfterBreak="0">
    <w:nsid w:val="34D0538D"/>
    <w:multiLevelType w:val="hybridMultilevel"/>
    <w:tmpl w:val="3B96667A"/>
    <w:lvl w:ilvl="0" w:tplc="F678FAD6">
      <w:numFmt w:val="bullet"/>
      <w:lvlText w:val="-"/>
      <w:lvlJc w:val="left"/>
      <w:pPr>
        <w:ind w:left="818" w:hanging="346"/>
      </w:pPr>
      <w:rPr>
        <w:rFonts w:ascii="Arial" w:eastAsia="Arial" w:hAnsi="Arial" w:cs="Arial" w:hint="default"/>
        <w:w w:val="100"/>
        <w:sz w:val="22"/>
        <w:szCs w:val="22"/>
      </w:rPr>
    </w:lvl>
    <w:lvl w:ilvl="1" w:tplc="A35457A4">
      <w:numFmt w:val="bullet"/>
      <w:lvlText w:val="•"/>
      <w:lvlJc w:val="left"/>
      <w:pPr>
        <w:ind w:left="1781" w:hanging="346"/>
      </w:pPr>
      <w:rPr>
        <w:rFonts w:hint="default"/>
      </w:rPr>
    </w:lvl>
    <w:lvl w:ilvl="2" w:tplc="971C8838">
      <w:numFmt w:val="bullet"/>
      <w:lvlText w:val="•"/>
      <w:lvlJc w:val="left"/>
      <w:pPr>
        <w:ind w:left="2742" w:hanging="346"/>
      </w:pPr>
      <w:rPr>
        <w:rFonts w:hint="default"/>
      </w:rPr>
    </w:lvl>
    <w:lvl w:ilvl="3" w:tplc="4680F310">
      <w:numFmt w:val="bullet"/>
      <w:lvlText w:val="•"/>
      <w:lvlJc w:val="left"/>
      <w:pPr>
        <w:ind w:left="3703" w:hanging="346"/>
      </w:pPr>
      <w:rPr>
        <w:rFonts w:hint="default"/>
      </w:rPr>
    </w:lvl>
    <w:lvl w:ilvl="4" w:tplc="5E9AD54C">
      <w:numFmt w:val="bullet"/>
      <w:lvlText w:val="•"/>
      <w:lvlJc w:val="left"/>
      <w:pPr>
        <w:ind w:left="4664" w:hanging="346"/>
      </w:pPr>
      <w:rPr>
        <w:rFonts w:hint="default"/>
      </w:rPr>
    </w:lvl>
    <w:lvl w:ilvl="5" w:tplc="47A60672">
      <w:numFmt w:val="bullet"/>
      <w:lvlText w:val="•"/>
      <w:lvlJc w:val="left"/>
      <w:pPr>
        <w:ind w:left="5625" w:hanging="346"/>
      </w:pPr>
      <w:rPr>
        <w:rFonts w:hint="default"/>
      </w:rPr>
    </w:lvl>
    <w:lvl w:ilvl="6" w:tplc="90BC1D8C">
      <w:numFmt w:val="bullet"/>
      <w:lvlText w:val="•"/>
      <w:lvlJc w:val="left"/>
      <w:pPr>
        <w:ind w:left="6586" w:hanging="346"/>
      </w:pPr>
      <w:rPr>
        <w:rFonts w:hint="default"/>
      </w:rPr>
    </w:lvl>
    <w:lvl w:ilvl="7" w:tplc="DA22C992">
      <w:numFmt w:val="bullet"/>
      <w:lvlText w:val="•"/>
      <w:lvlJc w:val="left"/>
      <w:pPr>
        <w:ind w:left="7547" w:hanging="346"/>
      </w:pPr>
      <w:rPr>
        <w:rFonts w:hint="default"/>
      </w:rPr>
    </w:lvl>
    <w:lvl w:ilvl="8" w:tplc="94866A0A">
      <w:numFmt w:val="bullet"/>
      <w:lvlText w:val="•"/>
      <w:lvlJc w:val="left"/>
      <w:pPr>
        <w:ind w:left="8508" w:hanging="346"/>
      </w:pPr>
      <w:rPr>
        <w:rFonts w:hint="default"/>
      </w:rPr>
    </w:lvl>
  </w:abstractNum>
  <w:abstractNum w:abstractNumId="10" w15:restartNumberingAfterBreak="0">
    <w:nsid w:val="36A50D25"/>
    <w:multiLevelType w:val="hybridMultilevel"/>
    <w:tmpl w:val="E4704E0A"/>
    <w:lvl w:ilvl="0" w:tplc="523658FE">
      <w:numFmt w:val="bullet"/>
      <w:lvlText w:val="-"/>
      <w:lvlJc w:val="left"/>
      <w:pPr>
        <w:ind w:left="832" w:hanging="346"/>
      </w:pPr>
      <w:rPr>
        <w:rFonts w:hint="default"/>
        <w:w w:val="99"/>
      </w:rPr>
    </w:lvl>
    <w:lvl w:ilvl="1" w:tplc="868AD914">
      <w:numFmt w:val="bullet"/>
      <w:lvlText w:val="•"/>
      <w:lvlJc w:val="left"/>
      <w:pPr>
        <w:ind w:left="1799" w:hanging="346"/>
      </w:pPr>
      <w:rPr>
        <w:rFonts w:hint="default"/>
      </w:rPr>
    </w:lvl>
    <w:lvl w:ilvl="2" w:tplc="90A697A0">
      <w:numFmt w:val="bullet"/>
      <w:lvlText w:val="•"/>
      <w:lvlJc w:val="left"/>
      <w:pPr>
        <w:ind w:left="2758" w:hanging="346"/>
      </w:pPr>
      <w:rPr>
        <w:rFonts w:hint="default"/>
      </w:rPr>
    </w:lvl>
    <w:lvl w:ilvl="3" w:tplc="39224190">
      <w:numFmt w:val="bullet"/>
      <w:lvlText w:val="•"/>
      <w:lvlJc w:val="left"/>
      <w:pPr>
        <w:ind w:left="3717" w:hanging="346"/>
      </w:pPr>
      <w:rPr>
        <w:rFonts w:hint="default"/>
      </w:rPr>
    </w:lvl>
    <w:lvl w:ilvl="4" w:tplc="ABDA5952">
      <w:numFmt w:val="bullet"/>
      <w:lvlText w:val="•"/>
      <w:lvlJc w:val="left"/>
      <w:pPr>
        <w:ind w:left="4676" w:hanging="346"/>
      </w:pPr>
      <w:rPr>
        <w:rFonts w:hint="default"/>
      </w:rPr>
    </w:lvl>
    <w:lvl w:ilvl="5" w:tplc="36061732">
      <w:numFmt w:val="bullet"/>
      <w:lvlText w:val="•"/>
      <w:lvlJc w:val="left"/>
      <w:pPr>
        <w:ind w:left="5635" w:hanging="346"/>
      </w:pPr>
      <w:rPr>
        <w:rFonts w:hint="default"/>
      </w:rPr>
    </w:lvl>
    <w:lvl w:ilvl="6" w:tplc="29F4F876">
      <w:numFmt w:val="bullet"/>
      <w:lvlText w:val="•"/>
      <w:lvlJc w:val="left"/>
      <w:pPr>
        <w:ind w:left="6594" w:hanging="346"/>
      </w:pPr>
      <w:rPr>
        <w:rFonts w:hint="default"/>
      </w:rPr>
    </w:lvl>
    <w:lvl w:ilvl="7" w:tplc="8422A60A">
      <w:numFmt w:val="bullet"/>
      <w:lvlText w:val="•"/>
      <w:lvlJc w:val="left"/>
      <w:pPr>
        <w:ind w:left="7553" w:hanging="346"/>
      </w:pPr>
      <w:rPr>
        <w:rFonts w:hint="default"/>
      </w:rPr>
    </w:lvl>
    <w:lvl w:ilvl="8" w:tplc="7AE2BFF8">
      <w:numFmt w:val="bullet"/>
      <w:lvlText w:val="•"/>
      <w:lvlJc w:val="left"/>
      <w:pPr>
        <w:ind w:left="8512" w:hanging="346"/>
      </w:pPr>
      <w:rPr>
        <w:rFonts w:hint="default"/>
      </w:rPr>
    </w:lvl>
  </w:abstractNum>
  <w:abstractNum w:abstractNumId="11" w15:restartNumberingAfterBreak="0">
    <w:nsid w:val="3CE5507D"/>
    <w:multiLevelType w:val="hybridMultilevel"/>
    <w:tmpl w:val="3CFCF2D4"/>
    <w:lvl w:ilvl="0" w:tplc="48704922">
      <w:numFmt w:val="bullet"/>
      <w:lvlText w:val="•"/>
      <w:lvlJc w:val="left"/>
      <w:pPr>
        <w:ind w:left="112" w:hanging="139"/>
      </w:pPr>
      <w:rPr>
        <w:rFonts w:ascii="Arial" w:eastAsia="Arial" w:hAnsi="Arial" w:cs="Arial" w:hint="default"/>
        <w:w w:val="100"/>
        <w:sz w:val="22"/>
        <w:szCs w:val="22"/>
      </w:rPr>
    </w:lvl>
    <w:lvl w:ilvl="1" w:tplc="F12A7F0E">
      <w:numFmt w:val="bullet"/>
      <w:lvlText w:val="•"/>
      <w:lvlJc w:val="left"/>
      <w:pPr>
        <w:ind w:left="1151" w:hanging="139"/>
      </w:pPr>
      <w:rPr>
        <w:rFonts w:hint="default"/>
      </w:rPr>
    </w:lvl>
    <w:lvl w:ilvl="2" w:tplc="AB2434E2">
      <w:numFmt w:val="bullet"/>
      <w:lvlText w:val="•"/>
      <w:lvlJc w:val="left"/>
      <w:pPr>
        <w:ind w:left="2182" w:hanging="139"/>
      </w:pPr>
      <w:rPr>
        <w:rFonts w:hint="default"/>
      </w:rPr>
    </w:lvl>
    <w:lvl w:ilvl="3" w:tplc="25FA68C4">
      <w:numFmt w:val="bullet"/>
      <w:lvlText w:val="•"/>
      <w:lvlJc w:val="left"/>
      <w:pPr>
        <w:ind w:left="3213" w:hanging="139"/>
      </w:pPr>
      <w:rPr>
        <w:rFonts w:hint="default"/>
      </w:rPr>
    </w:lvl>
    <w:lvl w:ilvl="4" w:tplc="C2C455E6">
      <w:numFmt w:val="bullet"/>
      <w:lvlText w:val="•"/>
      <w:lvlJc w:val="left"/>
      <w:pPr>
        <w:ind w:left="4244" w:hanging="139"/>
      </w:pPr>
      <w:rPr>
        <w:rFonts w:hint="default"/>
      </w:rPr>
    </w:lvl>
    <w:lvl w:ilvl="5" w:tplc="F05A64F0">
      <w:numFmt w:val="bullet"/>
      <w:lvlText w:val="•"/>
      <w:lvlJc w:val="left"/>
      <w:pPr>
        <w:ind w:left="5275" w:hanging="139"/>
      </w:pPr>
      <w:rPr>
        <w:rFonts w:hint="default"/>
      </w:rPr>
    </w:lvl>
    <w:lvl w:ilvl="6" w:tplc="B060D976">
      <w:numFmt w:val="bullet"/>
      <w:lvlText w:val="•"/>
      <w:lvlJc w:val="left"/>
      <w:pPr>
        <w:ind w:left="6306" w:hanging="139"/>
      </w:pPr>
      <w:rPr>
        <w:rFonts w:hint="default"/>
      </w:rPr>
    </w:lvl>
    <w:lvl w:ilvl="7" w:tplc="18364BD6">
      <w:numFmt w:val="bullet"/>
      <w:lvlText w:val="•"/>
      <w:lvlJc w:val="left"/>
      <w:pPr>
        <w:ind w:left="7337" w:hanging="139"/>
      </w:pPr>
      <w:rPr>
        <w:rFonts w:hint="default"/>
      </w:rPr>
    </w:lvl>
    <w:lvl w:ilvl="8" w:tplc="DB8E64DA">
      <w:numFmt w:val="bullet"/>
      <w:lvlText w:val="•"/>
      <w:lvlJc w:val="left"/>
      <w:pPr>
        <w:ind w:left="8368" w:hanging="139"/>
      </w:pPr>
      <w:rPr>
        <w:rFonts w:hint="default"/>
      </w:rPr>
    </w:lvl>
  </w:abstractNum>
  <w:abstractNum w:abstractNumId="12" w15:restartNumberingAfterBreak="0">
    <w:nsid w:val="403B6765"/>
    <w:multiLevelType w:val="hybridMultilevel"/>
    <w:tmpl w:val="94C24F28"/>
    <w:lvl w:ilvl="0" w:tplc="39ACFB3E">
      <w:start w:val="1"/>
      <w:numFmt w:val="decimal"/>
      <w:lvlText w:val="%1."/>
      <w:lvlJc w:val="left"/>
      <w:pPr>
        <w:ind w:left="452" w:hanging="361"/>
        <w:jc w:val="left"/>
      </w:pPr>
      <w:rPr>
        <w:rFonts w:ascii="Arial" w:eastAsia="Arial" w:hAnsi="Arial" w:cs="Arial" w:hint="default"/>
        <w:spacing w:val="-1"/>
        <w:w w:val="100"/>
        <w:sz w:val="22"/>
        <w:szCs w:val="22"/>
      </w:rPr>
    </w:lvl>
    <w:lvl w:ilvl="1" w:tplc="24EE013C">
      <w:numFmt w:val="bullet"/>
      <w:lvlText w:val="•"/>
      <w:lvlJc w:val="left"/>
      <w:pPr>
        <w:ind w:left="1457" w:hanging="361"/>
      </w:pPr>
      <w:rPr>
        <w:rFonts w:hint="default"/>
      </w:rPr>
    </w:lvl>
    <w:lvl w:ilvl="2" w:tplc="B7E45C24">
      <w:numFmt w:val="bullet"/>
      <w:lvlText w:val="•"/>
      <w:lvlJc w:val="left"/>
      <w:pPr>
        <w:ind w:left="2454" w:hanging="361"/>
      </w:pPr>
      <w:rPr>
        <w:rFonts w:hint="default"/>
      </w:rPr>
    </w:lvl>
    <w:lvl w:ilvl="3" w:tplc="26B68E6E">
      <w:numFmt w:val="bullet"/>
      <w:lvlText w:val="•"/>
      <w:lvlJc w:val="left"/>
      <w:pPr>
        <w:ind w:left="3451" w:hanging="361"/>
      </w:pPr>
      <w:rPr>
        <w:rFonts w:hint="default"/>
      </w:rPr>
    </w:lvl>
    <w:lvl w:ilvl="4" w:tplc="7EA04A40">
      <w:numFmt w:val="bullet"/>
      <w:lvlText w:val="•"/>
      <w:lvlJc w:val="left"/>
      <w:pPr>
        <w:ind w:left="4448" w:hanging="361"/>
      </w:pPr>
      <w:rPr>
        <w:rFonts w:hint="default"/>
      </w:rPr>
    </w:lvl>
    <w:lvl w:ilvl="5" w:tplc="F232F6D4">
      <w:numFmt w:val="bullet"/>
      <w:lvlText w:val="•"/>
      <w:lvlJc w:val="left"/>
      <w:pPr>
        <w:ind w:left="5445" w:hanging="361"/>
      </w:pPr>
      <w:rPr>
        <w:rFonts w:hint="default"/>
      </w:rPr>
    </w:lvl>
    <w:lvl w:ilvl="6" w:tplc="B95CA2FA">
      <w:numFmt w:val="bullet"/>
      <w:lvlText w:val="•"/>
      <w:lvlJc w:val="left"/>
      <w:pPr>
        <w:ind w:left="6442" w:hanging="361"/>
      </w:pPr>
      <w:rPr>
        <w:rFonts w:hint="default"/>
      </w:rPr>
    </w:lvl>
    <w:lvl w:ilvl="7" w:tplc="01100B98">
      <w:numFmt w:val="bullet"/>
      <w:lvlText w:val="•"/>
      <w:lvlJc w:val="left"/>
      <w:pPr>
        <w:ind w:left="7439" w:hanging="361"/>
      </w:pPr>
      <w:rPr>
        <w:rFonts w:hint="default"/>
      </w:rPr>
    </w:lvl>
    <w:lvl w:ilvl="8" w:tplc="0484B13C">
      <w:numFmt w:val="bullet"/>
      <w:lvlText w:val="•"/>
      <w:lvlJc w:val="left"/>
      <w:pPr>
        <w:ind w:left="8436" w:hanging="361"/>
      </w:pPr>
      <w:rPr>
        <w:rFonts w:hint="default"/>
      </w:rPr>
    </w:lvl>
  </w:abstractNum>
  <w:abstractNum w:abstractNumId="13" w15:restartNumberingAfterBreak="0">
    <w:nsid w:val="4101065D"/>
    <w:multiLevelType w:val="hybridMultilevel"/>
    <w:tmpl w:val="84F401B4"/>
    <w:lvl w:ilvl="0" w:tplc="AA087668">
      <w:start w:val="1"/>
      <w:numFmt w:val="decimal"/>
      <w:lvlText w:val="%1."/>
      <w:lvlJc w:val="left"/>
      <w:pPr>
        <w:ind w:left="452" w:hanging="361"/>
        <w:jc w:val="left"/>
      </w:pPr>
      <w:rPr>
        <w:rFonts w:ascii="Arial" w:eastAsia="Arial" w:hAnsi="Arial" w:cs="Arial" w:hint="default"/>
        <w:spacing w:val="-1"/>
        <w:w w:val="100"/>
        <w:sz w:val="22"/>
        <w:szCs w:val="22"/>
      </w:rPr>
    </w:lvl>
    <w:lvl w:ilvl="1" w:tplc="E7821E04">
      <w:numFmt w:val="bullet"/>
      <w:lvlText w:val="•"/>
      <w:lvlJc w:val="left"/>
      <w:pPr>
        <w:ind w:left="1457" w:hanging="361"/>
      </w:pPr>
      <w:rPr>
        <w:rFonts w:hint="default"/>
      </w:rPr>
    </w:lvl>
    <w:lvl w:ilvl="2" w:tplc="DF50981C">
      <w:numFmt w:val="bullet"/>
      <w:lvlText w:val="•"/>
      <w:lvlJc w:val="left"/>
      <w:pPr>
        <w:ind w:left="2454" w:hanging="361"/>
      </w:pPr>
      <w:rPr>
        <w:rFonts w:hint="default"/>
      </w:rPr>
    </w:lvl>
    <w:lvl w:ilvl="3" w:tplc="EA42A3EC">
      <w:numFmt w:val="bullet"/>
      <w:lvlText w:val="•"/>
      <w:lvlJc w:val="left"/>
      <w:pPr>
        <w:ind w:left="3451" w:hanging="361"/>
      </w:pPr>
      <w:rPr>
        <w:rFonts w:hint="default"/>
      </w:rPr>
    </w:lvl>
    <w:lvl w:ilvl="4" w:tplc="0E729062">
      <w:numFmt w:val="bullet"/>
      <w:lvlText w:val="•"/>
      <w:lvlJc w:val="left"/>
      <w:pPr>
        <w:ind w:left="4448" w:hanging="361"/>
      </w:pPr>
      <w:rPr>
        <w:rFonts w:hint="default"/>
      </w:rPr>
    </w:lvl>
    <w:lvl w:ilvl="5" w:tplc="72B27C50">
      <w:numFmt w:val="bullet"/>
      <w:lvlText w:val="•"/>
      <w:lvlJc w:val="left"/>
      <w:pPr>
        <w:ind w:left="5445" w:hanging="361"/>
      </w:pPr>
      <w:rPr>
        <w:rFonts w:hint="default"/>
      </w:rPr>
    </w:lvl>
    <w:lvl w:ilvl="6" w:tplc="AE3A702C">
      <w:numFmt w:val="bullet"/>
      <w:lvlText w:val="•"/>
      <w:lvlJc w:val="left"/>
      <w:pPr>
        <w:ind w:left="6442" w:hanging="361"/>
      </w:pPr>
      <w:rPr>
        <w:rFonts w:hint="default"/>
      </w:rPr>
    </w:lvl>
    <w:lvl w:ilvl="7" w:tplc="A4280E3A">
      <w:numFmt w:val="bullet"/>
      <w:lvlText w:val="•"/>
      <w:lvlJc w:val="left"/>
      <w:pPr>
        <w:ind w:left="7439" w:hanging="361"/>
      </w:pPr>
      <w:rPr>
        <w:rFonts w:hint="default"/>
      </w:rPr>
    </w:lvl>
    <w:lvl w:ilvl="8" w:tplc="253A786E">
      <w:numFmt w:val="bullet"/>
      <w:lvlText w:val="•"/>
      <w:lvlJc w:val="left"/>
      <w:pPr>
        <w:ind w:left="8436" w:hanging="361"/>
      </w:pPr>
      <w:rPr>
        <w:rFonts w:hint="default"/>
      </w:rPr>
    </w:lvl>
  </w:abstractNum>
  <w:abstractNum w:abstractNumId="14" w15:restartNumberingAfterBreak="0">
    <w:nsid w:val="5340101E"/>
    <w:multiLevelType w:val="hybridMultilevel"/>
    <w:tmpl w:val="247E54BA"/>
    <w:lvl w:ilvl="0" w:tplc="EC38E84E">
      <w:numFmt w:val="bullet"/>
      <w:lvlText w:val=""/>
      <w:lvlJc w:val="left"/>
      <w:pPr>
        <w:ind w:left="820" w:hanging="284"/>
      </w:pPr>
      <w:rPr>
        <w:rFonts w:ascii="Symbol" w:eastAsia="Symbol" w:hAnsi="Symbol" w:cs="Symbol" w:hint="default"/>
        <w:w w:val="100"/>
        <w:sz w:val="22"/>
        <w:szCs w:val="22"/>
      </w:rPr>
    </w:lvl>
    <w:lvl w:ilvl="1" w:tplc="787A4F36">
      <w:numFmt w:val="bullet"/>
      <w:lvlText w:val="•"/>
      <w:lvlJc w:val="left"/>
      <w:pPr>
        <w:ind w:left="1781" w:hanging="284"/>
      </w:pPr>
      <w:rPr>
        <w:rFonts w:hint="default"/>
      </w:rPr>
    </w:lvl>
    <w:lvl w:ilvl="2" w:tplc="536A8BC0">
      <w:numFmt w:val="bullet"/>
      <w:lvlText w:val="•"/>
      <w:lvlJc w:val="left"/>
      <w:pPr>
        <w:ind w:left="2742" w:hanging="284"/>
      </w:pPr>
      <w:rPr>
        <w:rFonts w:hint="default"/>
      </w:rPr>
    </w:lvl>
    <w:lvl w:ilvl="3" w:tplc="E38857F8">
      <w:numFmt w:val="bullet"/>
      <w:lvlText w:val="•"/>
      <w:lvlJc w:val="left"/>
      <w:pPr>
        <w:ind w:left="3703" w:hanging="284"/>
      </w:pPr>
      <w:rPr>
        <w:rFonts w:hint="default"/>
      </w:rPr>
    </w:lvl>
    <w:lvl w:ilvl="4" w:tplc="59186DFE">
      <w:numFmt w:val="bullet"/>
      <w:lvlText w:val="•"/>
      <w:lvlJc w:val="left"/>
      <w:pPr>
        <w:ind w:left="4664" w:hanging="284"/>
      </w:pPr>
      <w:rPr>
        <w:rFonts w:hint="default"/>
      </w:rPr>
    </w:lvl>
    <w:lvl w:ilvl="5" w:tplc="15944B5E">
      <w:numFmt w:val="bullet"/>
      <w:lvlText w:val="•"/>
      <w:lvlJc w:val="left"/>
      <w:pPr>
        <w:ind w:left="5625" w:hanging="284"/>
      </w:pPr>
      <w:rPr>
        <w:rFonts w:hint="default"/>
      </w:rPr>
    </w:lvl>
    <w:lvl w:ilvl="6" w:tplc="A3E65BB0">
      <w:numFmt w:val="bullet"/>
      <w:lvlText w:val="•"/>
      <w:lvlJc w:val="left"/>
      <w:pPr>
        <w:ind w:left="6586" w:hanging="284"/>
      </w:pPr>
      <w:rPr>
        <w:rFonts w:hint="default"/>
      </w:rPr>
    </w:lvl>
    <w:lvl w:ilvl="7" w:tplc="C540BE22">
      <w:numFmt w:val="bullet"/>
      <w:lvlText w:val="•"/>
      <w:lvlJc w:val="left"/>
      <w:pPr>
        <w:ind w:left="7547" w:hanging="284"/>
      </w:pPr>
      <w:rPr>
        <w:rFonts w:hint="default"/>
      </w:rPr>
    </w:lvl>
    <w:lvl w:ilvl="8" w:tplc="9BC2CBD4">
      <w:numFmt w:val="bullet"/>
      <w:lvlText w:val="•"/>
      <w:lvlJc w:val="left"/>
      <w:pPr>
        <w:ind w:left="8508" w:hanging="284"/>
      </w:pPr>
      <w:rPr>
        <w:rFonts w:hint="default"/>
      </w:rPr>
    </w:lvl>
  </w:abstractNum>
  <w:abstractNum w:abstractNumId="15" w15:restartNumberingAfterBreak="0">
    <w:nsid w:val="5E023B2E"/>
    <w:multiLevelType w:val="hybridMultilevel"/>
    <w:tmpl w:val="091AA4BC"/>
    <w:lvl w:ilvl="0" w:tplc="714CD594">
      <w:start w:val="1"/>
      <w:numFmt w:val="decimal"/>
      <w:lvlText w:val="%1."/>
      <w:lvlJc w:val="left"/>
      <w:pPr>
        <w:ind w:left="112" w:hanging="248"/>
        <w:jc w:val="left"/>
      </w:pPr>
      <w:rPr>
        <w:rFonts w:ascii="Arial" w:eastAsia="Arial" w:hAnsi="Arial" w:cs="Arial" w:hint="default"/>
        <w:w w:val="100"/>
        <w:sz w:val="22"/>
        <w:szCs w:val="22"/>
      </w:rPr>
    </w:lvl>
    <w:lvl w:ilvl="1" w:tplc="4F0AC94A">
      <w:numFmt w:val="bullet"/>
      <w:lvlText w:val="•"/>
      <w:lvlJc w:val="left"/>
      <w:pPr>
        <w:ind w:left="880" w:hanging="248"/>
      </w:pPr>
      <w:rPr>
        <w:rFonts w:hint="default"/>
      </w:rPr>
    </w:lvl>
    <w:lvl w:ilvl="2" w:tplc="A760BFEE">
      <w:numFmt w:val="bullet"/>
      <w:lvlText w:val="•"/>
      <w:lvlJc w:val="left"/>
      <w:pPr>
        <w:ind w:left="1910" w:hanging="248"/>
      </w:pPr>
      <w:rPr>
        <w:rFonts w:hint="default"/>
      </w:rPr>
    </w:lvl>
    <w:lvl w:ilvl="3" w:tplc="828475CE">
      <w:numFmt w:val="bullet"/>
      <w:lvlText w:val="•"/>
      <w:lvlJc w:val="left"/>
      <w:pPr>
        <w:ind w:left="2940" w:hanging="248"/>
      </w:pPr>
      <w:rPr>
        <w:rFonts w:hint="default"/>
      </w:rPr>
    </w:lvl>
    <w:lvl w:ilvl="4" w:tplc="E4D447A6">
      <w:numFmt w:val="bullet"/>
      <w:lvlText w:val="•"/>
      <w:lvlJc w:val="left"/>
      <w:pPr>
        <w:ind w:left="3970" w:hanging="248"/>
      </w:pPr>
      <w:rPr>
        <w:rFonts w:hint="default"/>
      </w:rPr>
    </w:lvl>
    <w:lvl w:ilvl="5" w:tplc="0210A088">
      <w:numFmt w:val="bullet"/>
      <w:lvlText w:val="•"/>
      <w:lvlJc w:val="left"/>
      <w:pPr>
        <w:ind w:left="5000" w:hanging="248"/>
      </w:pPr>
      <w:rPr>
        <w:rFonts w:hint="default"/>
      </w:rPr>
    </w:lvl>
    <w:lvl w:ilvl="6" w:tplc="2C680B28">
      <w:numFmt w:val="bullet"/>
      <w:lvlText w:val="•"/>
      <w:lvlJc w:val="left"/>
      <w:pPr>
        <w:ind w:left="6030" w:hanging="248"/>
      </w:pPr>
      <w:rPr>
        <w:rFonts w:hint="default"/>
      </w:rPr>
    </w:lvl>
    <w:lvl w:ilvl="7" w:tplc="397EEE44">
      <w:numFmt w:val="bullet"/>
      <w:lvlText w:val="•"/>
      <w:lvlJc w:val="left"/>
      <w:pPr>
        <w:ind w:left="7060" w:hanging="248"/>
      </w:pPr>
      <w:rPr>
        <w:rFonts w:hint="default"/>
      </w:rPr>
    </w:lvl>
    <w:lvl w:ilvl="8" w:tplc="4F20D26C">
      <w:numFmt w:val="bullet"/>
      <w:lvlText w:val="•"/>
      <w:lvlJc w:val="left"/>
      <w:pPr>
        <w:ind w:left="8090" w:hanging="248"/>
      </w:pPr>
      <w:rPr>
        <w:rFonts w:hint="default"/>
      </w:rPr>
    </w:lvl>
  </w:abstractNum>
  <w:abstractNum w:abstractNumId="16" w15:restartNumberingAfterBreak="0">
    <w:nsid w:val="7B9B4F8A"/>
    <w:multiLevelType w:val="hybridMultilevel"/>
    <w:tmpl w:val="37900D32"/>
    <w:lvl w:ilvl="0" w:tplc="7A7449D8">
      <w:start w:val="1"/>
      <w:numFmt w:val="decimal"/>
      <w:lvlText w:val="%1."/>
      <w:lvlJc w:val="left"/>
      <w:pPr>
        <w:ind w:left="452" w:hanging="361"/>
        <w:jc w:val="left"/>
      </w:pPr>
      <w:rPr>
        <w:rFonts w:ascii="Arial" w:eastAsia="Arial" w:hAnsi="Arial" w:cs="Arial" w:hint="default"/>
        <w:spacing w:val="-1"/>
        <w:w w:val="100"/>
        <w:sz w:val="22"/>
        <w:szCs w:val="22"/>
      </w:rPr>
    </w:lvl>
    <w:lvl w:ilvl="1" w:tplc="3E8E48D2">
      <w:numFmt w:val="bullet"/>
      <w:lvlText w:val="•"/>
      <w:lvlJc w:val="left"/>
      <w:pPr>
        <w:ind w:left="1457" w:hanging="361"/>
      </w:pPr>
      <w:rPr>
        <w:rFonts w:hint="default"/>
      </w:rPr>
    </w:lvl>
    <w:lvl w:ilvl="2" w:tplc="F89632EC">
      <w:numFmt w:val="bullet"/>
      <w:lvlText w:val="•"/>
      <w:lvlJc w:val="left"/>
      <w:pPr>
        <w:ind w:left="2454" w:hanging="361"/>
      </w:pPr>
      <w:rPr>
        <w:rFonts w:hint="default"/>
      </w:rPr>
    </w:lvl>
    <w:lvl w:ilvl="3" w:tplc="E736ACA8">
      <w:numFmt w:val="bullet"/>
      <w:lvlText w:val="•"/>
      <w:lvlJc w:val="left"/>
      <w:pPr>
        <w:ind w:left="3451" w:hanging="361"/>
      </w:pPr>
      <w:rPr>
        <w:rFonts w:hint="default"/>
      </w:rPr>
    </w:lvl>
    <w:lvl w:ilvl="4" w:tplc="5C720FA8">
      <w:numFmt w:val="bullet"/>
      <w:lvlText w:val="•"/>
      <w:lvlJc w:val="left"/>
      <w:pPr>
        <w:ind w:left="4448" w:hanging="361"/>
      </w:pPr>
      <w:rPr>
        <w:rFonts w:hint="default"/>
      </w:rPr>
    </w:lvl>
    <w:lvl w:ilvl="5" w:tplc="092AE5DC">
      <w:numFmt w:val="bullet"/>
      <w:lvlText w:val="•"/>
      <w:lvlJc w:val="left"/>
      <w:pPr>
        <w:ind w:left="5445" w:hanging="361"/>
      </w:pPr>
      <w:rPr>
        <w:rFonts w:hint="default"/>
      </w:rPr>
    </w:lvl>
    <w:lvl w:ilvl="6" w:tplc="CE7868F2">
      <w:numFmt w:val="bullet"/>
      <w:lvlText w:val="•"/>
      <w:lvlJc w:val="left"/>
      <w:pPr>
        <w:ind w:left="6442" w:hanging="361"/>
      </w:pPr>
      <w:rPr>
        <w:rFonts w:hint="default"/>
      </w:rPr>
    </w:lvl>
    <w:lvl w:ilvl="7" w:tplc="703667E2">
      <w:numFmt w:val="bullet"/>
      <w:lvlText w:val="•"/>
      <w:lvlJc w:val="left"/>
      <w:pPr>
        <w:ind w:left="7439" w:hanging="361"/>
      </w:pPr>
      <w:rPr>
        <w:rFonts w:hint="default"/>
      </w:rPr>
    </w:lvl>
    <w:lvl w:ilvl="8" w:tplc="CEEE04BC">
      <w:numFmt w:val="bullet"/>
      <w:lvlText w:val="•"/>
      <w:lvlJc w:val="left"/>
      <w:pPr>
        <w:ind w:left="8436" w:hanging="361"/>
      </w:pPr>
      <w:rPr>
        <w:rFonts w:hint="default"/>
      </w:rPr>
    </w:lvl>
  </w:abstractNum>
  <w:abstractNum w:abstractNumId="17" w15:restartNumberingAfterBreak="0">
    <w:nsid w:val="7C5924F9"/>
    <w:multiLevelType w:val="hybridMultilevel"/>
    <w:tmpl w:val="3F3E8D76"/>
    <w:lvl w:ilvl="0" w:tplc="58982C1A">
      <w:numFmt w:val="bullet"/>
      <w:lvlText w:val="-"/>
      <w:lvlJc w:val="left"/>
      <w:pPr>
        <w:ind w:left="532" w:hanging="361"/>
      </w:pPr>
      <w:rPr>
        <w:rFonts w:ascii="Times New Roman" w:eastAsia="Times New Roman" w:hAnsi="Times New Roman" w:cs="Times New Roman" w:hint="default"/>
        <w:w w:val="100"/>
        <w:sz w:val="22"/>
        <w:szCs w:val="22"/>
      </w:rPr>
    </w:lvl>
    <w:lvl w:ilvl="1" w:tplc="51FA3FD6">
      <w:numFmt w:val="bullet"/>
      <w:lvlText w:val="•"/>
      <w:lvlJc w:val="left"/>
      <w:pPr>
        <w:ind w:left="1529" w:hanging="361"/>
      </w:pPr>
      <w:rPr>
        <w:rFonts w:hint="default"/>
      </w:rPr>
    </w:lvl>
    <w:lvl w:ilvl="2" w:tplc="7AB28FC4">
      <w:numFmt w:val="bullet"/>
      <w:lvlText w:val="•"/>
      <w:lvlJc w:val="left"/>
      <w:pPr>
        <w:ind w:left="2518" w:hanging="361"/>
      </w:pPr>
      <w:rPr>
        <w:rFonts w:hint="default"/>
      </w:rPr>
    </w:lvl>
    <w:lvl w:ilvl="3" w:tplc="CEB20652">
      <w:numFmt w:val="bullet"/>
      <w:lvlText w:val="•"/>
      <w:lvlJc w:val="left"/>
      <w:pPr>
        <w:ind w:left="3507" w:hanging="361"/>
      </w:pPr>
      <w:rPr>
        <w:rFonts w:hint="default"/>
      </w:rPr>
    </w:lvl>
    <w:lvl w:ilvl="4" w:tplc="B96C0F2A">
      <w:numFmt w:val="bullet"/>
      <w:lvlText w:val="•"/>
      <w:lvlJc w:val="left"/>
      <w:pPr>
        <w:ind w:left="4496" w:hanging="361"/>
      </w:pPr>
      <w:rPr>
        <w:rFonts w:hint="default"/>
      </w:rPr>
    </w:lvl>
    <w:lvl w:ilvl="5" w:tplc="276CD4FE">
      <w:numFmt w:val="bullet"/>
      <w:lvlText w:val="•"/>
      <w:lvlJc w:val="left"/>
      <w:pPr>
        <w:ind w:left="5485" w:hanging="361"/>
      </w:pPr>
      <w:rPr>
        <w:rFonts w:hint="default"/>
      </w:rPr>
    </w:lvl>
    <w:lvl w:ilvl="6" w:tplc="C430146C">
      <w:numFmt w:val="bullet"/>
      <w:lvlText w:val="•"/>
      <w:lvlJc w:val="left"/>
      <w:pPr>
        <w:ind w:left="6474" w:hanging="361"/>
      </w:pPr>
      <w:rPr>
        <w:rFonts w:hint="default"/>
      </w:rPr>
    </w:lvl>
    <w:lvl w:ilvl="7" w:tplc="D37EFF3A">
      <w:numFmt w:val="bullet"/>
      <w:lvlText w:val="•"/>
      <w:lvlJc w:val="left"/>
      <w:pPr>
        <w:ind w:left="7463" w:hanging="361"/>
      </w:pPr>
      <w:rPr>
        <w:rFonts w:hint="default"/>
      </w:rPr>
    </w:lvl>
    <w:lvl w:ilvl="8" w:tplc="15C0D282">
      <w:numFmt w:val="bullet"/>
      <w:lvlText w:val="•"/>
      <w:lvlJc w:val="left"/>
      <w:pPr>
        <w:ind w:left="8452" w:hanging="361"/>
      </w:pPr>
      <w:rPr>
        <w:rFonts w:hint="default"/>
      </w:rPr>
    </w:lvl>
  </w:abstractNum>
  <w:abstractNum w:abstractNumId="18" w15:restartNumberingAfterBreak="0">
    <w:nsid w:val="7CC85708"/>
    <w:multiLevelType w:val="hybridMultilevel"/>
    <w:tmpl w:val="2E96AA42"/>
    <w:lvl w:ilvl="0" w:tplc="1C148418">
      <w:numFmt w:val="bullet"/>
      <w:lvlText w:val="-"/>
      <w:lvlJc w:val="left"/>
      <w:pPr>
        <w:ind w:left="872" w:hanging="360"/>
      </w:pPr>
      <w:rPr>
        <w:rFonts w:ascii="Calibri" w:eastAsia="Calibri" w:hAnsi="Calibri" w:cs="Calibri" w:hint="default"/>
        <w:w w:val="100"/>
        <w:sz w:val="22"/>
        <w:szCs w:val="22"/>
      </w:rPr>
    </w:lvl>
    <w:lvl w:ilvl="1" w:tplc="FAAADC90">
      <w:numFmt w:val="bullet"/>
      <w:lvlText w:val="•"/>
      <w:lvlJc w:val="left"/>
      <w:pPr>
        <w:ind w:left="1839" w:hanging="360"/>
      </w:pPr>
      <w:rPr>
        <w:rFonts w:hint="default"/>
      </w:rPr>
    </w:lvl>
    <w:lvl w:ilvl="2" w:tplc="0F3E14F6">
      <w:numFmt w:val="bullet"/>
      <w:lvlText w:val="•"/>
      <w:lvlJc w:val="left"/>
      <w:pPr>
        <w:ind w:left="2798" w:hanging="360"/>
      </w:pPr>
      <w:rPr>
        <w:rFonts w:hint="default"/>
      </w:rPr>
    </w:lvl>
    <w:lvl w:ilvl="3" w:tplc="9490FB12">
      <w:numFmt w:val="bullet"/>
      <w:lvlText w:val="•"/>
      <w:lvlJc w:val="left"/>
      <w:pPr>
        <w:ind w:left="3757" w:hanging="360"/>
      </w:pPr>
      <w:rPr>
        <w:rFonts w:hint="default"/>
      </w:rPr>
    </w:lvl>
    <w:lvl w:ilvl="4" w:tplc="8B7EC5F6">
      <w:numFmt w:val="bullet"/>
      <w:lvlText w:val="•"/>
      <w:lvlJc w:val="left"/>
      <w:pPr>
        <w:ind w:left="4716" w:hanging="360"/>
      </w:pPr>
      <w:rPr>
        <w:rFonts w:hint="default"/>
      </w:rPr>
    </w:lvl>
    <w:lvl w:ilvl="5" w:tplc="FC3AEB38">
      <w:numFmt w:val="bullet"/>
      <w:lvlText w:val="•"/>
      <w:lvlJc w:val="left"/>
      <w:pPr>
        <w:ind w:left="5675" w:hanging="360"/>
      </w:pPr>
      <w:rPr>
        <w:rFonts w:hint="default"/>
      </w:rPr>
    </w:lvl>
    <w:lvl w:ilvl="6" w:tplc="40F09C26">
      <w:numFmt w:val="bullet"/>
      <w:lvlText w:val="•"/>
      <w:lvlJc w:val="left"/>
      <w:pPr>
        <w:ind w:left="6634" w:hanging="360"/>
      </w:pPr>
      <w:rPr>
        <w:rFonts w:hint="default"/>
      </w:rPr>
    </w:lvl>
    <w:lvl w:ilvl="7" w:tplc="CB96C33C">
      <w:numFmt w:val="bullet"/>
      <w:lvlText w:val="•"/>
      <w:lvlJc w:val="left"/>
      <w:pPr>
        <w:ind w:left="7593" w:hanging="360"/>
      </w:pPr>
      <w:rPr>
        <w:rFonts w:hint="default"/>
      </w:rPr>
    </w:lvl>
    <w:lvl w:ilvl="8" w:tplc="79308C8E">
      <w:numFmt w:val="bullet"/>
      <w:lvlText w:val="•"/>
      <w:lvlJc w:val="left"/>
      <w:pPr>
        <w:ind w:left="8552" w:hanging="360"/>
      </w:pPr>
      <w:rPr>
        <w:rFonts w:hint="default"/>
      </w:rPr>
    </w:lvl>
  </w:abstractNum>
  <w:num w:numId="1">
    <w:abstractNumId w:val="0"/>
  </w:num>
  <w:num w:numId="2">
    <w:abstractNumId w:val="2"/>
  </w:num>
  <w:num w:numId="3">
    <w:abstractNumId w:val="13"/>
  </w:num>
  <w:num w:numId="4">
    <w:abstractNumId w:val="12"/>
  </w:num>
  <w:num w:numId="5">
    <w:abstractNumId w:val="16"/>
  </w:num>
  <w:num w:numId="6">
    <w:abstractNumId w:val="17"/>
  </w:num>
  <w:num w:numId="7">
    <w:abstractNumId w:val="11"/>
  </w:num>
  <w:num w:numId="8">
    <w:abstractNumId w:val="8"/>
  </w:num>
  <w:num w:numId="9">
    <w:abstractNumId w:val="14"/>
  </w:num>
  <w:num w:numId="10">
    <w:abstractNumId w:val="5"/>
  </w:num>
  <w:num w:numId="11">
    <w:abstractNumId w:val="4"/>
  </w:num>
  <w:num w:numId="12">
    <w:abstractNumId w:val="18"/>
  </w:num>
  <w:num w:numId="13">
    <w:abstractNumId w:val="15"/>
  </w:num>
  <w:num w:numId="14">
    <w:abstractNumId w:val="1"/>
  </w:num>
  <w:num w:numId="15">
    <w:abstractNumId w:val="7"/>
  </w:num>
  <w:num w:numId="16">
    <w:abstractNumId w:val="9"/>
  </w:num>
  <w:num w:numId="17">
    <w:abstractNumId w:val="10"/>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55"/>
    <w:rsid w:val="00123455"/>
    <w:rsid w:val="0092558B"/>
    <w:rsid w:val="00DA78FB"/>
    <w:rsid w:val="00E91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314C431-6C1B-4E52-BF78-5F91CCA4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3126" w:right="3125"/>
      <w:jc w:val="center"/>
      <w:outlineLvl w:val="0"/>
    </w:pPr>
    <w:rPr>
      <w:b/>
      <w:bCs/>
      <w:sz w:val="26"/>
      <w:szCs w:val="26"/>
      <w:u w:val="single" w:color="000000"/>
    </w:rPr>
  </w:style>
  <w:style w:type="paragraph" w:styleId="Nadpis2">
    <w:name w:val="heading 2"/>
    <w:basedOn w:val="Normln"/>
    <w:uiPriority w:val="1"/>
    <w:qFormat/>
    <w:pPr>
      <w:spacing w:line="252" w:lineRule="exact"/>
      <w:ind w:left="112"/>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39"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Zerodu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Ultra_low_expansion_glass" TargetMode="External"/><Relationship Id="rId4" Type="http://schemas.openxmlformats.org/officeDocument/2006/relationships/webSettings" Target="webSettings.xml"/><Relationship Id="rId9" Type="http://schemas.openxmlformats.org/officeDocument/2006/relationships/hyperlink" Target="https://en.wikipedia.org/wiki/Ultra_low_expansion_glass"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8873</Words>
  <Characters>52353</Characters>
  <Application>Microsoft Office Word</Application>
  <DocSecurity>4</DocSecurity>
  <Lines>436</Lines>
  <Paragraphs>122</Paragraphs>
  <ScaleCrop>false</ScaleCrop>
  <HeadingPairs>
    <vt:vector size="2" baseType="variant">
      <vt:variant>
        <vt:lpstr>Název</vt:lpstr>
      </vt:variant>
      <vt:variant>
        <vt:i4>1</vt:i4>
      </vt:variant>
    </vt:vector>
  </HeadingPairs>
  <TitlesOfParts>
    <vt:vector size="1" baseType="lpstr">
      <vt:lpstr>POJISTNÁ SMLOUVA</vt:lpstr>
    </vt:vector>
  </TitlesOfParts>
  <Company>FZU</Company>
  <LinksUpToDate>false</LinksUpToDate>
  <CharactersWithSpaces>61104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Barteková Eva</cp:lastModifiedBy>
  <cp:revision>2</cp:revision>
  <dcterms:created xsi:type="dcterms:W3CDTF">2023-09-18T12:03:00Z</dcterms:created>
  <dcterms:modified xsi:type="dcterms:W3CDTF">2023-09-18T12:03:00Z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pro Microsoft 365</vt:lpwstr>
  </property>
  <property fmtid="{D5CDD505-2E9C-101B-9397-08002B2CF9AE}" pid="4" name="LastSaved">
    <vt:filetime>2023-08-28T00:00:00Z</vt:filetime>
  </property>
</Properties>
</file>