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59C9C2CE" w:rsidR="00726B26" w:rsidRPr="00726B26" w:rsidRDefault="00C440DD" w:rsidP="00726B26">
      <w:pPr>
        <w:rPr>
          <w:b/>
        </w:rPr>
      </w:pPr>
      <w:r>
        <w:rPr>
          <w:b/>
        </w:rPr>
        <w:t>VENCL, s r.o.</w:t>
      </w:r>
    </w:p>
    <w:p w14:paraId="11EC8AB2" w14:textId="34C68C01" w:rsidR="00726B26" w:rsidRDefault="00726B26" w:rsidP="00726B26">
      <w:r>
        <w:t xml:space="preserve">IČ: </w:t>
      </w:r>
      <w:r w:rsidR="00C440DD">
        <w:t>61509051</w:t>
      </w:r>
    </w:p>
    <w:p w14:paraId="3A9189DC" w14:textId="060C75D9" w:rsidR="00726B26" w:rsidRPr="00512AB9" w:rsidRDefault="00726B26" w:rsidP="00726B26">
      <w:r>
        <w:t xml:space="preserve">DIČ: </w:t>
      </w:r>
      <w:r w:rsidR="00C440DD">
        <w:t>CZ61509051</w:t>
      </w:r>
    </w:p>
    <w:p w14:paraId="7C62836D" w14:textId="016FF76A" w:rsidR="00726B26" w:rsidRPr="00512AB9" w:rsidRDefault="00726B26" w:rsidP="00726B26">
      <w:r>
        <w:t>se sídlem</w:t>
      </w:r>
      <w:r w:rsidRPr="00512AB9">
        <w:t xml:space="preserve">:  </w:t>
      </w:r>
      <w:r w:rsidR="00F31AB2">
        <w:t>N</w:t>
      </w:r>
      <w:r w:rsidR="00C440DD">
        <w:t>a Dlážděnce 737/50b, 182 00 Praha 8</w:t>
      </w:r>
    </w:p>
    <w:p w14:paraId="6A58E9E0" w14:textId="04077D5D" w:rsidR="00726B26" w:rsidRPr="00512AB9" w:rsidRDefault="00726B26" w:rsidP="00726B26">
      <w:r>
        <w:t>zastoupena</w:t>
      </w:r>
      <w:r w:rsidRPr="00512AB9">
        <w:t xml:space="preserve">: </w:t>
      </w:r>
      <w:r w:rsidR="00C440DD">
        <w:t>Ing. Radek Vencl, jednatel</w:t>
      </w:r>
    </w:p>
    <w:p w14:paraId="70112B30" w14:textId="581C1EED" w:rsidR="00726B26" w:rsidRPr="00512AB9" w:rsidRDefault="00726B26" w:rsidP="00726B26">
      <w:r w:rsidRPr="00512AB9">
        <w:t xml:space="preserve">bankovní spojení: </w:t>
      </w:r>
      <w:r w:rsidR="00C440DD">
        <w:t>Citibank Europe, plc, organizační složka</w:t>
      </w:r>
    </w:p>
    <w:p w14:paraId="5DB2B118" w14:textId="4D89BEAB" w:rsidR="00726B26" w:rsidRPr="00512AB9" w:rsidRDefault="00726B26" w:rsidP="00726B26">
      <w:r w:rsidRPr="00512AB9">
        <w:t xml:space="preserve">číslo účtu: </w:t>
      </w:r>
      <w:r w:rsidR="00C440DD">
        <w:t>5000322002/2600</w:t>
      </w:r>
    </w:p>
    <w:p w14:paraId="2B40CBD9" w14:textId="2ED41454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C440DD">
        <w:t>Městským</w:t>
      </w:r>
      <w:r>
        <w:t xml:space="preserve"> </w:t>
      </w:r>
      <w:r w:rsidRPr="00652864">
        <w:t>soudem v </w:t>
      </w:r>
      <w:r w:rsidR="00C440DD">
        <w:t>Praze</w:t>
      </w:r>
      <w:r w:rsidRPr="00652864">
        <w:t xml:space="preserve">, oddíl </w:t>
      </w:r>
      <w:r w:rsidR="00C440DD">
        <w:t>C</w:t>
      </w:r>
      <w:r w:rsidRPr="00652864">
        <w:t xml:space="preserve">, vložka </w:t>
      </w:r>
      <w:r w:rsidR="00C440DD">
        <w:t>30192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38D095B1" w14:textId="7BBC4F99" w:rsidR="00726B26" w:rsidRPr="002B77A6" w:rsidRDefault="00DD5922" w:rsidP="00DD5922">
      <w:pPr>
        <w:pStyle w:val="Nadpis1"/>
      </w:pPr>
      <w:r>
        <w:t>Ú</w:t>
      </w:r>
      <w:r w:rsidR="00BE50CA">
        <w:t xml:space="preserve">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176F90EC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8616C9">
        <w:t>Papírové ručníky</w:t>
      </w:r>
      <w:r>
        <w:t>“</w:t>
      </w:r>
      <w:r w:rsidR="00E12A6D">
        <w:t xml:space="preserve">, část </w:t>
      </w:r>
      <w:r w:rsidR="00F31AB2">
        <w:t>2</w:t>
      </w:r>
      <w:r>
        <w:t xml:space="preserve"> </w:t>
      </w:r>
      <w:r w:rsidR="00490EC4">
        <w:t xml:space="preserve">– Bílé papírové ručníky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</w:t>
      </w:r>
      <w:r w:rsidR="00295ADC">
        <w:lastRenderedPageBreak/>
        <w:t>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B209BF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5BF0A25A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4D5A78C2" w14:textId="77777777" w:rsidR="00A21ED5" w:rsidRDefault="00A21ED5" w:rsidP="00A21ED5"/>
    <w:p w14:paraId="766DB418" w14:textId="74D1F6ED" w:rsidR="00A21ED5" w:rsidRDefault="008A3C1E" w:rsidP="00014CFB">
      <w:pPr>
        <w:pStyle w:val="Odstavecsmlouvy"/>
      </w:pPr>
      <w:r>
        <w:t xml:space="preserve">Dodané Zboží musí odpovídat dokladům uvedeným v příloze č. 2 této smlouvy. </w:t>
      </w:r>
      <w:r w:rsidR="00A21ED5">
        <w:t>Pokud Prodávající na základě Zadávací dokumentace předložil v zadávacím řízení na Veřejnou zakázku Kupujícímu vzorek Zboží, je povinen Kupujícímu na základě této smlouvy dodávat výhradně Zboží, které se shoduje s tímto vzorkem.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0CF20DBD" w:rsidR="00014CFB" w:rsidRDefault="00014CFB" w:rsidP="00014CFB">
      <w:pPr>
        <w:pStyle w:val="Psmenoodstavce"/>
      </w:pPr>
      <w:r>
        <w:t>e-mailem na adresu</w:t>
      </w:r>
      <w:r w:rsidR="00E01817">
        <w:t xml:space="preserve"> XXX</w:t>
      </w:r>
    </w:p>
    <w:p w14:paraId="529C2256" w14:textId="67B8C78B" w:rsidR="00014CFB" w:rsidRDefault="00014CFB" w:rsidP="00014CFB">
      <w:pPr>
        <w:pStyle w:val="Psmenoodstavce"/>
      </w:pPr>
      <w:r>
        <w:t xml:space="preserve">faxem na telefonní číslo </w:t>
      </w:r>
      <w:r w:rsidR="00F31AB2">
        <w:t>-</w:t>
      </w:r>
    </w:p>
    <w:p w14:paraId="4ADE2850" w14:textId="4B769AE9" w:rsidR="00014CFB" w:rsidRDefault="00014CFB" w:rsidP="00014CFB">
      <w:pPr>
        <w:pStyle w:val="Psmenoodstavce"/>
      </w:pPr>
      <w:r>
        <w:t xml:space="preserve">v internetovém systému Prodávajícího na adrese </w:t>
      </w:r>
      <w:r w:rsidR="00F31AB2">
        <w:t>-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2519D5D0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E01817">
        <w:t>XXX</w:t>
      </w:r>
      <w:r>
        <w:t xml:space="preserve">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71D68A49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</w:t>
      </w:r>
      <w:r w:rsidR="00752EE0">
        <w:t>, nejpozději do 24 hodin,</w:t>
      </w:r>
      <w:r>
        <w:t xml:space="preserve"> po přijetí Objednávky na </w:t>
      </w:r>
      <w:r w:rsidR="00752EE0">
        <w:t xml:space="preserve">adresu </w:t>
      </w:r>
      <w:r w:rsidR="00E01817" w:rsidRPr="00E01817">
        <w:t>X</w:t>
      </w:r>
      <w:r w:rsidR="00E01817">
        <w:t>XX</w:t>
      </w:r>
      <w:r w:rsidR="00752EE0">
        <w:t xml:space="preserve"> a na </w:t>
      </w:r>
      <w:r>
        <w:t>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</w:t>
      </w:r>
      <w:r w:rsidR="00752EE0">
        <w:t>, nejpozději však do 24 hodin,</w:t>
      </w:r>
      <w:r>
        <w:t xml:space="preserve"> </w:t>
      </w:r>
      <w:r w:rsidR="00752EE0">
        <w:t xml:space="preserve">po přijetí Objednávky </w:t>
      </w:r>
      <w:r>
        <w:t>na adresu</w:t>
      </w:r>
      <w:r w:rsidR="00E01817">
        <w:t xml:space="preserve"> XXX</w:t>
      </w:r>
      <w:r>
        <w:t xml:space="preserve"> 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513DA8DD" w14:textId="77777777" w:rsidR="00BE451F" w:rsidRPr="002B77A6" w:rsidRDefault="00BE451F" w:rsidP="000C1FD1">
      <w:pPr>
        <w:jc w:val="center"/>
        <w:rPr>
          <w:b/>
          <w:bCs/>
        </w:rPr>
      </w:pPr>
    </w:p>
    <w:p w14:paraId="4583F75C" w14:textId="77777777" w:rsidR="00014CFB" w:rsidRDefault="00014CFB" w:rsidP="00A21ED5">
      <w:pPr>
        <w:pStyle w:val="Nadpis1"/>
      </w:pPr>
      <w:bookmarkStart w:id="4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3427C3AB" w:rsidR="00014CFB" w:rsidRDefault="00014CFB" w:rsidP="00923251">
      <w:pPr>
        <w:pStyle w:val="Odstavecsmlouvy"/>
      </w:pPr>
      <w:r>
        <w:t xml:space="preserve">Místem dodání je </w:t>
      </w:r>
      <w:r w:rsidR="00752EE0">
        <w:t xml:space="preserve">Sklad materiálně-technického zásobování </w:t>
      </w:r>
      <w:r>
        <w:t xml:space="preserve">Fakultní nemocnice Brno, a to </w:t>
      </w:r>
      <w:r w:rsidR="002470C7">
        <w:t xml:space="preserve">dle volby Kupujícího </w:t>
      </w:r>
      <w:r w:rsidR="00752EE0">
        <w:t>p</w:t>
      </w:r>
      <w:r>
        <w:t xml:space="preserve">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9A2DAA7" w14:textId="748A42F2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752EE0">
        <w:rPr>
          <w:b/>
        </w:rPr>
        <w:t>tří</w:t>
      </w:r>
      <w:r w:rsidR="00D66210">
        <w:rPr>
          <w:b/>
        </w:rPr>
        <w:t xml:space="preserve"> </w:t>
      </w:r>
      <w:r w:rsidR="00CC0811">
        <w:rPr>
          <w:b/>
        </w:rPr>
        <w:t>pracovních</w:t>
      </w:r>
      <w:r w:rsidR="00752EE0">
        <w:rPr>
          <w:b/>
        </w:rPr>
        <w:t xml:space="preserve"> </w:t>
      </w:r>
      <w:r w:rsidR="00D66210">
        <w:rPr>
          <w:b/>
        </w:rPr>
        <w:t>dnů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v pracovních dnech v době od </w:t>
      </w:r>
      <w:r w:rsidR="00752EE0">
        <w:t>7</w:t>
      </w:r>
      <w:r w:rsidR="00806564">
        <w:t>:00 hodin do 1</w:t>
      </w:r>
      <w:r w:rsidR="00752EE0">
        <w:t>4</w:t>
      </w:r>
      <w:r w:rsidR="00806564">
        <w:t>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lastRenderedPageBreak/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14B462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322BF4">
        <w:t>PDF</w:t>
      </w:r>
      <w:r w:rsidR="00806564">
        <w:t>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346E0A3E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083B7681" w14:textId="36EEC90E" w:rsidR="00C84E70" w:rsidRDefault="00C84E70" w:rsidP="003E07FA">
      <w:pPr>
        <w:pStyle w:val="Psmenoodstavce"/>
        <w:ind w:left="1418" w:firstLine="0"/>
      </w:pPr>
      <w:r>
        <w:t>číslo Objednávky</w:t>
      </w:r>
      <w:r w:rsidR="00752EE0">
        <w:t xml:space="preserve"> Kupujícího</w:t>
      </w:r>
      <w:r>
        <w:t>;</w:t>
      </w:r>
    </w:p>
    <w:p w14:paraId="1A652287" w14:textId="01A3E772" w:rsidR="00806564" w:rsidRDefault="00806564" w:rsidP="003E07FA">
      <w:pPr>
        <w:pStyle w:val="Psmenoodstavce"/>
        <w:ind w:left="1418" w:firstLine="0"/>
      </w:pPr>
      <w:r>
        <w:t>číslo této smlouvy dle číslování Kupujícího;</w:t>
      </w:r>
    </w:p>
    <w:p w14:paraId="34EA521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1C5CD770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30C1A04E" w14:textId="3CA7A2A6" w:rsidR="00EA4C8B" w:rsidRDefault="00EA4C8B" w:rsidP="003E07FA">
      <w:pPr>
        <w:pStyle w:val="Psmenoodstavce"/>
        <w:ind w:left="1418" w:firstLine="0"/>
      </w:pPr>
      <w:r>
        <w:t>jednotkové ceny dodané</w:t>
      </w:r>
      <w:r w:rsidR="00B209BF">
        <w:t>ho Zboží (bez DPH a včetně DPH).</w:t>
      </w:r>
    </w:p>
    <w:p w14:paraId="62427E30" w14:textId="77777777" w:rsidR="00B57703" w:rsidRDefault="00B57703" w:rsidP="003E07FA">
      <w:pPr>
        <w:pStyle w:val="Odstavecsmlouvy"/>
        <w:numPr>
          <w:ilvl w:val="0"/>
          <w:numId w:val="0"/>
        </w:numPr>
        <w:ind w:left="567"/>
      </w:pPr>
    </w:p>
    <w:p w14:paraId="2BEFF279" w14:textId="06177CFF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38B7458" w14:textId="77777777" w:rsidR="00014CFB" w:rsidRDefault="00014CFB" w:rsidP="00014CFB">
      <w:pPr>
        <w:pStyle w:val="Odstavecsmlouvy"/>
      </w:pPr>
      <w:r>
        <w:lastRenderedPageBreak/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7FB4FC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15EEE10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C84E70">
        <w:t>541</w:t>
      </w:r>
      <w:r>
        <w:t>/20</w:t>
      </w:r>
      <w:r w:rsidR="00C84E70">
        <w:t>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4FE944A9" w:rsidR="000C1FD1" w:rsidRDefault="000C1FD1" w:rsidP="000C1FD1">
      <w:pPr>
        <w:pStyle w:val="Odstavecsmlouvy"/>
      </w:pPr>
      <w:r>
        <w:t xml:space="preserve">Navýšení Kupní ceny je možné pouze na základě </w:t>
      </w:r>
      <w:r w:rsidR="00B209BF">
        <w:t>písemného dodatku k této smlouvě</w:t>
      </w:r>
      <w:r w:rsidR="006D5E44">
        <w:t>.</w:t>
      </w:r>
      <w:r>
        <w:t xml:space="preserve"> </w:t>
      </w: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A21ED5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2A02188B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 xml:space="preserve">Prodávajícím a doručených Kupujícímu, </w:t>
      </w:r>
      <w:r w:rsidRPr="00C40508">
        <w:t>a to k jednotlivým Objednávkám.</w:t>
      </w:r>
      <w:r w:rsidRPr="00512AB9">
        <w:t xml:space="preserve">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4153EAB" w14:textId="4A8662E2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</w:t>
      </w:r>
      <w:r w:rsidR="00234E42">
        <w:t xml:space="preserve"> vystavení faktury</w:t>
      </w:r>
      <w:r w:rsidR="000C1FD1" w:rsidRPr="006925A2">
        <w:t>.</w:t>
      </w:r>
    </w:p>
    <w:p w14:paraId="2E11E74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FE39C95" w14:textId="2DF0494D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 xml:space="preserve">“), a musí na ní být </w:t>
      </w:r>
      <w:r w:rsidR="00234E42">
        <w:t xml:space="preserve">rovněž </w:t>
      </w:r>
      <w:r>
        <w:t>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6B923927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</w:t>
      </w:r>
      <w:r w:rsidR="00752EE0">
        <w:t xml:space="preserve"> Kupujícího</w:t>
      </w:r>
      <w:r>
        <w:t>, pokud faktura nahrazuje Dodací list;</w:t>
      </w:r>
    </w:p>
    <w:p w14:paraId="1FC69788" w14:textId="07F2AD3A" w:rsidR="00806564" w:rsidRDefault="00806564" w:rsidP="00806564">
      <w:pPr>
        <w:pStyle w:val="Psmenoodstavce"/>
      </w:pPr>
      <w:r>
        <w:t>číslo této smlouvy dle číslování Kupujícího;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0F576CF9" w14:textId="1BDADB25" w:rsidR="00754D50" w:rsidRDefault="000C1FD1" w:rsidP="00B209BF">
      <w:pPr>
        <w:pStyle w:val="Psmenoodstavce"/>
      </w:pPr>
      <w:r>
        <w:t xml:space="preserve">celková fakturovaná částka (bez DPH, včetně </w:t>
      </w:r>
      <w:r w:rsidR="00B209BF">
        <w:t>DPH)</w:t>
      </w:r>
      <w:r w:rsidR="00923251">
        <w:t>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</w:t>
      </w:r>
      <w:r w:rsidRPr="00A5343C">
        <w:lastRenderedPageBreak/>
        <w:t xml:space="preserve">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0DC6EE42" w:rsidR="0070760F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5FBCB5D6" w14:textId="77777777" w:rsidR="00A21ED5" w:rsidRDefault="00A21ED5" w:rsidP="00A21ED5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4ED968D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B209BF">
        <w:rPr>
          <w:b/>
        </w:rPr>
        <w:t>24 měsíců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</w:t>
      </w:r>
      <w:r w:rsidR="00DD5922">
        <w:t xml:space="preserve">Zboží bude po celou Záruční dobu </w:t>
      </w:r>
      <w:r w:rsidR="00DD5922"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DD5922">
        <w:t xml:space="preserve">celou Záruční </w:t>
      </w:r>
      <w:r w:rsidR="00DD5922" w:rsidRPr="00D859C2">
        <w:t>dobu</w:t>
      </w:r>
      <w:r w:rsidR="005452F8">
        <w:t>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3A590CDC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DD5922">
        <w:t>, nejpozději však ve lhůtě sjednané pro splnění Objednávky,</w:t>
      </w:r>
      <w:r w:rsidR="00B209BF">
        <w:t xml:space="preserve"> </w:t>
      </w:r>
      <w:r w:rsidRPr="00512AB9">
        <w:t xml:space="preserve">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>upujícímu cenu vadného zboží</w:t>
      </w:r>
      <w:r w:rsidR="00D91CD3">
        <w:t>, a to na základě opravného daňového dokladu</w:t>
      </w:r>
      <w:r w:rsidRPr="00512AB9">
        <w:t xml:space="preserve">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4B25C7F8" w14:textId="5A924C06" w:rsidR="00726B26" w:rsidRDefault="00726B26" w:rsidP="00726B26">
      <w:pPr>
        <w:jc w:val="center"/>
        <w:rPr>
          <w:b/>
          <w:bCs/>
        </w:rPr>
      </w:pPr>
    </w:p>
    <w:p w14:paraId="397B6A55" w14:textId="77777777" w:rsidR="00C956F4" w:rsidRPr="002B77A6" w:rsidRDefault="00C956F4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5EAE592" w14:textId="529FE2AD" w:rsidR="00CD098E" w:rsidRPr="00512AB9" w:rsidRDefault="00CD098E" w:rsidP="003E07FA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 xml:space="preserve">, </w:t>
      </w:r>
      <w:r w:rsidR="00C84E70">
        <w:t xml:space="preserve">minimálně však 500 Kč, </w:t>
      </w:r>
      <w:r>
        <w:t>a to</w:t>
      </w:r>
      <w:r w:rsidRPr="00512AB9">
        <w:t xml:space="preserve"> za každý započatý </w:t>
      </w:r>
      <w:r w:rsidR="00C84E70">
        <w:t xml:space="preserve">pracovní </w:t>
      </w:r>
      <w:r w:rsidR="00B209BF">
        <w:t>den prodlení.</w:t>
      </w:r>
    </w:p>
    <w:p w14:paraId="5F75E8E1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1A4694D5" w14:textId="5DDEE2F2" w:rsidR="00A21ED5" w:rsidRPr="00512AB9" w:rsidRDefault="008A3C1E" w:rsidP="00A21ED5">
      <w:pPr>
        <w:pStyle w:val="Odstavecsmlouvy"/>
      </w:pPr>
      <w:r>
        <w:t>Pokud</w:t>
      </w:r>
      <w:r w:rsidR="00A21ED5">
        <w:t xml:space="preserve"> </w:t>
      </w:r>
      <w:r w:rsidR="002C2585">
        <w:t xml:space="preserve">i jen část </w:t>
      </w:r>
      <w:r w:rsidR="00A21ED5">
        <w:t>dodané</w:t>
      </w:r>
      <w:r w:rsidR="002C2585">
        <w:t>ho</w:t>
      </w:r>
      <w:r w:rsidR="00A21ED5">
        <w:t xml:space="preserve"> Zboží </w:t>
      </w:r>
      <w:r>
        <w:t xml:space="preserve">neodpovídá dokladům uvedeným v příloze č. 2 této smlouvy nebo se </w:t>
      </w:r>
      <w:r w:rsidR="002C2585">
        <w:t>odlišuje</w:t>
      </w:r>
      <w:r w:rsidR="00A21ED5">
        <w:t xml:space="preserve"> od vzorku, který Prodávající předložil Kupujícímu na základě Zadávací dokumentace v zadávacím řízení na Veřejnou zakázku, jedná se o podstatné porušení této smlouvy, které Kupujícího opravňuje od této smlouvy odstoupit</w:t>
      </w:r>
      <w:r>
        <w:t>, a to bez ohledu na to, jaké</w:t>
      </w:r>
      <w:r w:rsidR="002C2585">
        <w:t xml:space="preserve"> část</w:t>
      </w:r>
      <w:r>
        <w:t>i</w:t>
      </w:r>
      <w:r w:rsidR="002C2585">
        <w:t xml:space="preserve"> dodaného Zboží se </w:t>
      </w:r>
      <w:r>
        <w:t>to týká</w:t>
      </w:r>
      <w:r w:rsidR="002C2585">
        <w:t>, kolik</w:t>
      </w:r>
      <w:r>
        <w:t>a</w:t>
      </w:r>
      <w:r w:rsidR="002C2585">
        <w:t xml:space="preserve"> dodávek </w:t>
      </w:r>
      <w:r>
        <w:t xml:space="preserve">se to týká </w:t>
      </w:r>
      <w:r w:rsidR="002C2585">
        <w:t xml:space="preserve">a kdy Kupující </w:t>
      </w:r>
      <w:r>
        <w:t xml:space="preserve">rozpor s přílohou č. 2 této smlouvy nebo </w:t>
      </w:r>
      <w:r w:rsidR="002C2585">
        <w:t>odlišnost Zboží od vzorku zjistil</w:t>
      </w:r>
      <w:r w:rsidR="00A21ED5">
        <w:t>. Prodávající v</w:t>
      </w:r>
      <w:r>
        <w:t xml:space="preserve"> takovém případě v </w:t>
      </w:r>
      <w:r w:rsidR="00A21ED5">
        <w:t xml:space="preserve">rozsahu stanoveném Kupujícím povinen od Kupujícího </w:t>
      </w:r>
      <w:r>
        <w:t xml:space="preserve">na své náklady </w:t>
      </w:r>
      <w:r w:rsidR="00A21ED5">
        <w:t xml:space="preserve">odebrat zpět již dodané, avšak dosud nespotřebované, Zboží a za takto zpětně odebrané Zboží Kupujícímu do 21 dnů od </w:t>
      </w:r>
      <w:r w:rsidR="002C2585">
        <w:t xml:space="preserve">písemné </w:t>
      </w:r>
      <w:r w:rsidR="00A21ED5">
        <w:t xml:space="preserve">výzvy </w:t>
      </w:r>
      <w:r w:rsidR="002C2585">
        <w:t xml:space="preserve">Kupujícího </w:t>
      </w:r>
      <w:r w:rsidR="00A21ED5">
        <w:t xml:space="preserve">vrátit plnou </w:t>
      </w:r>
      <w:r w:rsidR="002C2585">
        <w:t>K</w:t>
      </w:r>
      <w:r w:rsidR="00A21ED5">
        <w:t>upní cenu.</w:t>
      </w:r>
    </w:p>
    <w:p w14:paraId="20C8736B" w14:textId="77777777" w:rsidR="00A21ED5" w:rsidRDefault="00A21ED5" w:rsidP="00A21ED5">
      <w:pPr>
        <w:pStyle w:val="Odstavecsmlouvy"/>
        <w:numPr>
          <w:ilvl w:val="0"/>
          <w:numId w:val="0"/>
        </w:numPr>
        <w:ind w:left="567"/>
      </w:pPr>
    </w:p>
    <w:p w14:paraId="4973ED95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7F6E51E7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464916E2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A8A365C" w14:textId="6DA99C33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575F84" w:rsidRPr="001B1B66">
        <w:rPr>
          <w:b/>
        </w:rPr>
        <w:t>uveřejnění</w:t>
      </w:r>
      <w:r w:rsidR="001A48BC">
        <w:rPr>
          <w:b/>
        </w:rPr>
        <w:t>m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83291E">
        <w:rPr>
          <w:b/>
        </w:rPr>
        <w:t xml:space="preserve">na dobu </w:t>
      </w:r>
      <w:r w:rsidR="001A48BC" w:rsidRPr="0083291E">
        <w:rPr>
          <w:b/>
        </w:rPr>
        <w:t xml:space="preserve">určitou </w:t>
      </w:r>
      <w:r w:rsidR="00754D50" w:rsidRPr="0083291E">
        <w:rPr>
          <w:b/>
        </w:rPr>
        <w:t>2 let</w:t>
      </w:r>
      <w:r w:rsidR="00CE3F06" w:rsidRPr="0083291E">
        <w:rPr>
          <w:b/>
        </w:rPr>
        <w:t xml:space="preserve"> </w:t>
      </w:r>
      <w:r w:rsidR="001A48BC" w:rsidRPr="0083291E">
        <w:rPr>
          <w:b/>
        </w:rPr>
        <w:t xml:space="preserve">od </w:t>
      </w:r>
      <w:r w:rsidR="00CE3F06" w:rsidRPr="0083291E">
        <w:rPr>
          <w:b/>
        </w:rPr>
        <w:t>nabytí účinnosti této smlouvy</w:t>
      </w:r>
      <w:r w:rsidRPr="009F5A27">
        <w:t>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</w:t>
      </w:r>
      <w:r>
        <w:lastRenderedPageBreak/>
        <w:t xml:space="preserve">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5051CAB" w14:textId="75715902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</w:t>
      </w:r>
      <w:r w:rsidR="005E645C">
        <w:rPr>
          <w:snapToGrid w:val="0"/>
        </w:rPr>
        <w:t xml:space="preserve"> třech</w:t>
      </w:r>
      <w:r w:rsidRPr="00684BFA">
        <w:rPr>
          <w:snapToGrid w:val="0"/>
        </w:rPr>
        <w:t xml:space="preserve"> 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5E645C">
        <w:rPr>
          <w:snapToGrid w:val="0"/>
        </w:rPr>
        <w:t xml:space="preserve">dvě </w:t>
      </w:r>
      <w:r w:rsidR="00451B43">
        <w:rPr>
          <w:snapToGrid w:val="0"/>
        </w:rPr>
        <w:t>vyhotovení</w:t>
      </w:r>
      <w:r w:rsidR="00023008">
        <w:rPr>
          <w:snapToGrid w:val="0"/>
        </w:rPr>
        <w:t>.</w:t>
      </w:r>
      <w:r w:rsidR="005E645C">
        <w:rPr>
          <w:snapToGrid w:val="0"/>
        </w:rPr>
        <w:t xml:space="preserve"> Je-li </w:t>
      </w:r>
      <w:r w:rsidR="002F3021">
        <w:rPr>
          <w:snapToGrid w:val="0"/>
        </w:rPr>
        <w:t xml:space="preserve">však tato </w:t>
      </w:r>
      <w:r w:rsidR="005E645C">
        <w:rPr>
          <w:snapToGrid w:val="0"/>
        </w:rPr>
        <w:t>smlouva uzavřena elektronicky, obdrží každá smluvní strana jednu kopii elektronického originálu.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50BBE44E" w14:textId="77777777" w:rsidR="00B43AA7" w:rsidRDefault="00B43AA7" w:rsidP="00B43AA7">
      <w:pPr>
        <w:pStyle w:val="Odstavecsmlouvy"/>
      </w:pPr>
      <w:r>
        <w:t>Nedílnou součástí této smlouvy jsou tyto její přílohy:</w:t>
      </w:r>
    </w:p>
    <w:p w14:paraId="533271BB" w14:textId="77777777" w:rsidR="00B43AA7" w:rsidRDefault="00B43AA7" w:rsidP="00B43AA7">
      <w:pPr>
        <w:pStyle w:val="Odstavecsmlouvy"/>
        <w:numPr>
          <w:ilvl w:val="0"/>
          <w:numId w:val="0"/>
        </w:numPr>
        <w:ind w:left="1416"/>
      </w:pPr>
      <w:r>
        <w:t>Příloha č. 1: Specifikace Zboží a jednotkové kupní ceny;</w:t>
      </w:r>
    </w:p>
    <w:p w14:paraId="5141F444" w14:textId="77777777" w:rsidR="00B43AA7" w:rsidRDefault="00B43AA7" w:rsidP="00B43AA7">
      <w:pPr>
        <w:pStyle w:val="Odstavecsmlouvy"/>
        <w:numPr>
          <w:ilvl w:val="0"/>
          <w:numId w:val="0"/>
        </w:numPr>
        <w:ind w:left="1416"/>
      </w:pPr>
      <w:r>
        <w:t xml:space="preserve">Příloha č. 2: </w:t>
      </w:r>
      <w:r w:rsidRPr="0066748B">
        <w:t>Doklady vydané výrobcem Zboží osvědčující některé vlastnosti Zboží</w:t>
      </w:r>
      <w:r>
        <w:t>.</w:t>
      </w:r>
    </w:p>
    <w:p w14:paraId="019C38D6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13D2CBA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29E6D469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B5DAE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8E5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338F3271" w:rsidR="004A45B0" w:rsidRPr="00D722DC" w:rsidRDefault="00AB5DA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VENCL, s r.o.</w:t>
            </w:r>
          </w:p>
          <w:p w14:paraId="72AE30CD" w14:textId="52EEFFA7" w:rsidR="004A45B0" w:rsidRPr="00D722DC" w:rsidRDefault="00AB5DA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Radek Vencl,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33BCC31" w14:textId="77777777" w:rsidR="00484741" w:rsidRDefault="00484741" w:rsidP="007E416F">
      <w:pPr>
        <w:jc w:val="center"/>
        <w:rPr>
          <w:b/>
        </w:rPr>
        <w:sectPr w:rsidR="00484741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507CEA78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78FBF9D" w14:textId="77777777" w:rsidR="00484741" w:rsidRDefault="00484741" w:rsidP="00484741">
      <w:pPr>
        <w:rPr>
          <w:b/>
        </w:rPr>
      </w:pPr>
    </w:p>
    <w:p w14:paraId="10B6E5AC" w14:textId="77777777" w:rsidR="00484741" w:rsidRPr="007056C5" w:rsidRDefault="00484741" w:rsidP="00484741">
      <w:pPr>
        <w:rPr>
          <w:u w:val="single"/>
        </w:rPr>
      </w:pPr>
      <w:r w:rsidRPr="007056C5">
        <w:rPr>
          <w:u w:val="single"/>
        </w:rPr>
        <w:t>Specifikace Zboží:</w:t>
      </w:r>
    </w:p>
    <w:p w14:paraId="53959FB8" w14:textId="77777777" w:rsidR="00484741" w:rsidRDefault="00484741" w:rsidP="00484741">
      <w:pPr>
        <w:rPr>
          <w:b/>
        </w:rPr>
      </w:pPr>
    </w:p>
    <w:p w14:paraId="2E1D4470" w14:textId="4050DC95" w:rsidR="00484741" w:rsidRDefault="00132C8D" w:rsidP="00484741">
      <w:r>
        <w:t>Bílé papírové ručníky</w:t>
      </w:r>
    </w:p>
    <w:p w14:paraId="33D75A6D" w14:textId="77777777" w:rsidR="00484741" w:rsidRDefault="00484741" w:rsidP="00484741"/>
    <w:p w14:paraId="67B4C3FD" w14:textId="37001C4E" w:rsidR="00484741" w:rsidRPr="007056C5" w:rsidRDefault="00484741" w:rsidP="00484741">
      <w:pPr>
        <w:rPr>
          <w:u w:val="single"/>
        </w:rPr>
      </w:pPr>
      <w:r w:rsidRPr="007056C5">
        <w:rPr>
          <w:u w:val="single"/>
        </w:rPr>
        <w:t xml:space="preserve">Jednotková </w:t>
      </w:r>
      <w:r w:rsidR="000A24F4">
        <w:rPr>
          <w:u w:val="single"/>
        </w:rPr>
        <w:t xml:space="preserve">kupní </w:t>
      </w:r>
      <w:r w:rsidRPr="007056C5">
        <w:rPr>
          <w:u w:val="single"/>
        </w:rPr>
        <w:t>cena:</w:t>
      </w:r>
    </w:p>
    <w:p w14:paraId="1CCFAA30" w14:textId="77777777" w:rsidR="00484741" w:rsidRDefault="00484741" w:rsidP="00484741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843"/>
        <w:gridCol w:w="1701"/>
        <w:gridCol w:w="1701"/>
        <w:gridCol w:w="1701"/>
        <w:gridCol w:w="1559"/>
        <w:gridCol w:w="1843"/>
      </w:tblGrid>
      <w:tr w:rsidR="0083291E" w14:paraId="0EF263FD" w14:textId="77777777" w:rsidTr="00367E78">
        <w:trPr>
          <w:trHeight w:val="52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781D4" w14:textId="3375AB83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Specifikace Zboží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3C775B" w14:textId="7613B484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Počet kusů v 1 balení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4A6A961" w14:textId="28299FE4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Údaje vztahující se k předpokládanému odběru v kusech (tj. nikoli v baleních)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B47075E" w14:textId="6E9E703E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 xml:space="preserve">Údaje vztahující se k 1 </w:t>
            </w:r>
            <w:r w:rsidRPr="0083291E">
              <w:rPr>
                <w:b/>
                <w:u w:val="single"/>
              </w:rPr>
              <w:t>balení</w:t>
            </w:r>
          </w:p>
        </w:tc>
      </w:tr>
      <w:tr w:rsidR="0083291E" w14:paraId="5EAE0187" w14:textId="77777777" w:rsidTr="00367E78">
        <w:trPr>
          <w:trHeight w:val="523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AEC7" w14:textId="0CFF2686" w:rsidR="0083291E" w:rsidRDefault="0083291E" w:rsidP="0083291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E8A52B" w14:textId="2EF131E4" w:rsidR="0083291E" w:rsidRDefault="0083291E" w:rsidP="0083291E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AC9CB1F" w14:textId="6B8CC183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Předpokládaný počet odebraných kusů za 1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A823376" w14:textId="25D780AC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Cena za předpokládaný počet kusů odebraných za 1 rok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977DD0" w14:textId="1DB1133E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Cena za 1 balení bez DPH v 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FFD0F7C" w14:textId="3BC183BE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Sazba DPH v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A47C4D1" w14:textId="77777777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Výše DPH v 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E564551" w14:textId="3B5F724B" w:rsidR="0083291E" w:rsidRDefault="0083291E" w:rsidP="0083291E">
            <w:pPr>
              <w:jc w:val="center"/>
              <w:rPr>
                <w:b/>
              </w:rPr>
            </w:pPr>
            <w:r>
              <w:rPr>
                <w:b/>
              </w:rPr>
              <w:t>Cena za 1 balení včetně DPH v Kč</w:t>
            </w:r>
          </w:p>
        </w:tc>
      </w:tr>
      <w:tr w:rsidR="0083291E" w14:paraId="6A0C827F" w14:textId="77777777" w:rsidTr="0083291E">
        <w:trPr>
          <w:trHeight w:val="2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BB1B" w14:textId="77777777" w:rsidR="0083291E" w:rsidRDefault="00234B8C" w:rsidP="0083291E">
            <w:pPr>
              <w:jc w:val="center"/>
            </w:pPr>
            <w:r>
              <w:t>1154707/416627</w:t>
            </w:r>
          </w:p>
          <w:p w14:paraId="6C80F9A9" w14:textId="77777777" w:rsidR="00DC19F3" w:rsidRDefault="00234B8C" w:rsidP="0083291E">
            <w:pPr>
              <w:jc w:val="center"/>
            </w:pPr>
            <w:r>
              <w:t>PAPERNET „W SUPER“</w:t>
            </w:r>
          </w:p>
          <w:p w14:paraId="71719936" w14:textId="235A6CBF" w:rsidR="00234B8C" w:rsidRDefault="00DC19F3" w:rsidP="0083291E">
            <w:pPr>
              <w:jc w:val="center"/>
            </w:pPr>
            <w:r>
              <w:t>bílé papírové ručníky, 2 vrstvy, sklad W, rozměr útržku 220 x 320 mm, 100% celulóza, bělost 85 %, kvalita superior</w:t>
            </w:r>
            <w:r w:rsidR="00234B8C">
              <w:t xml:space="preserve"> </w:t>
            </w:r>
          </w:p>
          <w:p w14:paraId="547D6E5C" w14:textId="27F6022D" w:rsidR="00234B8C" w:rsidRDefault="00234B8C" w:rsidP="0083291E">
            <w:pPr>
              <w:jc w:val="center"/>
              <w:rPr>
                <w:rStyle w:val="slostrnky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A286" w14:textId="709649FE" w:rsidR="0083291E" w:rsidRDefault="00234B8C" w:rsidP="0083291E">
            <w:pPr>
              <w:jc w:val="center"/>
              <w:rPr>
                <w:highlight w:val="yellow"/>
              </w:rPr>
            </w:pPr>
            <w:r w:rsidRPr="00234B8C">
              <w:t>3000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075" w14:textId="206227E5" w:rsidR="0083291E" w:rsidRDefault="00234B8C" w:rsidP="0083291E">
            <w:pPr>
              <w:jc w:val="center"/>
              <w:rPr>
                <w:highlight w:val="yellow"/>
              </w:rPr>
            </w:pPr>
            <w:r w:rsidRPr="00234B8C">
              <w:t>10 963 875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4BA2" w14:textId="7D71A5B9" w:rsidR="0083291E" w:rsidRDefault="005B6E6C" w:rsidP="0083291E">
            <w:pPr>
              <w:jc w:val="center"/>
              <w:rPr>
                <w:highlight w:val="yellow"/>
              </w:rPr>
            </w:pPr>
            <w:r w:rsidRPr="005B6E6C">
              <w:t>1.991.774,30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CE5F" w14:textId="70043C50" w:rsidR="0083291E" w:rsidRDefault="005B6E6C" w:rsidP="0083291E">
            <w:pPr>
              <w:jc w:val="center"/>
              <w:rPr>
                <w:highlight w:val="yellow"/>
              </w:rPr>
            </w:pPr>
            <w:r w:rsidRPr="005B6E6C">
              <w:t>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6BAE" w14:textId="7A0F905E" w:rsidR="0083291E" w:rsidRDefault="00234B8C" w:rsidP="0083291E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C649" w14:textId="6E361DDE" w:rsidR="0083291E" w:rsidRDefault="005B6E6C" w:rsidP="0083291E">
            <w:pPr>
              <w:jc w:val="center"/>
            </w:pPr>
            <w:r>
              <w:t>114,45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8A59" w14:textId="446445CC" w:rsidR="0083291E" w:rsidRDefault="005B6E6C" w:rsidP="0083291E">
            <w:pPr>
              <w:jc w:val="center"/>
            </w:pPr>
            <w:r>
              <w:t>659,45</w:t>
            </w:r>
          </w:p>
        </w:tc>
      </w:tr>
    </w:tbl>
    <w:p w14:paraId="4B2707E0" w14:textId="77777777" w:rsidR="00DC7109" w:rsidRDefault="00DC7109" w:rsidP="00484741">
      <w:pPr>
        <w:sectPr w:rsidR="00DC7109" w:rsidSect="0083291E">
          <w:pgSz w:w="16838" w:h="11906" w:orient="landscape"/>
          <w:pgMar w:top="720" w:right="720" w:bottom="720" w:left="720" w:header="709" w:footer="708" w:gutter="0"/>
          <w:cols w:space="708"/>
          <w:titlePg/>
          <w:docGrid w:linePitch="360"/>
        </w:sectPr>
      </w:pPr>
    </w:p>
    <w:p w14:paraId="109453FD" w14:textId="17036150" w:rsidR="007056C5" w:rsidRPr="00DC7109" w:rsidRDefault="00DC7109" w:rsidP="00DC7109">
      <w:pPr>
        <w:jc w:val="center"/>
        <w:rPr>
          <w:b/>
        </w:rPr>
      </w:pPr>
      <w:r w:rsidRPr="00DC7109">
        <w:rPr>
          <w:b/>
        </w:rPr>
        <w:lastRenderedPageBreak/>
        <w:t>Příloha č. 2</w:t>
      </w:r>
    </w:p>
    <w:p w14:paraId="77B8FC72" w14:textId="433A0034" w:rsidR="00DC7109" w:rsidRPr="00DC7109" w:rsidRDefault="00DC7109" w:rsidP="00DC7109">
      <w:pPr>
        <w:jc w:val="center"/>
        <w:rPr>
          <w:b/>
        </w:rPr>
      </w:pPr>
    </w:p>
    <w:p w14:paraId="2326A15C" w14:textId="6CD94E63" w:rsidR="00DC7109" w:rsidRDefault="00DC7109" w:rsidP="00DC7109">
      <w:pPr>
        <w:jc w:val="center"/>
      </w:pPr>
      <w:r w:rsidRPr="00DC7109">
        <w:rPr>
          <w:b/>
        </w:rPr>
        <w:t>Doklady vydané výrobcem Zboží osvědčující některé vlastnosti</w:t>
      </w:r>
      <w:r>
        <w:rPr>
          <w:b/>
        </w:rPr>
        <w:t xml:space="preserve"> Zboží</w:t>
      </w:r>
    </w:p>
    <w:p w14:paraId="5F9FFC7C" w14:textId="77777777" w:rsidR="001375D2" w:rsidRDefault="001375D2" w:rsidP="00DC7109"/>
    <w:p w14:paraId="3C0C8C43" w14:textId="77777777" w:rsidR="005B6E6C" w:rsidRDefault="005B6E6C">
      <w:pPr>
        <w:pStyle w:val="z-Zatekformule"/>
        <w:divId w:val="1140226606"/>
      </w:pPr>
      <w:r>
        <w:t>Začátek formuláře</w:t>
      </w:r>
    </w:p>
    <w:p w14:paraId="486DB29E" w14:textId="58A50F3E" w:rsidR="005B6E6C" w:rsidRDefault="005B6E6C">
      <w:pPr>
        <w:shd w:val="clear" w:color="auto" w:fill="FFFFFF"/>
        <w:textAlignment w:val="baseline"/>
        <w:divId w:val="621688561"/>
        <w:rPr>
          <w:rFonts w:ascii="inherit" w:hAnsi="inherit"/>
          <w:color w:val="696969"/>
          <w:sz w:val="20"/>
          <w:szCs w:val="20"/>
        </w:rPr>
      </w:pPr>
    </w:p>
    <w:p w14:paraId="210F5987" w14:textId="6E88E509" w:rsidR="005B6E6C" w:rsidRDefault="005B6E6C" w:rsidP="005B6E6C">
      <w:pPr>
        <w:shd w:val="clear" w:color="auto" w:fill="FFFFFF"/>
        <w:ind w:left="72" w:right="120"/>
        <w:textAlignment w:val="baseline"/>
        <w:divId w:val="323974200"/>
        <w:rPr>
          <w:rFonts w:ascii="inherit" w:hAnsi="inherit"/>
          <w:color w:val="696969"/>
          <w:sz w:val="20"/>
          <w:szCs w:val="20"/>
        </w:rPr>
      </w:pPr>
    </w:p>
    <w:p w14:paraId="64EA50C7" w14:textId="77777777" w:rsidR="005B6E6C" w:rsidRDefault="005B6E6C">
      <w:pPr>
        <w:pStyle w:val="z-Konecformule"/>
        <w:divId w:val="1140226606"/>
      </w:pPr>
      <w:r>
        <w:t>Konec formuláře</w:t>
      </w:r>
    </w:p>
    <w:p w14:paraId="6A94232A" w14:textId="77777777" w:rsidR="005B6E6C" w:rsidRDefault="005B6E6C" w:rsidP="00F24231">
      <w:pPr>
        <w:jc w:val="center"/>
      </w:pPr>
    </w:p>
    <w:p w14:paraId="7591CFBF" w14:textId="77777777" w:rsidR="005B6E6C" w:rsidRDefault="005B6E6C" w:rsidP="005B6E6C"/>
    <w:p w14:paraId="0AE616BB" w14:textId="77777777" w:rsidR="005B6E6C" w:rsidRDefault="005B6E6C" w:rsidP="00F24231">
      <w:pPr>
        <w:jc w:val="center"/>
      </w:pPr>
    </w:p>
    <w:p w14:paraId="5A85515A" w14:textId="77777777" w:rsidR="005B6E6C" w:rsidRDefault="005B6E6C" w:rsidP="00F24231">
      <w:pPr>
        <w:jc w:val="center"/>
      </w:pPr>
    </w:p>
    <w:p w14:paraId="5F68994E" w14:textId="1B50D477" w:rsidR="00F24231" w:rsidRDefault="009108F9" w:rsidP="009108F9">
      <w:r>
        <w:t xml:space="preserve">1) </w:t>
      </w:r>
      <w:r w:rsidR="00253306">
        <w:t>Technický list PAPERNET „W SUPER“ – BÍLÉ PAPÍROVÉ RUČNÍKY</w:t>
      </w:r>
      <w:r w:rsidR="00F24231">
        <w:t>, kat. číslo 1154707/416627</w:t>
      </w:r>
      <w:r w:rsidR="000D32F8">
        <w:t xml:space="preserve">    (samost. příloha ve formátu pdf)</w:t>
      </w:r>
    </w:p>
    <w:p w14:paraId="0ED03CBE" w14:textId="77777777" w:rsidR="009108F9" w:rsidRDefault="009108F9" w:rsidP="00F24231">
      <w:pPr>
        <w:jc w:val="center"/>
      </w:pPr>
    </w:p>
    <w:p w14:paraId="3674B291" w14:textId="77777777" w:rsidR="009108F9" w:rsidRDefault="009108F9" w:rsidP="009108F9">
      <w:r>
        <w:t>2) T</w:t>
      </w:r>
      <w:r w:rsidRPr="009108F9">
        <w:t>echnický list - bílé papírové ručníky PAPERNET W SUPER_416627_angl.</w:t>
      </w:r>
      <w:r>
        <w:t xml:space="preserve"> – origunální Technický list výrobce 416627    </w:t>
      </w:r>
    </w:p>
    <w:p w14:paraId="6052AF63" w14:textId="4FEC4736" w:rsidR="009108F9" w:rsidRDefault="009108F9" w:rsidP="009108F9">
      <w:r>
        <w:t>(samost. příloha ve formátu pdf)</w:t>
      </w:r>
    </w:p>
    <w:p w14:paraId="36E3DE1F" w14:textId="5F1F645F" w:rsidR="009108F9" w:rsidRDefault="009108F9" w:rsidP="009108F9">
      <w:pPr>
        <w:jc w:val="left"/>
      </w:pPr>
    </w:p>
    <w:p w14:paraId="4E6C5111" w14:textId="77777777" w:rsidR="000D32F8" w:rsidRDefault="000D32F8" w:rsidP="00F24231">
      <w:pPr>
        <w:jc w:val="center"/>
      </w:pPr>
    </w:p>
    <w:p w14:paraId="4FB7E8D0" w14:textId="4ACE385A" w:rsidR="00DC7109" w:rsidRDefault="00DC7109" w:rsidP="00DC7109"/>
    <w:p w14:paraId="5EAD3274" w14:textId="77777777" w:rsidR="00253306" w:rsidRDefault="00253306" w:rsidP="00DC7109"/>
    <w:p w14:paraId="76D87D31" w14:textId="6EE1E873" w:rsidR="00253306" w:rsidRDefault="00253306" w:rsidP="00DC7109"/>
    <w:p w14:paraId="390BD95B" w14:textId="56B167A4" w:rsidR="005B5EBE" w:rsidRPr="00DC7109" w:rsidRDefault="005B5EBE" w:rsidP="00DC7109"/>
    <w:sectPr w:rsidR="005B5EBE" w:rsidRPr="00DC7109" w:rsidSect="00DC7109">
      <w:pgSz w:w="11906" w:h="16838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C911" w14:textId="77777777" w:rsidR="00BC12C8" w:rsidRDefault="00BC12C8" w:rsidP="006337DC">
      <w:r>
        <w:separator/>
      </w:r>
    </w:p>
  </w:endnote>
  <w:endnote w:type="continuationSeparator" w:id="0">
    <w:p w14:paraId="38DB2B16" w14:textId="77777777" w:rsidR="00BC12C8" w:rsidRDefault="00BC12C8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5FE" w14:textId="5B74755C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40508">
      <w:rPr>
        <w:noProof/>
        <w:sz w:val="20"/>
        <w:szCs w:val="20"/>
      </w:rPr>
      <w:t>5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C80" w14:textId="72AAE6EA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0508">
      <w:rPr>
        <w:noProof/>
      </w:rPr>
      <w:t>9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DD6D" w14:textId="77777777" w:rsidR="00BC12C8" w:rsidRDefault="00BC12C8" w:rsidP="006337DC">
      <w:r>
        <w:separator/>
      </w:r>
    </w:p>
  </w:footnote>
  <w:footnote w:type="continuationSeparator" w:id="0">
    <w:p w14:paraId="2BC7E499" w14:textId="77777777" w:rsidR="00BC12C8" w:rsidRDefault="00BC12C8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4406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757613">
    <w:abstractNumId w:val="12"/>
  </w:num>
  <w:num w:numId="2" w16cid:durableId="1723358948">
    <w:abstractNumId w:val="7"/>
  </w:num>
  <w:num w:numId="3" w16cid:durableId="1147891763">
    <w:abstractNumId w:val="0"/>
  </w:num>
  <w:num w:numId="4" w16cid:durableId="1776946988">
    <w:abstractNumId w:val="8"/>
  </w:num>
  <w:num w:numId="5" w16cid:durableId="294262179">
    <w:abstractNumId w:val="3"/>
  </w:num>
  <w:num w:numId="6" w16cid:durableId="1306274607">
    <w:abstractNumId w:val="9"/>
  </w:num>
  <w:num w:numId="7" w16cid:durableId="469790927">
    <w:abstractNumId w:val="7"/>
  </w:num>
  <w:num w:numId="8" w16cid:durableId="2064940451">
    <w:abstractNumId w:val="7"/>
  </w:num>
  <w:num w:numId="9" w16cid:durableId="886571274">
    <w:abstractNumId w:val="7"/>
  </w:num>
  <w:num w:numId="10" w16cid:durableId="1097360614">
    <w:abstractNumId w:val="7"/>
  </w:num>
  <w:num w:numId="11" w16cid:durableId="1885098315">
    <w:abstractNumId w:val="6"/>
  </w:num>
  <w:num w:numId="12" w16cid:durableId="2132433142">
    <w:abstractNumId w:val="2"/>
  </w:num>
  <w:num w:numId="13" w16cid:durableId="2088306229">
    <w:abstractNumId w:val="11"/>
  </w:num>
  <w:num w:numId="14" w16cid:durableId="1768309479">
    <w:abstractNumId w:val="1"/>
  </w:num>
  <w:num w:numId="15" w16cid:durableId="450058672">
    <w:abstractNumId w:val="13"/>
  </w:num>
  <w:num w:numId="16" w16cid:durableId="906846557">
    <w:abstractNumId w:val="4"/>
  </w:num>
  <w:num w:numId="17" w16cid:durableId="240218681">
    <w:abstractNumId w:val="10"/>
  </w:num>
  <w:num w:numId="18" w16cid:durableId="1967350443">
    <w:abstractNumId w:val="5"/>
  </w:num>
  <w:num w:numId="19" w16cid:durableId="639503732">
    <w:abstractNumId w:val="7"/>
  </w:num>
  <w:num w:numId="20" w16cid:durableId="1559586776">
    <w:abstractNumId w:val="7"/>
  </w:num>
  <w:num w:numId="21" w16cid:durableId="1504129257">
    <w:abstractNumId w:val="7"/>
  </w:num>
  <w:num w:numId="22" w16cid:durableId="98778316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3267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1455"/>
    <w:rsid w:val="00064A2C"/>
    <w:rsid w:val="000729CF"/>
    <w:rsid w:val="00074676"/>
    <w:rsid w:val="00075387"/>
    <w:rsid w:val="00075510"/>
    <w:rsid w:val="00081174"/>
    <w:rsid w:val="00081D58"/>
    <w:rsid w:val="00085987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24F4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2F8"/>
    <w:rsid w:val="000D35F4"/>
    <w:rsid w:val="000D6CC1"/>
    <w:rsid w:val="000F0B32"/>
    <w:rsid w:val="000F0CFA"/>
    <w:rsid w:val="000F5076"/>
    <w:rsid w:val="000F5D02"/>
    <w:rsid w:val="000F6286"/>
    <w:rsid w:val="00105B0E"/>
    <w:rsid w:val="00106497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2C8D"/>
    <w:rsid w:val="00133CE4"/>
    <w:rsid w:val="001375D2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A48BC"/>
    <w:rsid w:val="001B0682"/>
    <w:rsid w:val="001B1B66"/>
    <w:rsid w:val="001B44A2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4B8C"/>
    <w:rsid w:val="00234E42"/>
    <w:rsid w:val="0023578D"/>
    <w:rsid w:val="00236D62"/>
    <w:rsid w:val="00237B38"/>
    <w:rsid w:val="00241316"/>
    <w:rsid w:val="00241B23"/>
    <w:rsid w:val="00245011"/>
    <w:rsid w:val="002470C7"/>
    <w:rsid w:val="002531BE"/>
    <w:rsid w:val="00253306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5ADC"/>
    <w:rsid w:val="00297F3A"/>
    <w:rsid w:val="002A5831"/>
    <w:rsid w:val="002B1098"/>
    <w:rsid w:val="002B68E8"/>
    <w:rsid w:val="002C0743"/>
    <w:rsid w:val="002C243A"/>
    <w:rsid w:val="002C2585"/>
    <w:rsid w:val="002D0792"/>
    <w:rsid w:val="002D48A0"/>
    <w:rsid w:val="002D5641"/>
    <w:rsid w:val="002D7B98"/>
    <w:rsid w:val="002E1C03"/>
    <w:rsid w:val="002E1D0C"/>
    <w:rsid w:val="002E3AB0"/>
    <w:rsid w:val="002E4D60"/>
    <w:rsid w:val="002E5DF3"/>
    <w:rsid w:val="002E5DFE"/>
    <w:rsid w:val="002F3021"/>
    <w:rsid w:val="002F4739"/>
    <w:rsid w:val="0030119B"/>
    <w:rsid w:val="0030437C"/>
    <w:rsid w:val="003133A6"/>
    <w:rsid w:val="00315115"/>
    <w:rsid w:val="00320F84"/>
    <w:rsid w:val="00322BF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17C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84741"/>
    <w:rsid w:val="00490EC4"/>
    <w:rsid w:val="004924D3"/>
    <w:rsid w:val="00492818"/>
    <w:rsid w:val="00494744"/>
    <w:rsid w:val="004953EF"/>
    <w:rsid w:val="004A45B0"/>
    <w:rsid w:val="004A7901"/>
    <w:rsid w:val="004B05E8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241A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2747"/>
    <w:rsid w:val="005B2B01"/>
    <w:rsid w:val="005B32C2"/>
    <w:rsid w:val="005B49AA"/>
    <w:rsid w:val="005B4FD6"/>
    <w:rsid w:val="005B5EBE"/>
    <w:rsid w:val="005B65BB"/>
    <w:rsid w:val="005B6E6C"/>
    <w:rsid w:val="005C340C"/>
    <w:rsid w:val="005C3A0B"/>
    <w:rsid w:val="005D13E0"/>
    <w:rsid w:val="005D1464"/>
    <w:rsid w:val="005D19EA"/>
    <w:rsid w:val="005D630E"/>
    <w:rsid w:val="005E41BA"/>
    <w:rsid w:val="005E645C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67D0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56C5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2EE0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18EB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291E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16C9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C1E"/>
    <w:rsid w:val="008A57E9"/>
    <w:rsid w:val="008B2B91"/>
    <w:rsid w:val="008B5825"/>
    <w:rsid w:val="008B732B"/>
    <w:rsid w:val="008C06CE"/>
    <w:rsid w:val="008C3784"/>
    <w:rsid w:val="008D185D"/>
    <w:rsid w:val="008E55D0"/>
    <w:rsid w:val="008F06D4"/>
    <w:rsid w:val="008F3B32"/>
    <w:rsid w:val="008F5E25"/>
    <w:rsid w:val="008F658D"/>
    <w:rsid w:val="009108F9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A48CE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1ED5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509D"/>
    <w:rsid w:val="00A966E9"/>
    <w:rsid w:val="00AA34DF"/>
    <w:rsid w:val="00AB5DAE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3B5"/>
    <w:rsid w:val="00B12570"/>
    <w:rsid w:val="00B1548D"/>
    <w:rsid w:val="00B2070F"/>
    <w:rsid w:val="00B209BF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3AA7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2C8"/>
    <w:rsid w:val="00BD0B6F"/>
    <w:rsid w:val="00BD3BCD"/>
    <w:rsid w:val="00BD5F03"/>
    <w:rsid w:val="00BD69ED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40508"/>
    <w:rsid w:val="00C440DD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6F4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0811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24A2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1CD3"/>
    <w:rsid w:val="00D930BD"/>
    <w:rsid w:val="00D97809"/>
    <w:rsid w:val="00DA20CD"/>
    <w:rsid w:val="00DA63C3"/>
    <w:rsid w:val="00DA7D6B"/>
    <w:rsid w:val="00DB4172"/>
    <w:rsid w:val="00DB4BAB"/>
    <w:rsid w:val="00DB6E4C"/>
    <w:rsid w:val="00DC19F3"/>
    <w:rsid w:val="00DC4260"/>
    <w:rsid w:val="00DC5CD8"/>
    <w:rsid w:val="00DC7109"/>
    <w:rsid w:val="00DD12BB"/>
    <w:rsid w:val="00DD456C"/>
    <w:rsid w:val="00DD5922"/>
    <w:rsid w:val="00DE128C"/>
    <w:rsid w:val="00DE6446"/>
    <w:rsid w:val="00DF0B22"/>
    <w:rsid w:val="00E01817"/>
    <w:rsid w:val="00E02379"/>
    <w:rsid w:val="00E034D5"/>
    <w:rsid w:val="00E04FEC"/>
    <w:rsid w:val="00E052D0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A504C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17112"/>
    <w:rsid w:val="00F2130E"/>
    <w:rsid w:val="00F24231"/>
    <w:rsid w:val="00F24370"/>
    <w:rsid w:val="00F25645"/>
    <w:rsid w:val="00F30651"/>
    <w:rsid w:val="00F31AB2"/>
    <w:rsid w:val="00F43EC4"/>
    <w:rsid w:val="00F45871"/>
    <w:rsid w:val="00F45BDE"/>
    <w:rsid w:val="00F51C8E"/>
    <w:rsid w:val="00F55E3B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74"/>
    <w:rsid w:val="00FD7577"/>
    <w:rsid w:val="00FE2F5E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ind w:left="108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uiPriority w:val="99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003267"/>
    <w:rPr>
      <w:color w:val="605E5C"/>
      <w:shd w:val="clear" w:color="auto" w:fill="E1DFDD"/>
    </w:rPr>
  </w:style>
  <w:style w:type="character" w:customStyle="1" w:styleId="info">
    <w:name w:val="info"/>
    <w:basedOn w:val="Standardnpsmoodstavce"/>
    <w:rsid w:val="005B6E6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B6E6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B6E6C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B6E6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B6E6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9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3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200">
                      <w:marLeft w:val="72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19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0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5594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7573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1801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2723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39116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69600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53522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60181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666">
              <w:marLeft w:val="-225"/>
              <w:marRight w:val="-225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e37686-00e6-405d-9032-d05dd3ba55a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A4D23-3EF0-4288-88E3-A27E2FA682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3245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28</cp:revision>
  <cp:lastPrinted>2018-11-27T10:11:00Z</cp:lastPrinted>
  <dcterms:created xsi:type="dcterms:W3CDTF">2023-03-21T12:17:00Z</dcterms:created>
  <dcterms:modified xsi:type="dcterms:W3CDTF">2023-09-14T11:02:00Z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