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B38" w:rsidRPr="00F44B38" w:rsidRDefault="00F44B38" w:rsidP="00F44B38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proofErr w:type="spellStart"/>
      <w:r w:rsidRPr="00F44B38">
        <w:rPr>
          <w:rFonts w:ascii="Arial" w:hAnsi="Arial" w:cs="Arial"/>
          <w:sz w:val="15"/>
          <w:szCs w:val="15"/>
        </w:rPr>
        <w:t>Priloha</w:t>
      </w:r>
      <w:proofErr w:type="spellEnd"/>
      <w:r w:rsidRPr="00F44B38">
        <w:rPr>
          <w:rFonts w:ascii="Arial" w:hAnsi="Arial" w:cs="Arial"/>
          <w:sz w:val="15"/>
          <w:szCs w:val="15"/>
        </w:rPr>
        <w:t xml:space="preserve"> c. 1 SOD c. 1055/2023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Bold" w:hAnsi="CMUBright-Bold" w:cs="CMUBright-Bold"/>
          <w:b/>
          <w:bCs/>
          <w:sz w:val="36"/>
          <w:szCs w:val="36"/>
        </w:rPr>
      </w:pPr>
      <w:r w:rsidRPr="00F44B38">
        <w:rPr>
          <w:rFonts w:ascii="CMUBright-Bold" w:hAnsi="CMUBright-Bold" w:cs="CMUBright-Bold"/>
          <w:b/>
          <w:bCs/>
          <w:sz w:val="36"/>
          <w:szCs w:val="36"/>
        </w:rPr>
        <w:t>Nabídka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Bold" w:hAnsi="CMUBright-Bold" w:cs="CMUBright-Bold"/>
          <w:b/>
          <w:bCs/>
          <w:sz w:val="36"/>
          <w:szCs w:val="36"/>
        </w:rPr>
      </w:pPr>
      <w:r w:rsidRPr="00F44B38">
        <w:rPr>
          <w:rFonts w:ascii="CMUBright-Bold" w:hAnsi="CMUBright-Bold" w:cs="CMUBright-Bold"/>
          <w:b/>
          <w:bCs/>
          <w:sz w:val="36"/>
          <w:szCs w:val="36"/>
        </w:rPr>
        <w:t>23000150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DODAVATEL ODBĚRATEL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Bold" w:hAnsi="CMUBright-Bold" w:cs="CMUBright-Bold"/>
          <w:b/>
          <w:bCs/>
          <w:sz w:val="28"/>
          <w:szCs w:val="28"/>
        </w:rPr>
      </w:pPr>
      <w:r w:rsidRPr="00F44B38">
        <w:rPr>
          <w:rFonts w:ascii="CMUBright-Bold" w:hAnsi="CMUBright-Bold" w:cs="CMUBright-Bold"/>
          <w:b/>
          <w:bCs/>
          <w:sz w:val="28"/>
          <w:szCs w:val="28"/>
        </w:rPr>
        <w:t>HEROS GROUP s.r.o.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Plzeňská 155/113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150 00 Praha 5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Česká republika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Bezručova 4219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43003 Chomutov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Česká republika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Bold" w:hAnsi="CMUBright-Bold" w:cs="CMUBright-Bold"/>
          <w:b/>
          <w:bCs/>
          <w:sz w:val="28"/>
          <w:szCs w:val="28"/>
        </w:rPr>
      </w:pPr>
      <w:r w:rsidRPr="00F44B38">
        <w:rPr>
          <w:rFonts w:ascii="CMUBright-Bold" w:hAnsi="CMUBright-Bold" w:cs="CMUBright-Bold"/>
          <w:b/>
          <w:bCs/>
          <w:sz w:val="28"/>
          <w:szCs w:val="28"/>
        </w:rPr>
        <w:t>Povodí Ohře, státní podnik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IČ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DIČ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IČ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DIČ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63148374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CZ63148374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70889988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CZ70889988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Bold" w:hAnsi="CMUBright-Bold" w:cs="CMUBright-Bold"/>
          <w:b/>
          <w:bCs/>
          <w:sz w:val="20"/>
          <w:szCs w:val="20"/>
        </w:rPr>
      </w:pPr>
      <w:r w:rsidRPr="00F44B38">
        <w:rPr>
          <w:rFonts w:ascii="CMUBright-Bold" w:hAnsi="CMUBright-Bold" w:cs="CMUBright-Bold"/>
          <w:b/>
          <w:bCs/>
          <w:sz w:val="20"/>
          <w:szCs w:val="20"/>
        </w:rPr>
        <w:t>Datum vystavení 16.08.2023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Bold" w:hAnsi="CMUBright-Bold" w:cs="CMUBright-Bold"/>
          <w:b/>
          <w:bCs/>
          <w:sz w:val="20"/>
          <w:szCs w:val="20"/>
        </w:rPr>
      </w:pPr>
      <w:r w:rsidRPr="00F44B38">
        <w:rPr>
          <w:rFonts w:ascii="CMUBright-Bold" w:hAnsi="CMUBright-Bold" w:cs="CMUBright-Bold"/>
          <w:b/>
          <w:bCs/>
          <w:sz w:val="20"/>
          <w:szCs w:val="20"/>
        </w:rPr>
        <w:t>Povodí Ohře, státní podnik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Bezručova 4219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43003 Chomutov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Česká republika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Způsob platby Převodem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Adresa dodání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Doprava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16"/>
          <w:szCs w:val="16"/>
        </w:rPr>
      </w:pPr>
      <w:proofErr w:type="gramStart"/>
      <w:r w:rsidRPr="00F44B38">
        <w:rPr>
          <w:rFonts w:ascii="CMUBright-Roman" w:hAnsi="CMUBright-Roman" w:cs="CMUBright-Roman"/>
          <w:sz w:val="16"/>
          <w:szCs w:val="16"/>
        </w:rPr>
        <w:t>POH - Teplice</w:t>
      </w:r>
      <w:proofErr w:type="gramEnd"/>
      <w:r w:rsidRPr="00F44B38">
        <w:rPr>
          <w:rFonts w:ascii="CMUBright-Roman" w:hAnsi="CMUBright-Roman" w:cs="CMUBright-Roman"/>
          <w:sz w:val="16"/>
          <w:szCs w:val="16"/>
        </w:rPr>
        <w:t xml:space="preserve"> </w:t>
      </w:r>
      <w:proofErr w:type="spellStart"/>
      <w:r w:rsidRPr="00F44B38">
        <w:rPr>
          <w:rFonts w:ascii="CMUBright-Roman" w:hAnsi="CMUBright-Roman" w:cs="CMUBright-Roman"/>
          <w:sz w:val="16"/>
          <w:szCs w:val="16"/>
        </w:rPr>
        <w:t>dozajištění</w:t>
      </w:r>
      <w:proofErr w:type="spellEnd"/>
      <w:r w:rsidRPr="00F44B38">
        <w:rPr>
          <w:rFonts w:ascii="CMUBright-Roman" w:hAnsi="CMUBright-Roman" w:cs="CMUBright-Roman"/>
          <w:sz w:val="16"/>
          <w:szCs w:val="16"/>
        </w:rPr>
        <w:t xml:space="preserve"> kouřových čidel.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16"/>
          <w:szCs w:val="16"/>
        </w:rPr>
      </w:pPr>
      <w:r w:rsidRPr="00F44B38">
        <w:rPr>
          <w:rFonts w:ascii="CMUBright-Roman" w:hAnsi="CMUBright-Roman" w:cs="CMUBright-Roman"/>
          <w:sz w:val="20"/>
          <w:szCs w:val="20"/>
        </w:rPr>
        <w:t xml:space="preserve">Označení </w:t>
      </w:r>
      <w:r w:rsidRPr="00F44B38">
        <w:rPr>
          <w:rFonts w:ascii="CMUBright-Roman" w:hAnsi="CMUBright-Roman" w:cs="CMUBright-Roman"/>
          <w:sz w:val="16"/>
          <w:szCs w:val="16"/>
        </w:rPr>
        <w:t>bez DPH s DPH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Sazba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DPH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Množství Cena Celkem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za MJ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Kouřová čidla + instalační materiál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Lišta hranatá 17x17 8,00 metr 31,20 0,00 249,60 249,60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Instalační kabel pro systém JA-100 - 1x2x24 AWG /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1x2x20 AWG (zesílené 2 napájecí vodiče)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50,00 metr 11,00 0,00 550,00 550,00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Bezdrátové nástěnné tlačítko 4,00 ks 920,00 0,00 3 680,00 3 680,00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Lithiová baterie - 3 V 8,00 ks 21,00 0,00 168,00 168,00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Sběrnicový kombinovaný detektor kouře a teplot 2,00 ks 1 394,00 0,00 2 788,00 2 788,00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BAT-1V5+PWR (AA) Alkalická baterie 27,00 ks 34,58 0,00 933,66 933,66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Kombinovaný detektor kouře a teplot bezdrátový 7,00 ks 2 392,00 0,00 16 744,00 16 744,00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Bezdrátová siréna pro vnitřní prostředí JA-</w:t>
      </w:r>
      <w:proofErr w:type="gramStart"/>
      <w:r w:rsidRPr="00F44B38">
        <w:rPr>
          <w:rFonts w:ascii="CMUBright-Roman" w:hAnsi="CMUBright-Roman" w:cs="CMUBright-Roman"/>
          <w:sz w:val="20"/>
          <w:szCs w:val="20"/>
        </w:rPr>
        <w:t>150A</w:t>
      </w:r>
      <w:proofErr w:type="gramEnd"/>
      <w:r w:rsidRPr="00F44B38">
        <w:rPr>
          <w:rFonts w:ascii="CMUBright-Roman" w:hAnsi="CMUBright-Roman" w:cs="CMUBright-Roman"/>
          <w:sz w:val="20"/>
          <w:szCs w:val="20"/>
        </w:rPr>
        <w:t xml:space="preserve"> II je určena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k akustické signalizaci poplachu, dále příchodového a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odchodového zpoždění a aktivace výstupů PG v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zabezpečovacím systému.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3,00 ks 1 517,00 0,00 4 551,00 4 551,00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 xml:space="preserve">Bateriový </w:t>
      </w:r>
      <w:proofErr w:type="spellStart"/>
      <w:r w:rsidRPr="00F44B38">
        <w:rPr>
          <w:rFonts w:ascii="CMUBright-Roman" w:hAnsi="CMUBright-Roman" w:cs="CMUBright-Roman"/>
          <w:sz w:val="20"/>
          <w:szCs w:val="20"/>
        </w:rPr>
        <w:t>pack</w:t>
      </w:r>
      <w:proofErr w:type="spellEnd"/>
      <w:r w:rsidRPr="00F44B38">
        <w:rPr>
          <w:rFonts w:ascii="CMUBright-Roman" w:hAnsi="CMUBright-Roman" w:cs="CMUBright-Roman"/>
          <w:sz w:val="20"/>
          <w:szCs w:val="20"/>
        </w:rPr>
        <w:t xml:space="preserve"> - 3,2 V/0,</w:t>
      </w:r>
      <w:proofErr w:type="gramStart"/>
      <w:r w:rsidRPr="00F44B38">
        <w:rPr>
          <w:rFonts w:ascii="CMUBright-Roman" w:hAnsi="CMUBright-Roman" w:cs="CMUBright-Roman"/>
          <w:sz w:val="20"/>
          <w:szCs w:val="20"/>
        </w:rPr>
        <w:t>4Ah - LiFePo4</w:t>
      </w:r>
      <w:proofErr w:type="gramEnd"/>
      <w:r w:rsidRPr="00F44B38">
        <w:rPr>
          <w:rFonts w:ascii="CMUBright-Roman" w:hAnsi="CMUBright-Roman" w:cs="CMUBright-Roman"/>
          <w:sz w:val="20"/>
          <w:szCs w:val="20"/>
        </w:rPr>
        <w:t xml:space="preserve"> CR2 3,00 ks 105,00 0,00 315,00 315,00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Ostatní materiál (šroubky, hmoždinky, lepidla, silikony,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sádra, malba, ...)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1,00 ks 1 000,00 0,00 1 000,00 1 000,00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1Montážní a instalační práce + kompletní naprogramování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EZS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lastRenderedPageBreak/>
        <w:t>1,00 ks 19 450,00 0,00 19 450,00 19 450,00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Doprava na objekt a zpět (cena za km) 100,00 km 6,00 0,00 600,00 600,00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16"/>
          <w:szCs w:val="16"/>
        </w:rPr>
      </w:pPr>
      <w:r w:rsidRPr="00F44B38">
        <w:rPr>
          <w:rFonts w:ascii="CMUBright-Roman" w:hAnsi="CMUBright-Roman" w:cs="CMUBright-Roman"/>
          <w:sz w:val="16"/>
          <w:szCs w:val="16"/>
        </w:rPr>
        <w:t>Nabídka má platnost 3 měsíce od data vystavení. Změna cen po uplynutí této doby vyhrazena.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8"/>
          <w:szCs w:val="28"/>
        </w:rPr>
      </w:pPr>
      <w:r w:rsidRPr="00F44B38">
        <w:rPr>
          <w:rFonts w:ascii="CMUBright-Roman" w:hAnsi="CMUBright-Roman" w:cs="CMUBright-Roman"/>
          <w:sz w:val="20"/>
          <w:szCs w:val="20"/>
        </w:rPr>
        <w:t xml:space="preserve">Celkem bez DPH </w:t>
      </w:r>
      <w:r w:rsidRPr="00F44B38">
        <w:rPr>
          <w:rFonts w:ascii="CMUBright-Roman" w:hAnsi="CMUBright-Roman" w:cs="CMUBright-Roman"/>
          <w:sz w:val="28"/>
          <w:szCs w:val="28"/>
        </w:rPr>
        <w:t>51 029,26 Kč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8"/>
          <w:szCs w:val="28"/>
        </w:rPr>
      </w:pPr>
      <w:r w:rsidRPr="00F44B38">
        <w:rPr>
          <w:rFonts w:ascii="CMUBright-Roman" w:hAnsi="CMUBright-Roman" w:cs="CMUBright-Roman"/>
          <w:sz w:val="20"/>
          <w:szCs w:val="20"/>
        </w:rPr>
        <w:t xml:space="preserve">DPH </w:t>
      </w:r>
      <w:r w:rsidRPr="00F44B38">
        <w:rPr>
          <w:rFonts w:ascii="CMUBright-Roman" w:hAnsi="CMUBright-Roman" w:cs="CMUBright-Roman"/>
          <w:sz w:val="28"/>
          <w:szCs w:val="28"/>
        </w:rPr>
        <w:t>0,00 Kč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Bold" w:hAnsi="CMUBright-Bold" w:cs="CMUBright-Bold"/>
          <w:b/>
          <w:bCs/>
          <w:sz w:val="36"/>
          <w:szCs w:val="36"/>
        </w:rPr>
      </w:pPr>
      <w:r w:rsidRPr="00F44B38">
        <w:rPr>
          <w:rFonts w:ascii="CMUBright-Bold" w:hAnsi="CMUBright-Bold" w:cs="CMUBright-Bold"/>
          <w:b/>
          <w:bCs/>
          <w:sz w:val="36"/>
          <w:szCs w:val="36"/>
        </w:rPr>
        <w:t>51 029,26 Kč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 xml:space="preserve">Rekapitulace </w:t>
      </w:r>
      <w:proofErr w:type="spellStart"/>
      <w:r w:rsidRPr="00F44B38">
        <w:rPr>
          <w:rFonts w:ascii="CMUBright-Roman" w:hAnsi="CMUBright-Roman" w:cs="CMUBright-Roman"/>
          <w:sz w:val="20"/>
          <w:szCs w:val="20"/>
        </w:rPr>
        <w:t>dph</w:t>
      </w:r>
      <w:proofErr w:type="spellEnd"/>
      <w:r w:rsidRPr="00F44B38">
        <w:rPr>
          <w:rFonts w:ascii="CMUBright-Roman" w:hAnsi="CMUBright-Roman" w:cs="CMUBright-Roman"/>
          <w:sz w:val="20"/>
          <w:szCs w:val="20"/>
        </w:rPr>
        <w:t xml:space="preserve"> v Kč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Základ DPH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20"/>
          <w:szCs w:val="20"/>
        </w:rPr>
      </w:pPr>
      <w:r w:rsidRPr="00F44B38">
        <w:rPr>
          <w:rFonts w:ascii="CMUBright-Roman" w:hAnsi="CMUBright-Roman" w:cs="CMUBright-Roman"/>
          <w:sz w:val="20"/>
          <w:szCs w:val="20"/>
        </w:rPr>
        <w:t>0 % 51 029,26 0,00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16"/>
          <w:szCs w:val="16"/>
        </w:rPr>
      </w:pPr>
      <w:r w:rsidRPr="00F44B38">
        <w:rPr>
          <w:rFonts w:ascii="CMUBright-Roman" w:hAnsi="CMUBright-Roman" w:cs="CMUBright-Roman"/>
          <w:sz w:val="16"/>
          <w:szCs w:val="16"/>
        </w:rPr>
        <w:t>C 365123 vedená u Městského soudu v Praze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16"/>
          <w:szCs w:val="16"/>
        </w:rPr>
      </w:pPr>
      <w:r w:rsidRPr="00F44B38">
        <w:rPr>
          <w:rFonts w:ascii="CMUBright-Roman" w:hAnsi="CMUBright-Roman" w:cs="CMUBright-Roman"/>
          <w:sz w:val="16"/>
          <w:szCs w:val="16"/>
        </w:rPr>
        <w:t>Registrace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16"/>
          <w:szCs w:val="16"/>
        </w:rPr>
      </w:pPr>
      <w:r w:rsidRPr="00F44B38">
        <w:rPr>
          <w:rFonts w:ascii="CMUBright-Roman" w:hAnsi="CMUBright-Roman" w:cs="CMUBright-Roman"/>
          <w:sz w:val="16"/>
          <w:szCs w:val="16"/>
        </w:rPr>
        <w:t>Podpis a razítko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CMUBright-Roman" w:hAnsi="CMUBright-Roman" w:cs="CMUBright-Roman"/>
          <w:sz w:val="16"/>
          <w:szCs w:val="16"/>
        </w:rPr>
      </w:pPr>
      <w:r w:rsidRPr="00F44B38">
        <w:rPr>
          <w:rFonts w:ascii="CMUBright-Roman" w:hAnsi="CMUBright-Roman" w:cs="CMUBright-Roman"/>
          <w:sz w:val="16"/>
          <w:szCs w:val="16"/>
        </w:rPr>
        <w:t xml:space="preserve">Vytištěno systémem ABRA Flexi. Formulář pro společnost HEROS GROUP s.r.o. </w:t>
      </w:r>
      <w:proofErr w:type="gramStart"/>
      <w:r w:rsidRPr="00F44B38">
        <w:rPr>
          <w:rFonts w:ascii="CMUBright-Roman" w:hAnsi="CMUBright-Roman" w:cs="CMUBright-Roman"/>
          <w:sz w:val="16"/>
          <w:szCs w:val="16"/>
        </w:rPr>
        <w:t>vytvořil ,</w:t>
      </w:r>
      <w:proofErr w:type="gramEnd"/>
      <w:r w:rsidRPr="00F44B38">
        <w:rPr>
          <w:rFonts w:ascii="CMUBright-Roman" w:hAnsi="CMUBright-Roman" w:cs="CMUBright-Roman"/>
          <w:sz w:val="16"/>
          <w:szCs w:val="16"/>
        </w:rPr>
        <w:t xml:space="preserve"> www.. Stránka 1 /1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Bold" w:hAnsi="Montserrat-Bold" w:cs="Montserrat-Bold"/>
          <w:b/>
          <w:bCs/>
          <w:sz w:val="24"/>
          <w:szCs w:val="24"/>
        </w:rPr>
      </w:pPr>
      <w:r w:rsidRPr="00F44B38">
        <w:rPr>
          <w:rFonts w:ascii="Montserrat-Bold" w:hAnsi="Montserrat-Bold" w:cs="Montserrat-Bold"/>
          <w:b/>
          <w:bCs/>
          <w:sz w:val="24"/>
          <w:szCs w:val="24"/>
        </w:rPr>
        <w:t>NÁVRH ŘEŠENÍ EPH DLE NABÍDKY ČÍSLO: 23000150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Bold" w:hAnsi="Montserrat-Bold" w:cs="Montserrat-Bold"/>
          <w:b/>
          <w:bCs/>
          <w:sz w:val="20"/>
          <w:szCs w:val="20"/>
        </w:rPr>
      </w:pPr>
      <w:r w:rsidRPr="00F44B38">
        <w:rPr>
          <w:rFonts w:ascii="Montserrat-Bold" w:hAnsi="Montserrat-Bold" w:cs="Montserrat-Bold"/>
          <w:b/>
          <w:bCs/>
          <w:sz w:val="20"/>
          <w:szCs w:val="20"/>
        </w:rPr>
        <w:t>HEROS GROUP s. r. o.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Montserrat-Regular" w:eastAsia="Montserrat-Regular" w:hAnsi="CMUBright-Bold" w:cs="Montserrat-Regular"/>
          <w:sz w:val="20"/>
          <w:szCs w:val="20"/>
        </w:rPr>
        <w:t>I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Č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: 63148374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Montserrat-Regular" w:eastAsia="Montserrat-Regular" w:hAnsi="CMUBright-Bold" w:cs="Montserrat-Regular"/>
          <w:sz w:val="20"/>
          <w:szCs w:val="20"/>
        </w:rPr>
        <w:t>DI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Č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: CZ63148374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Montserrat-Regular" w:eastAsia="Montserrat-Regular" w:hAnsi="CMUBright-Bold" w:cs="Montserrat-Regular"/>
          <w:sz w:val="20"/>
          <w:szCs w:val="20"/>
        </w:rPr>
        <w:t>S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DLO: Plze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ň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sk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á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155/113, Praha 5 - Ko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šíř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e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kontakt: 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proofErr w:type="spellStart"/>
      <w:r w:rsidRPr="00F44B38">
        <w:rPr>
          <w:rFonts w:ascii="Montserrat-Regular" w:eastAsia="Montserrat-Regular" w:hAnsi="CMUBright-Bold" w:cs="Montserrat-Regular"/>
          <w:sz w:val="20"/>
          <w:szCs w:val="20"/>
        </w:rPr>
        <w:t>zastupce</w:t>
      </w:r>
      <w:proofErr w:type="spellEnd"/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</w:t>
      </w:r>
      <w:proofErr w:type="gramStart"/>
      <w:r w:rsidRPr="00F44B38">
        <w:rPr>
          <w:rFonts w:ascii="Montserrat-Regular" w:eastAsia="Montserrat-Regular" w:hAnsi="CMUBright-Bold" w:cs="Montserrat-Regular"/>
          <w:sz w:val="20"/>
          <w:szCs w:val="20"/>
        </w:rPr>
        <w:t>firmy:  -</w:t>
      </w:r>
      <w:proofErr w:type="gramEnd"/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jednatel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Italic" w:hAnsi="Montserrat-Italic" w:cs="Montserrat-Italic"/>
          <w:i/>
          <w:iCs/>
          <w:sz w:val="20"/>
          <w:szCs w:val="20"/>
        </w:rPr>
      </w:pPr>
      <w:r w:rsidRPr="00F44B38">
        <w:rPr>
          <w:rFonts w:ascii="Montserrat-Regular" w:eastAsia="Montserrat-Regular" w:hAnsi="CMUBright-Bold" w:cs="Montserrat-Regular"/>
          <w:sz w:val="20"/>
          <w:szCs w:val="20"/>
        </w:rPr>
        <w:t>na stran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ě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jedn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é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jako </w:t>
      </w:r>
      <w:r w:rsidRPr="00F44B38">
        <w:rPr>
          <w:rFonts w:ascii="Montserrat-Italic" w:hAnsi="Montserrat-Italic" w:cs="Montserrat-Italic"/>
          <w:i/>
          <w:iCs/>
          <w:sz w:val="20"/>
          <w:szCs w:val="20"/>
        </w:rPr>
        <w:t>„poskytovatel“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Montserrat-Regular" w:eastAsia="Montserrat-Regular" w:hAnsi="CMUBright-Bold" w:cs="Montserrat-Regular"/>
          <w:sz w:val="20"/>
          <w:szCs w:val="20"/>
        </w:rPr>
        <w:t>a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Bold" w:hAnsi="Montserrat-Bold" w:cs="Montserrat-Bold"/>
          <w:b/>
          <w:bCs/>
          <w:sz w:val="20"/>
          <w:szCs w:val="20"/>
        </w:rPr>
      </w:pPr>
      <w:r w:rsidRPr="00F44B38">
        <w:rPr>
          <w:rFonts w:ascii="Montserrat-Bold" w:hAnsi="Montserrat-Bold" w:cs="Montserrat-Bold"/>
          <w:b/>
          <w:bCs/>
          <w:sz w:val="20"/>
          <w:szCs w:val="20"/>
        </w:rPr>
        <w:t>Povodí Ohře, státní podnik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Montserrat-Regular" w:eastAsia="Montserrat-Regular" w:hAnsi="CMUBright-Bold" w:cs="Montserrat-Regular"/>
          <w:sz w:val="20"/>
          <w:szCs w:val="20"/>
        </w:rPr>
        <w:t>I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Č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: 70889988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Montserrat-Regular" w:eastAsia="Montserrat-Regular" w:hAnsi="CMUBright-Bold" w:cs="Montserrat-Regular"/>
          <w:sz w:val="20"/>
          <w:szCs w:val="20"/>
        </w:rPr>
        <w:t>DI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Č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: CZ70889988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Montserrat-Regular" w:eastAsia="Montserrat-Regular" w:hAnsi="CMUBright-Bold" w:cs="Montserrat-Regular"/>
          <w:sz w:val="20"/>
          <w:szCs w:val="20"/>
        </w:rPr>
        <w:t>S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DLO: Bezru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č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ova 4219, 430 03 Chomutov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Bold" w:hAnsi="Montserrat-Bold" w:cs="Montserrat-Bold"/>
          <w:b/>
          <w:bCs/>
          <w:sz w:val="20"/>
          <w:szCs w:val="20"/>
        </w:rPr>
      </w:pPr>
      <w:r w:rsidRPr="00F44B38">
        <w:rPr>
          <w:rFonts w:ascii="Montserrat-Bold" w:hAnsi="Montserrat-Bold" w:cs="Montserrat-Bold"/>
          <w:b/>
          <w:bCs/>
          <w:sz w:val="20"/>
          <w:szCs w:val="20"/>
        </w:rPr>
        <w:t>Návrh řešení na doplnění EZS kouřovými detektory na objekt: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Montserrat-Italic" w:hAnsi="Montserrat-Italic" w:cs="Montserrat-Italic"/>
          <w:i/>
          <w:iCs/>
          <w:sz w:val="20"/>
          <w:szCs w:val="20"/>
        </w:rPr>
        <w:t xml:space="preserve">Název PCO objektu: 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Povod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</w:t>
      </w:r>
      <w:proofErr w:type="gramStart"/>
      <w:r w:rsidRPr="00F44B38">
        <w:rPr>
          <w:rFonts w:ascii="Montserrat-Regular" w:eastAsia="Montserrat-Regular" w:hAnsi="CMUBright-Bold" w:cs="Montserrat-Regular"/>
          <w:sz w:val="20"/>
          <w:szCs w:val="20"/>
        </w:rPr>
        <w:t>Oh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ř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e - povod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ň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ov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ý</w:t>
      </w:r>
      <w:proofErr w:type="gramEnd"/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dv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ů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r - Teplice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Montserrat-Italic" w:hAnsi="Montserrat-Italic" w:cs="Montserrat-Italic"/>
          <w:i/>
          <w:iCs/>
          <w:sz w:val="20"/>
          <w:szCs w:val="20"/>
        </w:rPr>
        <w:t xml:space="preserve">Adresa objektu: </w:t>
      </w:r>
      <w:proofErr w:type="spellStart"/>
      <w:r w:rsidRPr="00F44B38">
        <w:rPr>
          <w:rFonts w:ascii="Montserrat-Regular" w:eastAsia="Montserrat-Regular" w:hAnsi="CMUBright-Bold" w:cs="Montserrat-Regular"/>
          <w:sz w:val="20"/>
          <w:szCs w:val="20"/>
        </w:rPr>
        <w:t>Novosedlick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á</w:t>
      </w:r>
      <w:proofErr w:type="spellEnd"/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758, 415 01 Teplice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Montserrat-Italic" w:hAnsi="Montserrat-Italic" w:cs="Montserrat-Italic"/>
          <w:i/>
          <w:iCs/>
          <w:sz w:val="20"/>
          <w:szCs w:val="20"/>
        </w:rPr>
        <w:t xml:space="preserve">Charakteristika: 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laborato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ř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e + administrativn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budova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Bold" w:hAnsi="Montserrat-Bold" w:cs="Montserrat-Bold"/>
          <w:b/>
          <w:bCs/>
          <w:sz w:val="20"/>
          <w:szCs w:val="20"/>
        </w:rPr>
      </w:pPr>
      <w:r w:rsidRPr="00F44B38">
        <w:rPr>
          <w:rFonts w:ascii="Montserrat-BoldItalic" w:hAnsi="Montserrat-BoldItalic" w:cs="Montserrat-BoldItalic"/>
          <w:b/>
          <w:bCs/>
          <w:i/>
          <w:iCs/>
          <w:sz w:val="20"/>
          <w:szCs w:val="20"/>
        </w:rPr>
        <w:t xml:space="preserve">PCO Identifikátor: </w:t>
      </w:r>
      <w:r w:rsidRPr="00F44B38">
        <w:rPr>
          <w:rFonts w:ascii="Montserrat-Bold" w:hAnsi="Montserrat-Bold" w:cs="Montserrat-Bold"/>
          <w:b/>
          <w:bCs/>
          <w:sz w:val="20"/>
          <w:szCs w:val="20"/>
        </w:rPr>
        <w:t>J265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Montserrat-Regular" w:eastAsia="Montserrat-Regular" w:hAnsi="CMUBright-Bold" w:cs="Montserrat-Regular"/>
          <w:sz w:val="20"/>
          <w:szCs w:val="20"/>
        </w:rPr>
        <w:t>Nab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dka obsahuje: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ArialMT" w:eastAsia="ArialMT" w:hAnsi="CMUBright-Bold" w:cs="ArialMT" w:hint="eastAsia"/>
          <w:sz w:val="20"/>
          <w:szCs w:val="20"/>
        </w:rPr>
        <w:t>●</w:t>
      </w:r>
      <w:r w:rsidRPr="00F44B38">
        <w:rPr>
          <w:rFonts w:ascii="ArialMT" w:eastAsia="ArialMT" w:hAnsi="CMUBright-Bold" w:cs="ArialMT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9 ks po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žá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rn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ch kombinovan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ý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ch detektor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ů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um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st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ě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n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ý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ch v kritick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ý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ch m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stnostech: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ArialMT" w:eastAsia="ArialMT" w:hAnsi="CMUBright-Bold" w:cs="ArialMT" w:hint="eastAsia"/>
          <w:sz w:val="20"/>
          <w:szCs w:val="20"/>
        </w:rPr>
        <w:t>○</w:t>
      </w:r>
      <w:r w:rsidRPr="00F44B38">
        <w:rPr>
          <w:rFonts w:ascii="ArialMT" w:eastAsia="ArialMT" w:hAnsi="CMUBright-Bold" w:cs="ArialMT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Kou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ř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ov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é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č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idlo - Sklad nebezpe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č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n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ý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ch odpad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ů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v gar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áž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i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ArialMT" w:eastAsia="ArialMT" w:hAnsi="CMUBright-Bold" w:cs="ArialMT" w:hint="eastAsia"/>
          <w:sz w:val="20"/>
          <w:szCs w:val="20"/>
        </w:rPr>
        <w:t>○</w:t>
      </w:r>
      <w:r w:rsidRPr="00F44B38">
        <w:rPr>
          <w:rFonts w:ascii="ArialMT" w:eastAsia="ArialMT" w:hAnsi="CMUBright-Bold" w:cs="ArialMT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Kou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ř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ov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é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č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idlo - Kuchy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ň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ArialMT" w:eastAsia="ArialMT" w:hAnsi="CMUBright-Bold" w:cs="ArialMT" w:hint="eastAsia"/>
          <w:sz w:val="20"/>
          <w:szCs w:val="20"/>
        </w:rPr>
        <w:t>○</w:t>
      </w:r>
      <w:r w:rsidRPr="00F44B38">
        <w:rPr>
          <w:rFonts w:ascii="ArialMT" w:eastAsia="ArialMT" w:hAnsi="CMUBright-Bold" w:cs="ArialMT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Kou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ř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ov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é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č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idlo - UPS + Chodba tla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čí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tko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ArialMT" w:eastAsia="ArialMT" w:hAnsi="CMUBright-Bold" w:cs="ArialMT" w:hint="eastAsia"/>
          <w:sz w:val="20"/>
          <w:szCs w:val="20"/>
        </w:rPr>
        <w:t>○</w:t>
      </w:r>
      <w:r w:rsidRPr="00F44B38">
        <w:rPr>
          <w:rFonts w:ascii="ArialMT" w:eastAsia="ArialMT" w:hAnsi="CMUBright-Bold" w:cs="ArialMT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Kou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ř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ov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é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č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idlo - 4,05 + Chodba tla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čí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tko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ArialMT" w:eastAsia="ArialMT" w:hAnsi="CMUBright-Bold" w:cs="ArialMT" w:hint="eastAsia"/>
          <w:sz w:val="20"/>
          <w:szCs w:val="20"/>
        </w:rPr>
        <w:t>○</w:t>
      </w:r>
      <w:r w:rsidRPr="00F44B38">
        <w:rPr>
          <w:rFonts w:ascii="ArialMT" w:eastAsia="ArialMT" w:hAnsi="CMUBright-Bold" w:cs="ArialMT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Kou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ř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ov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é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č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idlo - 2.19, 3.25 + Chodba tla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čí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tko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ArialMT" w:eastAsia="ArialMT" w:hAnsi="CMUBright-Bold" w:cs="ArialMT" w:hint="eastAsia"/>
          <w:sz w:val="20"/>
          <w:szCs w:val="20"/>
        </w:rPr>
        <w:t>○</w:t>
      </w:r>
      <w:r w:rsidRPr="00F44B38">
        <w:rPr>
          <w:rFonts w:ascii="ArialMT" w:eastAsia="ArialMT" w:hAnsi="CMUBright-Bold" w:cs="ArialMT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Kou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ř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ov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é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č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idlo - 2.27, 2.28, 2.17 - Chodba tla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čí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tko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ArialMT" w:eastAsia="ArialMT" w:hAnsi="CMUBright-Bold" w:cs="ArialMT" w:hint="eastAsia"/>
          <w:sz w:val="20"/>
          <w:szCs w:val="20"/>
        </w:rPr>
        <w:t>●</w:t>
      </w:r>
      <w:r w:rsidRPr="00F44B38">
        <w:rPr>
          <w:rFonts w:ascii="ArialMT" w:eastAsia="ArialMT" w:hAnsi="CMUBright-Bold" w:cs="ArialMT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4 ks n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á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st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ě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nn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ý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ch po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žá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rn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ch tla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čí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tek (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č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erven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é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barvy)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ArialMT" w:eastAsia="ArialMT" w:hAnsi="CMUBright-Bold" w:cs="ArialMT" w:hint="eastAsia"/>
          <w:sz w:val="20"/>
          <w:szCs w:val="20"/>
        </w:rPr>
        <w:t>○</w:t>
      </w:r>
      <w:r w:rsidRPr="00F44B38">
        <w:rPr>
          <w:rFonts w:ascii="ArialMT" w:eastAsia="ArialMT" w:hAnsi="CMUBright-Bold" w:cs="ArialMT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schodi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š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t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ě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v budov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ě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A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ArialMT" w:eastAsia="ArialMT" w:hAnsi="CMUBright-Bold" w:cs="ArialMT" w:hint="eastAsia"/>
          <w:sz w:val="20"/>
          <w:szCs w:val="20"/>
        </w:rPr>
        <w:t>○</w:t>
      </w:r>
      <w:r w:rsidRPr="00F44B38">
        <w:rPr>
          <w:rFonts w:ascii="ArialMT" w:eastAsia="ArialMT" w:hAnsi="CMUBright-Bold" w:cs="ArialMT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schodi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š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t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ě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v budov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ě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B vp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ř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edu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ArialMT" w:eastAsia="ArialMT" w:hAnsi="CMUBright-Bold" w:cs="ArialMT" w:hint="eastAsia"/>
          <w:sz w:val="20"/>
          <w:szCs w:val="20"/>
        </w:rPr>
        <w:t>○</w:t>
      </w:r>
      <w:r w:rsidRPr="00F44B38">
        <w:rPr>
          <w:rFonts w:ascii="ArialMT" w:eastAsia="ArialMT" w:hAnsi="CMUBright-Bold" w:cs="ArialMT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schodi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š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t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ě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v budov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ě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B vzadu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ArialMT" w:eastAsia="ArialMT" w:hAnsi="CMUBright-Bold" w:cs="ArialMT" w:hint="eastAsia"/>
          <w:sz w:val="20"/>
          <w:szCs w:val="20"/>
        </w:rPr>
        <w:t>○</w:t>
      </w:r>
      <w:r w:rsidRPr="00F44B38">
        <w:rPr>
          <w:rFonts w:ascii="ArialMT" w:eastAsia="ArialMT" w:hAnsi="CMUBright-Bold" w:cs="ArialMT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schodi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š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t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ě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v budov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ě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C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ArialMT" w:eastAsia="ArialMT" w:hAnsi="CMUBright-Bold" w:cs="ArialMT" w:hint="eastAsia"/>
          <w:sz w:val="20"/>
          <w:szCs w:val="20"/>
        </w:rPr>
        <w:t>●</w:t>
      </w:r>
      <w:r w:rsidRPr="00F44B38">
        <w:rPr>
          <w:rFonts w:ascii="ArialMT" w:eastAsia="ArialMT" w:hAnsi="CMUBright-Bold" w:cs="ArialMT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3 ks po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žá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rn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ch sir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é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n um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st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ě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n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ý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ch na chodb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á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ch: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ArialMT" w:eastAsia="ArialMT" w:hAnsi="CMUBright-Bold" w:cs="ArialMT" w:hint="eastAsia"/>
          <w:sz w:val="20"/>
          <w:szCs w:val="20"/>
        </w:rPr>
        <w:t>○</w:t>
      </w:r>
      <w:r w:rsidRPr="00F44B38">
        <w:rPr>
          <w:rFonts w:ascii="ArialMT" w:eastAsia="ArialMT" w:hAnsi="CMUBright-Bold" w:cs="ArialMT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chodba - budova A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ArialMT" w:eastAsia="ArialMT" w:hAnsi="CMUBright-Bold" w:cs="ArialMT" w:hint="eastAsia"/>
          <w:sz w:val="20"/>
          <w:szCs w:val="20"/>
        </w:rPr>
        <w:lastRenderedPageBreak/>
        <w:t>○</w:t>
      </w:r>
      <w:r w:rsidRPr="00F44B38">
        <w:rPr>
          <w:rFonts w:ascii="ArialMT" w:eastAsia="ArialMT" w:hAnsi="CMUBright-Bold" w:cs="ArialMT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chodba - budova B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ArialMT" w:eastAsia="ArialMT" w:hAnsi="CMUBright-Bold" w:cs="ArialMT" w:hint="eastAsia"/>
          <w:sz w:val="20"/>
          <w:szCs w:val="20"/>
        </w:rPr>
        <w:t>○</w:t>
      </w:r>
      <w:r w:rsidRPr="00F44B38">
        <w:rPr>
          <w:rFonts w:ascii="ArialMT" w:eastAsia="ArialMT" w:hAnsi="CMUBright-Bold" w:cs="ArialMT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chodba - budova C</w:t>
      </w:r>
    </w:p>
    <w:p w:rsidR="00F44B38" w:rsidRPr="00F44B38" w:rsidRDefault="00F44B38" w:rsidP="00F44B38">
      <w:pPr>
        <w:autoSpaceDE w:val="0"/>
        <w:autoSpaceDN w:val="0"/>
        <w:adjustRightInd w:val="0"/>
        <w:rPr>
          <w:rFonts w:ascii="Montserrat-Regular" w:eastAsia="Montserrat-Regular" w:hAnsi="CMUBright-Bold" w:cs="Montserrat-Regular"/>
          <w:sz w:val="20"/>
          <w:szCs w:val="20"/>
        </w:rPr>
      </w:pPr>
      <w:r w:rsidRPr="00F44B38">
        <w:rPr>
          <w:rFonts w:ascii="ArialMT" w:eastAsia="ArialMT" w:hAnsi="CMUBright-Bold" w:cs="ArialMT" w:hint="eastAsia"/>
          <w:sz w:val="20"/>
          <w:szCs w:val="20"/>
        </w:rPr>
        <w:t>●</w:t>
      </w:r>
      <w:r w:rsidRPr="00F44B38">
        <w:rPr>
          <w:rFonts w:ascii="ArialMT" w:eastAsia="ArialMT" w:hAnsi="CMUBright-Bold" w:cs="ArialMT"/>
          <w:sz w:val="20"/>
          <w:szCs w:val="20"/>
        </w:rPr>
        <w:t xml:space="preserve"> 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k t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ě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mto polo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ž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k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á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m pat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ří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p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ří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slu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š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n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é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baterie a p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ří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slu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š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>enstv</w:t>
      </w:r>
      <w:r w:rsidRPr="00F44B38">
        <w:rPr>
          <w:rFonts w:ascii="Montserrat-Regular" w:eastAsia="Montserrat-Regular" w:hAnsi="CMUBright-Bold" w:cs="Montserrat-Regular" w:hint="eastAsia"/>
          <w:sz w:val="20"/>
          <w:szCs w:val="20"/>
        </w:rPr>
        <w:t>í</w:t>
      </w:r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 dle CN.</w:t>
      </w:r>
    </w:p>
    <w:p w:rsidR="00A9204E" w:rsidRPr="00F44B38" w:rsidRDefault="00F44B38" w:rsidP="00F44B38">
      <w:r w:rsidRPr="00F44B38">
        <w:rPr>
          <w:rFonts w:ascii="Montserrat-Regular" w:eastAsia="Montserrat-Regular" w:hAnsi="CMUBright-Bold" w:cs="Montserrat-Regular"/>
          <w:sz w:val="20"/>
          <w:szCs w:val="20"/>
        </w:rPr>
        <w:t xml:space="preserve">Vyhotovil: </w:t>
      </w:r>
      <w:bookmarkStart w:id="0" w:name="_GoBack"/>
      <w:bookmarkEnd w:id="0"/>
    </w:p>
    <w:sectPr w:rsidR="00A9204E" w:rsidRPr="00F44B38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071" w:rsidRDefault="00BA2071" w:rsidP="005F4E53">
      <w:r>
        <w:separator/>
      </w:r>
    </w:p>
  </w:endnote>
  <w:endnote w:type="continuationSeparator" w:id="0">
    <w:p w:rsidR="00BA2071" w:rsidRDefault="00BA2071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MUBright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MUBright-Roman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tserrat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ontserrat-Bold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071" w:rsidRDefault="00BA2071" w:rsidP="005F4E53">
      <w:r>
        <w:separator/>
      </w:r>
    </w:p>
  </w:footnote>
  <w:footnote w:type="continuationSeparator" w:id="0">
    <w:p w:rsidR="00BA2071" w:rsidRDefault="00BA2071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4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70"/>
    <w:rsid w:val="0002465C"/>
    <w:rsid w:val="00251D17"/>
    <w:rsid w:val="002A4238"/>
    <w:rsid w:val="00357DA8"/>
    <w:rsid w:val="00392666"/>
    <w:rsid w:val="00456604"/>
    <w:rsid w:val="004E108E"/>
    <w:rsid w:val="005E6D70"/>
    <w:rsid w:val="005F4E53"/>
    <w:rsid w:val="00645252"/>
    <w:rsid w:val="006D3D74"/>
    <w:rsid w:val="00722EFA"/>
    <w:rsid w:val="0083569A"/>
    <w:rsid w:val="00927965"/>
    <w:rsid w:val="0097356C"/>
    <w:rsid w:val="00A9204E"/>
    <w:rsid w:val="00AD2871"/>
    <w:rsid w:val="00BA2071"/>
    <w:rsid w:val="00D84D53"/>
    <w:rsid w:val="00F4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051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4E53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spacing w:after="120"/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spacing w:after="120"/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 w:cs="Times New Roman"/>
      <w:sz w:val="24"/>
      <w:szCs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ankova\AppData\Roaming\Microsoft\Templates\Jednoduch&#233;%20&#345;&#225;dkov&#225;n&#237;%20(pr&#225;zdn&#2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Jednoduché řádkování (prázdné).dotx</Template>
  <TotalTime>0</TotalTime>
  <Pages>1</Pages>
  <Words>479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2022-10-26T10:12:00Z</dcterms:created>
  <dcterms:modified xsi:type="dcterms:W3CDTF">2023-08-29T06:56:00Z</dcterms:modified>
</cp:coreProperties>
</file>