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2D19D" w14:textId="1CE83A6D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2E6213">
        <w:rPr>
          <w:rFonts w:ascii="Palatino Linotype" w:hAnsi="Palatino Linotype"/>
          <w:b/>
          <w:bCs/>
          <w:smallCaps/>
          <w:sz w:val="18"/>
          <w:szCs w:val="18"/>
        </w:rPr>
        <w:t>1145/2023</w:t>
      </w:r>
    </w:p>
    <w:p w14:paraId="5F205358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762A329A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4BE443C4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0F089FEE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58EC2C40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76A7554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4A240ECD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6458AEE7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393ACB5B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1F982A11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B929702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59A3F708" w14:textId="77777777" w:rsidR="002E6213" w:rsidRDefault="002E6213" w:rsidP="002E6213">
      <w:pPr>
        <w:rPr>
          <w:rFonts w:ascii="Palatino Linotype" w:hAnsi="Palatino Linotype"/>
          <w:b/>
          <w:sz w:val="18"/>
          <w:szCs w:val="18"/>
        </w:rPr>
      </w:pPr>
      <w:r w:rsidRPr="00BD6A8E">
        <w:rPr>
          <w:rFonts w:ascii="Palatino Linotype" w:hAnsi="Palatino Linotype"/>
          <w:b/>
          <w:sz w:val="18"/>
          <w:szCs w:val="18"/>
        </w:rPr>
        <w:t xml:space="preserve">Czech </w:t>
      </w:r>
      <w:proofErr w:type="spellStart"/>
      <w:r w:rsidRPr="00BD6A8E">
        <w:rPr>
          <w:rFonts w:ascii="Palatino Linotype" w:hAnsi="Palatino Linotype"/>
          <w:b/>
          <w:sz w:val="18"/>
          <w:szCs w:val="18"/>
        </w:rPr>
        <w:t>Architecture</w:t>
      </w:r>
      <w:proofErr w:type="spellEnd"/>
      <w:r w:rsidRPr="00BD6A8E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BD6A8E">
        <w:rPr>
          <w:rFonts w:ascii="Palatino Linotype" w:hAnsi="Palatino Linotype"/>
          <w:b/>
          <w:sz w:val="18"/>
          <w:szCs w:val="18"/>
        </w:rPr>
        <w:t>Week</w:t>
      </w:r>
      <w:proofErr w:type="spellEnd"/>
      <w:r w:rsidRPr="00BD6A8E">
        <w:rPr>
          <w:rFonts w:ascii="Palatino Linotype" w:hAnsi="Palatino Linotype"/>
          <w:b/>
          <w:sz w:val="18"/>
          <w:szCs w:val="18"/>
        </w:rPr>
        <w:t>, s.r.o.</w:t>
      </w:r>
    </w:p>
    <w:p w14:paraId="0248E366" w14:textId="77777777" w:rsidR="002E6213" w:rsidRPr="00530CBD" w:rsidRDefault="002E6213" w:rsidP="002E6213">
      <w:pPr>
        <w:rPr>
          <w:rFonts w:ascii="Palatino Linotype" w:hAnsi="Palatino Linotype"/>
          <w:sz w:val="18"/>
          <w:szCs w:val="18"/>
        </w:rPr>
      </w:pPr>
      <w:r w:rsidRPr="00530CBD">
        <w:rPr>
          <w:rFonts w:ascii="Palatino Linotype" w:hAnsi="Palatino Linotype"/>
          <w:sz w:val="18"/>
          <w:szCs w:val="18"/>
        </w:rPr>
        <w:t>Masarykovo nábřeží 250/1, 110 00 Praha 1</w:t>
      </w:r>
    </w:p>
    <w:p w14:paraId="41486C56" w14:textId="77777777" w:rsidR="002E6213" w:rsidRPr="001D381F" w:rsidRDefault="002E6213" w:rsidP="002E6213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zastoupen</w:t>
      </w:r>
      <w:r>
        <w:rPr>
          <w:rFonts w:ascii="Palatino Linotype" w:hAnsi="Palatino Linotype"/>
          <w:snapToGrid w:val="0"/>
          <w:sz w:val="18"/>
          <w:szCs w:val="18"/>
        </w:rPr>
        <w:t>ý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>Ing. Petrem Ivanovem</w:t>
      </w:r>
      <w:r w:rsidRPr="001D381F">
        <w:rPr>
          <w:rFonts w:ascii="Palatino Linotype" w:hAnsi="Palatino Linotype"/>
          <w:sz w:val="18"/>
          <w:szCs w:val="18"/>
        </w:rPr>
        <w:t xml:space="preserve">, </w:t>
      </w:r>
      <w:r>
        <w:rPr>
          <w:rFonts w:ascii="Palatino Linotype" w:hAnsi="Palatino Linotype"/>
          <w:sz w:val="18"/>
          <w:szCs w:val="18"/>
        </w:rPr>
        <w:t>ředitelem</w:t>
      </w:r>
      <w:r w:rsidRPr="001D381F">
        <w:rPr>
          <w:rFonts w:ascii="Palatino Linotype" w:hAnsi="Palatino Linotype"/>
          <w:snapToGrid w:val="0"/>
          <w:sz w:val="18"/>
          <w:szCs w:val="18"/>
          <w:highlight w:val="magenta"/>
        </w:rPr>
        <w:t xml:space="preserve"> </w:t>
      </w:r>
    </w:p>
    <w:p w14:paraId="12710680" w14:textId="77777777" w:rsidR="002E6213" w:rsidRPr="001D381F" w:rsidRDefault="002E6213" w:rsidP="002E6213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Pr="00BD6A8E">
        <w:rPr>
          <w:rFonts w:ascii="Palatino Linotype" w:hAnsi="Palatino Linotype"/>
          <w:sz w:val="18"/>
          <w:szCs w:val="18"/>
        </w:rPr>
        <w:t>27872688</w:t>
      </w:r>
    </w:p>
    <w:p w14:paraId="15130C28" w14:textId="77777777" w:rsidR="002E6213" w:rsidRPr="001D381F" w:rsidRDefault="002E6213" w:rsidP="002E6213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DIČ: </w:t>
      </w:r>
      <w:r w:rsidRPr="00BD6A8E">
        <w:rPr>
          <w:rFonts w:ascii="Palatino Linotype" w:hAnsi="Palatino Linotype"/>
          <w:sz w:val="18"/>
          <w:szCs w:val="18"/>
        </w:rPr>
        <w:t>CZ27872688</w:t>
      </w:r>
    </w:p>
    <w:p w14:paraId="16C62217" w14:textId="77777777" w:rsidR="002E6213" w:rsidRPr="001D381F" w:rsidRDefault="002E6213" w:rsidP="002E6213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4CA9A4D7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23259E61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7539B3A5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0F51FC">
        <w:rPr>
          <w:rFonts w:ascii="Palatino Linotype" w:hAnsi="Palatino Linotype"/>
          <w:sz w:val="18"/>
          <w:szCs w:val="18"/>
        </w:rPr>
        <w:t>o 1 listu</w:t>
      </w:r>
      <w:r w:rsidR="006C78DB" w:rsidRPr="000F51FC">
        <w:rPr>
          <w:rFonts w:ascii="Palatino Linotype" w:hAnsi="Palatino Linotype"/>
          <w:sz w:val="18"/>
          <w:szCs w:val="18"/>
        </w:rPr>
        <w:t xml:space="preserve"> celkem</w:t>
      </w:r>
      <w:r w:rsidRPr="000F51FC">
        <w:rPr>
          <w:rFonts w:ascii="Palatino Linotype" w:hAnsi="Palatino Linotype"/>
          <w:sz w:val="18"/>
          <w:szCs w:val="18"/>
        </w:rPr>
        <w:t>, který je nedílnou součástí</w:t>
      </w:r>
      <w:r w:rsidRPr="001D381F">
        <w:rPr>
          <w:rFonts w:ascii="Palatino Linotype" w:hAnsi="Palatino Linotype"/>
          <w:sz w:val="18"/>
          <w:szCs w:val="18"/>
        </w:rPr>
        <w:t xml:space="preserve">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41ADBAED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40E8E4D9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41A02F00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3937E87E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30DF0D48" w14:textId="319A6AF9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</w:t>
      </w:r>
      <w:r w:rsidRPr="002E6213">
        <w:rPr>
          <w:rFonts w:ascii="Palatino Linotype" w:hAnsi="Palatino Linotype"/>
          <w:sz w:val="18"/>
          <w:szCs w:val="18"/>
        </w:rPr>
        <w:t>dit veškeré náklady spojené s realizací výpůjčky</w:t>
      </w:r>
      <w:r w:rsidR="00850BC7" w:rsidRPr="002E6213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2E6213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2E6213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2E6213">
        <w:rPr>
          <w:rFonts w:ascii="Palatino Linotype" w:hAnsi="Palatino Linotype"/>
          <w:snapToGrid/>
          <w:sz w:val="18"/>
          <w:szCs w:val="18"/>
        </w:rPr>
        <w:t> </w:t>
      </w:r>
      <w:r w:rsidR="00850BC7" w:rsidRPr="002E6213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2E6213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2E6213">
        <w:rPr>
          <w:rFonts w:ascii="Palatino Linotype" w:hAnsi="Palatino Linotype"/>
          <w:snapToGrid/>
          <w:sz w:val="18"/>
          <w:szCs w:val="18"/>
        </w:rPr>
        <w:t>.</w:t>
      </w:r>
    </w:p>
    <w:p w14:paraId="780D3F05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2F37A80A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05365FFA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120CB338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0C442411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2D2866E9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0200BE1B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258C9BA9" w14:textId="77777777" w:rsidR="000F51FC" w:rsidRDefault="00611D17" w:rsidP="000F51F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</w:t>
      </w:r>
      <w:r w:rsidR="000F51FC">
        <w:rPr>
          <w:rFonts w:ascii="Palatino Linotype" w:hAnsi="Palatino Linotype"/>
          <w:sz w:val="18"/>
          <w:szCs w:val="18"/>
        </w:rPr>
        <w:t xml:space="preserve">přímým transportem </w:t>
      </w:r>
      <w:r w:rsidRPr="001D381F">
        <w:rPr>
          <w:rFonts w:ascii="Palatino Linotype" w:hAnsi="Palatino Linotype"/>
          <w:sz w:val="18"/>
          <w:szCs w:val="18"/>
        </w:rPr>
        <w:t xml:space="preserve">v klimatizovaném prostoru při teplotě </w:t>
      </w:r>
      <w:r w:rsidRPr="000F51FC">
        <w:rPr>
          <w:rFonts w:ascii="Palatino Linotype" w:hAnsi="Palatino Linotype"/>
          <w:sz w:val="18"/>
          <w:szCs w:val="18"/>
        </w:rPr>
        <w:t>20°C, odpruženým</w:t>
      </w:r>
      <w:r w:rsidRPr="001D381F">
        <w:rPr>
          <w:rFonts w:ascii="Palatino Linotype" w:hAnsi="Palatino Linotype"/>
          <w:sz w:val="18"/>
          <w:szCs w:val="18"/>
        </w:rPr>
        <w:t xml:space="preserve"> vozem speciálně upraveným pro přepravu uměleckých děl</w:t>
      </w:r>
      <w:r w:rsidR="000F51FC">
        <w:rPr>
          <w:rFonts w:ascii="Palatino Linotype" w:hAnsi="Palatino Linotype"/>
          <w:sz w:val="18"/>
          <w:szCs w:val="18"/>
        </w:rPr>
        <w:t>.</w:t>
      </w:r>
    </w:p>
    <w:p w14:paraId="65A783E4" w14:textId="26228998" w:rsidR="000F51FC" w:rsidRDefault="000F51FC" w:rsidP="000F51FC">
      <w:pPr>
        <w:pStyle w:val="jNormln"/>
        <w:ind w:left="709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Dílo pod </w:t>
      </w:r>
      <w:proofErr w:type="spellStart"/>
      <w:r>
        <w:rPr>
          <w:rFonts w:ascii="Palatino Linotype" w:hAnsi="Palatino Linotype"/>
          <w:sz w:val="18"/>
          <w:szCs w:val="18"/>
        </w:rPr>
        <w:t>poř</w:t>
      </w:r>
      <w:proofErr w:type="spellEnd"/>
      <w:r>
        <w:rPr>
          <w:rFonts w:ascii="Palatino Linotype" w:hAnsi="Palatino Linotype"/>
          <w:sz w:val="18"/>
          <w:szCs w:val="18"/>
        </w:rPr>
        <w:t>. č. 1 s </w:t>
      </w:r>
      <w:proofErr w:type="spellStart"/>
      <w:r>
        <w:rPr>
          <w:rFonts w:ascii="Palatino Linotype" w:hAnsi="Palatino Linotype"/>
          <w:sz w:val="18"/>
          <w:szCs w:val="18"/>
        </w:rPr>
        <w:t>inv</w:t>
      </w:r>
      <w:proofErr w:type="spellEnd"/>
      <w:r>
        <w:rPr>
          <w:rFonts w:ascii="Palatino Linotype" w:hAnsi="Palatino Linotype"/>
          <w:sz w:val="18"/>
          <w:szCs w:val="18"/>
        </w:rPr>
        <w:t xml:space="preserve">. č. </w:t>
      </w:r>
      <w:r w:rsidR="009864B2">
        <w:rPr>
          <w:rFonts w:ascii="Palatino Linotype" w:hAnsi="Palatino Linotype"/>
          <w:sz w:val="18"/>
          <w:szCs w:val="18"/>
        </w:rPr>
        <w:t>XXXX</w:t>
      </w:r>
      <w:r>
        <w:rPr>
          <w:rFonts w:ascii="Palatino Linotype" w:hAnsi="Palatino Linotype"/>
          <w:sz w:val="18"/>
          <w:szCs w:val="18"/>
        </w:rPr>
        <w:t xml:space="preserve"> v balení do dřevěné bedny, která bude řádně vytěsněná proti pohybu měkkým materiálem - </w:t>
      </w:r>
      <w:proofErr w:type="spellStart"/>
      <w:r>
        <w:rPr>
          <w:rFonts w:ascii="Palatino Linotype" w:hAnsi="Palatino Linotype"/>
          <w:sz w:val="18"/>
          <w:szCs w:val="18"/>
        </w:rPr>
        <w:t>mirelonem</w:t>
      </w:r>
      <w:proofErr w:type="spellEnd"/>
      <w:r>
        <w:rPr>
          <w:rFonts w:ascii="Palatino Linotype" w:hAnsi="Palatino Linotype"/>
          <w:sz w:val="18"/>
          <w:szCs w:val="18"/>
        </w:rPr>
        <w:t>. Zejména je nutné zajistit nepřišroubovanou vitrínu proti pohybu vzhůru.</w:t>
      </w:r>
    </w:p>
    <w:p w14:paraId="7189D3E5" w14:textId="61668C8D" w:rsidR="00611D17" w:rsidRPr="000F51FC" w:rsidRDefault="000F51FC" w:rsidP="000F51FC">
      <w:pPr>
        <w:pStyle w:val="jNormln"/>
        <w:ind w:left="709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Dílo pod </w:t>
      </w:r>
      <w:proofErr w:type="spellStart"/>
      <w:r>
        <w:rPr>
          <w:rFonts w:ascii="Palatino Linotype" w:hAnsi="Palatino Linotype"/>
          <w:sz w:val="18"/>
          <w:szCs w:val="18"/>
        </w:rPr>
        <w:t>poř</w:t>
      </w:r>
      <w:proofErr w:type="spellEnd"/>
      <w:r>
        <w:rPr>
          <w:rFonts w:ascii="Palatino Linotype" w:hAnsi="Palatino Linotype"/>
          <w:sz w:val="18"/>
          <w:szCs w:val="18"/>
        </w:rPr>
        <w:t>. č. 2 s </w:t>
      </w:r>
      <w:proofErr w:type="spellStart"/>
      <w:r>
        <w:rPr>
          <w:rFonts w:ascii="Palatino Linotype" w:hAnsi="Palatino Linotype"/>
          <w:sz w:val="18"/>
          <w:szCs w:val="18"/>
        </w:rPr>
        <w:t>inv</w:t>
      </w:r>
      <w:proofErr w:type="spellEnd"/>
      <w:r>
        <w:rPr>
          <w:rFonts w:ascii="Palatino Linotype" w:hAnsi="Palatino Linotype"/>
          <w:sz w:val="18"/>
          <w:szCs w:val="18"/>
        </w:rPr>
        <w:t xml:space="preserve">. č. </w:t>
      </w:r>
      <w:r w:rsidR="009864B2">
        <w:rPr>
          <w:rFonts w:ascii="Palatino Linotype" w:hAnsi="Palatino Linotype"/>
          <w:sz w:val="18"/>
          <w:szCs w:val="18"/>
        </w:rPr>
        <w:t>XXXX</w:t>
      </w:r>
      <w:bookmarkStart w:id="0" w:name="_GoBack"/>
      <w:bookmarkEnd w:id="0"/>
      <w:r>
        <w:rPr>
          <w:rFonts w:ascii="Palatino Linotype" w:hAnsi="Palatino Linotype"/>
          <w:sz w:val="18"/>
          <w:szCs w:val="18"/>
        </w:rPr>
        <w:t xml:space="preserve"> v balení do dřevěné bedny, která bude řádně vytěsněná proti pohybu měkkým materiálem (</w:t>
      </w:r>
      <w:proofErr w:type="spellStart"/>
      <w:r>
        <w:rPr>
          <w:rFonts w:ascii="Palatino Linotype" w:hAnsi="Palatino Linotype"/>
          <w:sz w:val="18"/>
          <w:szCs w:val="18"/>
        </w:rPr>
        <w:t>mirelonem</w:t>
      </w:r>
      <w:proofErr w:type="spellEnd"/>
      <w:r>
        <w:rPr>
          <w:rFonts w:ascii="Palatino Linotype" w:hAnsi="Palatino Linotype"/>
          <w:sz w:val="18"/>
          <w:szCs w:val="18"/>
        </w:rPr>
        <w:t>), zejména v oblasti plintu. Vitrína bude balena zvlášť.</w:t>
      </w:r>
    </w:p>
    <w:p w14:paraId="4F92D9F9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4FC117DF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3DBDADDD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30C3C7AF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61D05A97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113040C7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0331D7AE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 výjimkou celkových fotografických záběrů výstavy nesmí Vypůjčitel fotografovat žádný z vypůjčených předmětů ani nesmí umožnit fotografování dalším osobám. Zákaz dle předchozí věty </w:t>
      </w:r>
      <w:r w:rsidRPr="001D381F">
        <w:rPr>
          <w:rFonts w:ascii="Palatino Linotype" w:hAnsi="Palatino Linotype"/>
          <w:sz w:val="18"/>
          <w:szCs w:val="18"/>
        </w:rPr>
        <w:lastRenderedPageBreak/>
        <w:t>se nevztahuje na fotografie pořizované návštěvníky pro soukromé (nekomerční) účely bez použití blesku a vedlejších technických zařízení (selfie tyče, stativy, dodatečné osvětlení, atd.).</w:t>
      </w:r>
    </w:p>
    <w:p w14:paraId="2A2BE955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71A3216B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1A45F7EA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2E6213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0944912C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2681EB33" w14:textId="19728A2D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</w:t>
      </w:r>
      <w:r w:rsidRPr="000F51FC">
        <w:rPr>
          <w:rFonts w:ascii="Palatino Linotype" w:hAnsi="Palatino Linotype"/>
          <w:sz w:val="18"/>
          <w:szCs w:val="18"/>
        </w:rPr>
        <w:t xml:space="preserve">podmínky: </w:t>
      </w:r>
      <w:r w:rsidR="000666EC" w:rsidRPr="000F51FC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0F51FC">
        <w:rPr>
          <w:rFonts w:ascii="Palatino Linotype" w:hAnsi="Palatino Linotype"/>
          <w:sz w:val="18"/>
          <w:szCs w:val="18"/>
        </w:rPr>
        <w:t>20 ± 2°</w:t>
      </w:r>
      <w:r w:rsidR="000666EC" w:rsidRPr="000F51FC">
        <w:rPr>
          <w:rFonts w:ascii="Palatino Linotype" w:hAnsi="Palatino Linotype"/>
          <w:sz w:val="18"/>
          <w:szCs w:val="18"/>
        </w:rPr>
        <w:t>C</w:t>
      </w:r>
      <w:r w:rsidR="000F51FC" w:rsidRPr="000F51FC">
        <w:rPr>
          <w:rFonts w:ascii="Palatino Linotype" w:hAnsi="Palatino Linotype"/>
          <w:sz w:val="18"/>
          <w:szCs w:val="18"/>
        </w:rPr>
        <w:t>,</w:t>
      </w:r>
      <w:r w:rsidR="000666EC" w:rsidRPr="000F51FC">
        <w:rPr>
          <w:rFonts w:ascii="Palatino Linotype" w:hAnsi="Palatino Linotype"/>
          <w:sz w:val="18"/>
          <w:szCs w:val="18"/>
        </w:rPr>
        <w:t xml:space="preserve"> relativní vlhkosti vzduchu </w:t>
      </w:r>
      <w:r w:rsidR="00850BC7" w:rsidRPr="000F51FC">
        <w:rPr>
          <w:rFonts w:ascii="Palatino Linotype" w:hAnsi="Palatino Linotype"/>
          <w:sz w:val="18"/>
          <w:szCs w:val="18"/>
        </w:rPr>
        <w:t>50</w:t>
      </w:r>
      <w:r w:rsidR="000666EC" w:rsidRPr="000F51FC">
        <w:rPr>
          <w:rFonts w:ascii="Palatino Linotype" w:hAnsi="Palatino Linotype"/>
          <w:sz w:val="18"/>
          <w:szCs w:val="18"/>
        </w:rPr>
        <w:t xml:space="preserve"> </w:t>
      </w:r>
      <w:r w:rsidR="00850BC7" w:rsidRPr="000F51FC">
        <w:rPr>
          <w:rFonts w:ascii="Palatino Linotype" w:hAnsi="Palatino Linotype"/>
          <w:sz w:val="18"/>
          <w:szCs w:val="18"/>
        </w:rPr>
        <w:t xml:space="preserve">± </w:t>
      </w:r>
      <w:r w:rsidR="000666EC" w:rsidRPr="000F51FC">
        <w:rPr>
          <w:rFonts w:ascii="Palatino Linotype" w:hAnsi="Palatino Linotype"/>
          <w:sz w:val="18"/>
          <w:szCs w:val="18"/>
        </w:rPr>
        <w:t>5 %</w:t>
      </w:r>
      <w:r w:rsidR="000F51FC" w:rsidRPr="000F51FC">
        <w:rPr>
          <w:rFonts w:ascii="Palatino Linotype" w:hAnsi="Palatino Linotype"/>
          <w:sz w:val="18"/>
          <w:szCs w:val="18"/>
        </w:rPr>
        <w:t xml:space="preserve"> a intenzitě osvětlení max. 150 luxů</w:t>
      </w:r>
      <w:r w:rsidR="000666EC" w:rsidRPr="000F51FC">
        <w:rPr>
          <w:rFonts w:ascii="Palatino Linotype" w:hAnsi="Palatino Linotype"/>
          <w:sz w:val="18"/>
          <w:szCs w:val="18"/>
        </w:rPr>
        <w:t>.</w:t>
      </w:r>
    </w:p>
    <w:p w14:paraId="6128CF6E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75AA88DF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2A51D204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1FF2B8CC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3DA83FAE" w14:textId="67A785F9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7A9FBA51" w14:textId="77777777" w:rsidR="00526F63" w:rsidRPr="002E6213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2E6213">
        <w:rPr>
          <w:rFonts w:ascii="Palatino Linotype" w:hAnsi="Palatino Linotype"/>
          <w:sz w:val="18"/>
          <w:szCs w:val="18"/>
        </w:rPr>
        <w:lastRenderedPageBreak/>
        <w:t>Uveřejnění Smlouvy v registru smluv</w:t>
      </w:r>
    </w:p>
    <w:p w14:paraId="5CBBB9E6" w14:textId="77777777" w:rsidR="002D5827" w:rsidRPr="002E6213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2E6213">
        <w:rPr>
          <w:rFonts w:ascii="Palatino Linotype" w:hAnsi="Palatino Linotype"/>
          <w:sz w:val="18"/>
          <w:szCs w:val="18"/>
        </w:rPr>
        <w:t xml:space="preserve">Tuto </w:t>
      </w:r>
      <w:r w:rsidR="0058488F" w:rsidRPr="002E6213">
        <w:rPr>
          <w:rFonts w:ascii="Palatino Linotype" w:hAnsi="Palatino Linotype"/>
          <w:sz w:val="18"/>
          <w:szCs w:val="18"/>
        </w:rPr>
        <w:t>S</w:t>
      </w:r>
      <w:r w:rsidRPr="002E6213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2E6213">
        <w:rPr>
          <w:rFonts w:ascii="Palatino Linotype" w:hAnsi="Palatino Linotype"/>
          <w:sz w:val="18"/>
          <w:szCs w:val="18"/>
        </w:rPr>
        <w:t>Půjčitel. Příloha č. 1 této S</w:t>
      </w:r>
      <w:r w:rsidRPr="002E6213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2E6213">
        <w:rPr>
          <w:rFonts w:ascii="Palatino Linotype" w:hAnsi="Palatino Linotype"/>
          <w:sz w:val="18"/>
          <w:szCs w:val="18"/>
        </w:rPr>
        <w:t>ědictví a sbírek P</w:t>
      </w:r>
      <w:r w:rsidRPr="002E6213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2E6213">
        <w:rPr>
          <w:rFonts w:ascii="Palatino Linotype" w:hAnsi="Palatino Linotype"/>
          <w:sz w:val="18"/>
          <w:szCs w:val="18"/>
        </w:rPr>
        <w:t>P</w:t>
      </w:r>
      <w:r w:rsidRPr="002E6213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2E6213">
        <w:rPr>
          <w:rFonts w:ascii="Palatino Linotype" w:hAnsi="Palatino Linotype"/>
          <w:sz w:val="18"/>
          <w:szCs w:val="18"/>
        </w:rPr>
        <w:t>S</w:t>
      </w:r>
      <w:r w:rsidRPr="002E6213">
        <w:rPr>
          <w:rFonts w:ascii="Palatino Linotype" w:hAnsi="Palatino Linotype"/>
          <w:sz w:val="18"/>
          <w:szCs w:val="18"/>
        </w:rPr>
        <w:t xml:space="preserve">mlouvy </w:t>
      </w:r>
      <w:r w:rsidR="0058488F" w:rsidRPr="002E6213">
        <w:rPr>
          <w:rFonts w:ascii="Palatino Linotype" w:hAnsi="Palatino Linotype"/>
          <w:sz w:val="18"/>
          <w:szCs w:val="18"/>
        </w:rPr>
        <w:t>V</w:t>
      </w:r>
      <w:r w:rsidRPr="002E6213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2E6213">
        <w:rPr>
          <w:rFonts w:ascii="Palatino Linotype" w:hAnsi="Palatino Linotype"/>
          <w:sz w:val="18"/>
          <w:szCs w:val="18"/>
        </w:rPr>
        <w:t>P</w:t>
      </w:r>
      <w:r w:rsidRPr="002E6213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2E6213">
        <w:rPr>
          <w:rFonts w:ascii="Palatino Linotype" w:hAnsi="Palatino Linotype"/>
          <w:sz w:val="18"/>
          <w:szCs w:val="18"/>
        </w:rPr>
        <w:t>P</w:t>
      </w:r>
      <w:r w:rsidRPr="002E6213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2E6213">
        <w:rPr>
          <w:rFonts w:ascii="Palatino Linotype" w:hAnsi="Palatino Linotype"/>
          <w:sz w:val="18"/>
          <w:szCs w:val="18"/>
        </w:rPr>
        <w:t>P</w:t>
      </w:r>
      <w:r w:rsidRPr="002E6213">
        <w:rPr>
          <w:rFonts w:ascii="Palatino Linotype" w:hAnsi="Palatino Linotype"/>
          <w:sz w:val="18"/>
          <w:szCs w:val="18"/>
        </w:rPr>
        <w:t>ůj</w:t>
      </w:r>
      <w:r w:rsidR="0058488F" w:rsidRPr="002E6213">
        <w:rPr>
          <w:rFonts w:ascii="Palatino Linotype" w:hAnsi="Palatino Linotype"/>
          <w:sz w:val="18"/>
          <w:szCs w:val="18"/>
        </w:rPr>
        <w:t>čitel je dále oprávněn od této S</w:t>
      </w:r>
      <w:r w:rsidRPr="002E6213">
        <w:rPr>
          <w:rFonts w:ascii="Palatino Linotype" w:hAnsi="Palatino Linotype"/>
          <w:sz w:val="18"/>
          <w:szCs w:val="18"/>
        </w:rPr>
        <w:t>mlouvy odstoupit.</w:t>
      </w:r>
      <w:r w:rsidR="003C4538" w:rsidRPr="002E6213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2E6213">
        <w:rPr>
          <w:rFonts w:ascii="Palatino Linotype" w:hAnsi="Palatino Linotype"/>
          <w:sz w:val="18"/>
          <w:szCs w:val="18"/>
        </w:rPr>
        <w:t>S</w:t>
      </w:r>
      <w:r w:rsidR="003C4538" w:rsidRPr="002E6213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2E6213">
        <w:rPr>
          <w:rFonts w:ascii="Palatino Linotype" w:hAnsi="Palatino Linotype"/>
          <w:sz w:val="18"/>
          <w:szCs w:val="18"/>
        </w:rPr>
        <w:t>S</w:t>
      </w:r>
      <w:r w:rsidR="003C4538" w:rsidRPr="002E6213">
        <w:rPr>
          <w:rFonts w:ascii="Palatino Linotype" w:hAnsi="Palatino Linotype"/>
          <w:sz w:val="18"/>
          <w:szCs w:val="18"/>
        </w:rPr>
        <w:t>mlouvy písemně upozornit.</w:t>
      </w:r>
    </w:p>
    <w:p w14:paraId="28D78BCA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701A990D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mlouva se vyhotovuje ve 2 </w:t>
      </w:r>
      <w:proofErr w:type="spellStart"/>
      <w:r w:rsidRPr="001D381F">
        <w:rPr>
          <w:rFonts w:ascii="Palatino Linotype" w:hAnsi="Palatino Linotype"/>
          <w:sz w:val="18"/>
          <w:szCs w:val="18"/>
        </w:rPr>
        <w:t>paré</w:t>
      </w:r>
      <w:proofErr w:type="spellEnd"/>
      <w:r w:rsidRPr="001D381F">
        <w:rPr>
          <w:rFonts w:ascii="Palatino Linotype" w:hAnsi="Palatino Linotype"/>
          <w:sz w:val="18"/>
          <w:szCs w:val="18"/>
        </w:rPr>
        <w:t>, přičemž každá ze smluvních stran obdrží po jednom.</w:t>
      </w:r>
    </w:p>
    <w:p w14:paraId="476E6B4D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7217523F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03BB1C99" w14:textId="77777777" w:rsidR="007E5957" w:rsidRPr="002E6213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mlouvu přečetly, s jejím obsahem bez výhrad souhlasí, na důkaz čehož připojují své </w:t>
      </w:r>
      <w:r w:rsidRPr="002E6213">
        <w:rPr>
          <w:rFonts w:ascii="Palatino Linotype" w:hAnsi="Palatino Linotype"/>
          <w:sz w:val="18"/>
          <w:szCs w:val="18"/>
        </w:rPr>
        <w:t>podpisy.</w:t>
      </w:r>
    </w:p>
    <w:p w14:paraId="3C44C7AA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2E6213">
        <w:rPr>
          <w:rFonts w:ascii="Palatino Linotype" w:hAnsi="Palatino Linotype"/>
          <w:sz w:val="18"/>
          <w:szCs w:val="18"/>
        </w:rPr>
        <w:t xml:space="preserve">Smlouva nabývá platnosti </w:t>
      </w:r>
      <w:r w:rsidR="008757A1" w:rsidRPr="002E6213">
        <w:rPr>
          <w:rFonts w:ascii="Palatino Linotype" w:hAnsi="Palatino Linotype"/>
          <w:sz w:val="18"/>
          <w:szCs w:val="18"/>
        </w:rPr>
        <w:t>dnem jejího podpisu a účinnosti</w:t>
      </w:r>
      <w:r w:rsidRPr="002E6213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35AC936F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38A0D886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0D9F664C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37242E61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213FEA2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41C3397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8F3FE2D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3DD5A2A" w14:textId="5B4A1806" w:rsidR="002E6213" w:rsidRPr="001D381F" w:rsidRDefault="002E6213" w:rsidP="002E6213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Mgr. Hana Veselá, vedoucí</w:t>
      </w:r>
      <w:r>
        <w:rPr>
          <w:rFonts w:ascii="Palatino Linotype" w:hAnsi="Palatino Linotype"/>
          <w:snapToGrid w:val="0"/>
          <w:sz w:val="18"/>
          <w:szCs w:val="18"/>
        </w:rPr>
        <w:tab/>
        <w:t>Ing. Petr Ivanov</w:t>
      </w:r>
    </w:p>
    <w:p w14:paraId="5DD8AF75" w14:textId="77777777" w:rsidR="002E6213" w:rsidRDefault="002E6213" w:rsidP="002E6213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  <w:r>
        <w:rPr>
          <w:rFonts w:ascii="Palatino Linotype" w:hAnsi="Palatino Linotype"/>
          <w:snapToGrid w:val="0"/>
          <w:sz w:val="18"/>
          <w:szCs w:val="18"/>
        </w:rPr>
        <w:tab/>
        <w:t>ředitel festivalu</w:t>
      </w:r>
    </w:p>
    <w:p w14:paraId="5CD0102A" w14:textId="77777777" w:rsidR="002E6213" w:rsidRDefault="002E6213" w:rsidP="002E621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>
        <w:rPr>
          <w:rFonts w:ascii="Palatino Linotype" w:hAnsi="Palatino Linotype"/>
          <w:snapToGrid w:val="0"/>
          <w:sz w:val="18"/>
          <w:szCs w:val="18"/>
        </w:rPr>
        <w:tab/>
        <w:t xml:space="preserve">Czech </w:t>
      </w:r>
      <w:proofErr w:type="spellStart"/>
      <w:r>
        <w:rPr>
          <w:rFonts w:ascii="Palatino Linotype" w:hAnsi="Palatino Linotype"/>
          <w:snapToGrid w:val="0"/>
          <w:sz w:val="18"/>
          <w:szCs w:val="18"/>
        </w:rPr>
        <w:t>Architecture</w:t>
      </w:r>
      <w:proofErr w:type="spellEnd"/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napToGrid w:val="0"/>
          <w:sz w:val="18"/>
          <w:szCs w:val="18"/>
        </w:rPr>
        <w:t>Week</w:t>
      </w:r>
      <w:proofErr w:type="spellEnd"/>
    </w:p>
    <w:p w14:paraId="6874F2EC" w14:textId="132A8CCE" w:rsidR="001B3337" w:rsidRPr="001D381F" w:rsidRDefault="002E6213" w:rsidP="002E6213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  <w:t xml:space="preserve">           </w:t>
      </w:r>
      <w:r w:rsidRPr="001D381F">
        <w:rPr>
          <w:rFonts w:ascii="Palatino Linotype" w:hAnsi="Palatino Linotype"/>
          <w:snapToGrid w:val="0"/>
          <w:sz w:val="18"/>
          <w:szCs w:val="18"/>
        </w:rPr>
        <w:t>Vypůjčitel</w:t>
      </w:r>
    </w:p>
    <w:p w14:paraId="6B3D788D" w14:textId="699341D9" w:rsidR="001D381F" w:rsidRPr="001D381F" w:rsidRDefault="001D381F" w:rsidP="002E6213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4568" w14:textId="77777777" w:rsidR="009E0CD7" w:rsidRDefault="009E0CD7" w:rsidP="007013F0">
      <w:r>
        <w:separator/>
      </w:r>
    </w:p>
  </w:endnote>
  <w:endnote w:type="continuationSeparator" w:id="0">
    <w:p w14:paraId="71224478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C61D" w14:textId="77777777" w:rsidR="007C29AE" w:rsidRDefault="007C29AE">
    <w:pPr>
      <w:pStyle w:val="Zpat"/>
    </w:pPr>
  </w:p>
  <w:p w14:paraId="0C9B40D2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F2E8" w14:textId="3FB86CC0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9864B2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9864B2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DDD47" w14:textId="4DBDEEB0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9864B2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9864B2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6BBCD" w14:textId="071E782F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9864B2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9864B2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6A26C" w14:textId="77777777" w:rsidR="009E0CD7" w:rsidRDefault="009E0CD7" w:rsidP="007013F0">
      <w:r>
        <w:separator/>
      </w:r>
    </w:p>
  </w:footnote>
  <w:footnote w:type="continuationSeparator" w:id="0">
    <w:p w14:paraId="2F23A006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CA3D9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2C7EACD" wp14:editId="3A878D6B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F6985E" w14:textId="77777777" w:rsidR="00264377" w:rsidRDefault="00264377" w:rsidP="001D381F">
    <w:pPr>
      <w:pStyle w:val="Zhlav"/>
    </w:pPr>
  </w:p>
  <w:p w14:paraId="7140347F" w14:textId="77777777" w:rsidR="001D381F" w:rsidRDefault="001D381F" w:rsidP="001D381F">
    <w:pPr>
      <w:pStyle w:val="Zhlav"/>
    </w:pPr>
  </w:p>
  <w:p w14:paraId="472AF0FC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5"/>
  </w:num>
  <w:num w:numId="23">
    <w:abstractNumId w:val="4"/>
  </w:num>
  <w:num w:numId="24">
    <w:abstractNumId w:val="9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0F51FC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E6213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56A0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37A4D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64B2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15D7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92901BE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Mariana Kučerová</cp:lastModifiedBy>
  <cp:revision>2</cp:revision>
  <cp:lastPrinted>2023-09-07T13:14:00Z</cp:lastPrinted>
  <dcterms:created xsi:type="dcterms:W3CDTF">2023-09-12T12:18:00Z</dcterms:created>
  <dcterms:modified xsi:type="dcterms:W3CDTF">2023-09-12T12:18:00Z</dcterms:modified>
</cp:coreProperties>
</file>