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1EE1C01E"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D62C0D">
        <w:rPr>
          <w:rFonts w:ascii="Arial Narrow" w:hAnsi="Arial Narrow"/>
          <w:sz w:val="32"/>
          <w:szCs w:val="32"/>
        </w:rPr>
        <w:t>R/IV./017/2023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1F04A8DF" w14:textId="61B2F1D6" w:rsidR="0076770E" w:rsidRPr="00571A5E" w:rsidRDefault="0076770E" w:rsidP="0076770E">
      <w:pPr>
        <w:spacing w:after="120" w:line="360" w:lineRule="auto"/>
        <w:ind w:left="357"/>
        <w:rPr>
          <w:rFonts w:ascii="Arial Narrow" w:hAnsi="Arial Narrow"/>
          <w:b/>
          <w:bCs/>
          <w:sz w:val="22"/>
          <w:szCs w:val="22"/>
        </w:rPr>
      </w:pPr>
      <w:proofErr w:type="spellStart"/>
      <w:r>
        <w:rPr>
          <w:rFonts w:ascii="Arial Narrow" w:hAnsi="Arial Narrow"/>
          <w:b/>
          <w:bCs/>
          <w:sz w:val="22"/>
          <w:szCs w:val="22"/>
        </w:rPr>
        <w:t>Stamed</w:t>
      </w:r>
      <w:proofErr w:type="spellEnd"/>
      <w:r>
        <w:rPr>
          <w:rFonts w:ascii="Arial Narrow" w:hAnsi="Arial Narrow"/>
          <w:b/>
          <w:bCs/>
          <w:sz w:val="22"/>
          <w:szCs w:val="22"/>
        </w:rPr>
        <w:t xml:space="preserve"> s.r.o</w:t>
      </w:r>
      <w:r w:rsidRPr="00571A5E">
        <w:rPr>
          <w:rFonts w:ascii="Arial Narrow" w:hAnsi="Arial Narrow"/>
          <w:b/>
          <w:bCs/>
          <w:sz w:val="22"/>
          <w:szCs w:val="22"/>
        </w:rPr>
        <w:t>.</w:t>
      </w:r>
    </w:p>
    <w:p w14:paraId="3C611579" w14:textId="0AA37295"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1D5814">
        <w:rPr>
          <w:rFonts w:ascii="Arial Narrow" w:hAnsi="Arial Narrow"/>
          <w:b/>
          <w:sz w:val="22"/>
          <w:szCs w:val="22"/>
        </w:rPr>
        <w:t>Vřesová 667, 330 08 Zruč-Senec</w:t>
      </w:r>
    </w:p>
    <w:p w14:paraId="73818D6F" w14:textId="0497BDA0"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490D03">
        <w:rPr>
          <w:rFonts w:ascii="Arial Narrow" w:hAnsi="Arial Narrow"/>
          <w:b/>
          <w:sz w:val="22"/>
          <w:szCs w:val="22"/>
        </w:rPr>
        <w:t>29161941</w:t>
      </w:r>
    </w:p>
    <w:p w14:paraId="4C1BCA4B" w14:textId="055B2D2D"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490D03">
        <w:rPr>
          <w:rFonts w:ascii="Arial Narrow" w:hAnsi="Arial Narrow"/>
          <w:b/>
          <w:sz w:val="22"/>
          <w:szCs w:val="22"/>
        </w:rPr>
        <w:t>CZ291619</w:t>
      </w:r>
      <w:r w:rsidR="00F8129F">
        <w:rPr>
          <w:rFonts w:ascii="Arial Narrow" w:hAnsi="Arial Narrow"/>
          <w:b/>
          <w:sz w:val="22"/>
          <w:szCs w:val="22"/>
        </w:rPr>
        <w:t>41</w:t>
      </w:r>
    </w:p>
    <w:p w14:paraId="612C7988" w14:textId="37C9F67C"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zapsána v obchodním rejstříku vedeném</w:t>
      </w:r>
      <w:r w:rsidR="00F8129F">
        <w:rPr>
          <w:rFonts w:ascii="Arial Narrow" w:hAnsi="Arial Narrow"/>
          <w:b/>
          <w:sz w:val="22"/>
          <w:szCs w:val="22"/>
        </w:rPr>
        <w:t xml:space="preserve"> Krajským soudem v Plzni, </w:t>
      </w:r>
      <w:proofErr w:type="gramStart"/>
      <w:r w:rsidRPr="001B6576">
        <w:rPr>
          <w:rFonts w:ascii="Arial Narrow" w:hAnsi="Arial Narrow"/>
          <w:sz w:val="22"/>
          <w:szCs w:val="22"/>
        </w:rPr>
        <w:t>oddíl</w:t>
      </w:r>
      <w:r w:rsidR="00846636" w:rsidRPr="001B6576">
        <w:rPr>
          <w:rFonts w:ascii="Arial Narrow" w:hAnsi="Arial Narrow"/>
          <w:sz w:val="22"/>
          <w:szCs w:val="22"/>
        </w:rPr>
        <w:t xml:space="preserve"> </w:t>
      </w:r>
      <w:r w:rsidR="00F8129F">
        <w:rPr>
          <w:rFonts w:ascii="Arial Narrow" w:hAnsi="Arial Narrow"/>
          <w:b/>
          <w:sz w:val="22"/>
          <w:szCs w:val="22"/>
        </w:rPr>
        <w:t xml:space="preserve"> C</w:t>
      </w:r>
      <w:proofErr w:type="gramEnd"/>
      <w:r w:rsidR="00FB7B04" w:rsidRPr="001B6576">
        <w:rPr>
          <w:rFonts w:ascii="Arial Narrow" w:hAnsi="Arial Narrow"/>
          <w:b/>
          <w:sz w:val="22"/>
          <w:szCs w:val="22"/>
        </w:rPr>
        <w:t>,</w:t>
      </w:r>
      <w:r w:rsidRPr="001B6576">
        <w:rPr>
          <w:rFonts w:ascii="Arial Narrow" w:hAnsi="Arial Narrow"/>
          <w:sz w:val="22"/>
          <w:szCs w:val="22"/>
        </w:rPr>
        <w:t xml:space="preserve"> vložka</w:t>
      </w:r>
      <w:r w:rsidR="00F8129F">
        <w:rPr>
          <w:rFonts w:ascii="Arial Narrow" w:hAnsi="Arial Narrow"/>
          <w:b/>
          <w:sz w:val="22"/>
          <w:szCs w:val="22"/>
        </w:rPr>
        <w:t xml:space="preserve"> 27962</w:t>
      </w:r>
    </w:p>
    <w:p w14:paraId="023F51E4" w14:textId="081F0832"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A14561">
        <w:rPr>
          <w:rFonts w:ascii="Arial Narrow" w:hAnsi="Arial Narrow"/>
          <w:b/>
          <w:sz w:val="22"/>
          <w:szCs w:val="22"/>
        </w:rPr>
        <w:t>Komerční banka, a.s.</w:t>
      </w:r>
      <w:r w:rsidR="00863C9B" w:rsidRPr="001B6576">
        <w:rPr>
          <w:rFonts w:ascii="Arial Narrow" w:hAnsi="Arial Narrow"/>
          <w:sz w:val="22"/>
          <w:szCs w:val="22"/>
        </w:rPr>
        <w:t>, č.ú.:</w:t>
      </w:r>
      <w:r w:rsidR="00A14561">
        <w:rPr>
          <w:rFonts w:ascii="Arial Narrow" w:hAnsi="Arial Narrow"/>
          <w:sz w:val="22"/>
          <w:szCs w:val="22"/>
        </w:rPr>
        <w:t>107-5913970207/0100</w:t>
      </w:r>
      <w:r w:rsidR="00863C9B" w:rsidRPr="001B6576">
        <w:rPr>
          <w:rFonts w:ascii="Arial Narrow" w:hAnsi="Arial Narrow"/>
          <w:sz w:val="22"/>
          <w:szCs w:val="22"/>
        </w:rPr>
        <w:t xml:space="preserve">                     </w:t>
      </w:r>
    </w:p>
    <w:p w14:paraId="5235587E" w14:textId="0AE6BBB6"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proofErr w:type="spellStart"/>
      <w:r w:rsidR="00EE6014">
        <w:rPr>
          <w:rFonts w:ascii="Arial Narrow" w:hAnsi="Arial Narrow"/>
          <w:sz w:val="22"/>
          <w:szCs w:val="22"/>
        </w:rPr>
        <w:t>xxxx</w:t>
      </w:r>
      <w:proofErr w:type="spellEnd"/>
      <w:r w:rsidR="00A14561">
        <w:rPr>
          <w:rFonts w:ascii="Arial Narrow" w:hAnsi="Arial Narrow"/>
          <w:sz w:val="22"/>
          <w:szCs w:val="22"/>
        </w:rPr>
        <w:t>, jednatelem společnosti</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026D166D"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1</w:t>
      </w:r>
      <w:r w:rsidR="0042478D">
        <w:rPr>
          <w:rFonts w:ascii="Arial Narrow" w:hAnsi="Arial Narrow"/>
        </w:rPr>
        <w:t>7</w:t>
      </w:r>
      <w:r w:rsidR="00B81EA3">
        <w:rPr>
          <w:rFonts w:ascii="Arial Narrow" w:hAnsi="Arial Narrow"/>
        </w:rPr>
        <w:t xml:space="preserve">: </w:t>
      </w:r>
      <w:r w:rsidR="00F44B1E">
        <w:rPr>
          <w:rFonts w:ascii="Arial Narrow" w:hAnsi="Arial Narrow"/>
        </w:rPr>
        <w:t>„</w:t>
      </w:r>
      <w:r w:rsidR="002244E9" w:rsidRPr="002244E9">
        <w:rPr>
          <w:rFonts w:ascii="Arial Narrow" w:hAnsi="Arial Narrow" w:cs="Arial"/>
          <w:b/>
        </w:rPr>
        <w:t>Myčky podložních mís</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0A3BE497" w:rsidR="00CD3080" w:rsidRPr="00447CEF" w:rsidRDefault="00A3047D" w:rsidP="002B4D3F">
      <w:pPr>
        <w:tabs>
          <w:tab w:val="left" w:pos="567"/>
        </w:tabs>
        <w:spacing w:after="120" w:line="360" w:lineRule="auto"/>
        <w:ind w:left="567" w:firstLine="0"/>
        <w:jc w:val="center"/>
        <w:rPr>
          <w:rFonts w:ascii="Arial Narrow" w:hAnsi="Arial Narrow"/>
        </w:rPr>
      </w:pPr>
      <w:r>
        <w:rPr>
          <w:rFonts w:ascii="Arial Narrow" w:hAnsi="Arial Narrow"/>
          <w:sz w:val="22"/>
        </w:rPr>
        <w:t>4 ks Myček podložních mís,</w:t>
      </w:r>
      <w:r w:rsidR="00052D1E" w:rsidRPr="00A02D3A">
        <w:rPr>
          <w:lang w:eastAsia="en-US"/>
        </w:rPr>
        <w:t xml:space="preserve"> </w:t>
      </w:r>
      <w:r w:rsidR="00052D1E" w:rsidRPr="00A02D3A">
        <w:rPr>
          <w:rFonts w:ascii="Arial Narrow" w:hAnsi="Arial Narrow"/>
          <w:lang w:eastAsia="en-US"/>
        </w:rPr>
        <w:t>112102107 AF2</w:t>
      </w:r>
      <w:r w:rsidR="00850DCB">
        <w:rPr>
          <w:rFonts w:ascii="Arial Narrow" w:hAnsi="Arial Narrow"/>
          <w:lang w:eastAsia="en-US"/>
        </w:rPr>
        <w:t>.</w:t>
      </w:r>
      <w:r w:rsidR="00052D1E" w:rsidRPr="00A02D3A">
        <w:rPr>
          <w:rFonts w:ascii="Arial Narrow" w:hAnsi="Arial Narrow"/>
          <w:lang w:eastAsia="en-US"/>
        </w:rPr>
        <w:t>45 PEG</w:t>
      </w:r>
      <w:r w:rsidR="00850DCB">
        <w:rPr>
          <w:lang w:eastAsia="en-US"/>
        </w:rPr>
        <w:t>,</w:t>
      </w:r>
    </w:p>
    <w:p w14:paraId="494D0AE5" w14:textId="3C2875C8" w:rsidR="007D7A3A" w:rsidRPr="00447CEF" w:rsidRDefault="007D7A3A" w:rsidP="002B4D3F">
      <w:pPr>
        <w:tabs>
          <w:tab w:val="left" w:pos="567"/>
        </w:tabs>
        <w:spacing w:after="120" w:line="360" w:lineRule="auto"/>
        <w:ind w:left="567" w:firstLine="0"/>
        <w:jc w:val="center"/>
        <w:rPr>
          <w:rFonts w:ascii="Arial Narrow" w:hAnsi="Arial Narrow"/>
          <w:b/>
        </w:rPr>
      </w:pP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1E7E233D"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615B0C">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3C040DD" w:rsidR="00EC0855" w:rsidRPr="00F510F0" w:rsidRDefault="00D62C0D"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O</w:t>
      </w:r>
      <w:r w:rsidR="00A2034C" w:rsidRPr="00A2034C">
        <w:rPr>
          <w:rFonts w:ascii="Arial Narrow" w:hAnsi="Arial Narrow" w:cs="Arial"/>
          <w:bCs/>
          <w:sz w:val="22"/>
          <w:szCs w:val="22"/>
        </w:rPr>
        <w:t>ddělení</w:t>
      </w:r>
      <w:r>
        <w:rPr>
          <w:rFonts w:ascii="Arial Narrow" w:hAnsi="Arial Narrow" w:cs="Arial"/>
          <w:bCs/>
          <w:sz w:val="22"/>
          <w:szCs w:val="22"/>
        </w:rPr>
        <w:t xml:space="preserve"> gynekologicko-porodnické,</w:t>
      </w:r>
      <w:r w:rsidR="000156C0">
        <w:rPr>
          <w:rFonts w:ascii="Arial Narrow" w:hAnsi="Arial Narrow"/>
          <w:sz w:val="22"/>
        </w:rPr>
        <w:t xml:space="preserve"> </w:t>
      </w:r>
      <w:r w:rsidR="00A2034C" w:rsidRPr="00A2034C">
        <w:rPr>
          <w:rFonts w:ascii="Arial Narrow" w:hAnsi="Arial Narrow" w:cs="Arial"/>
          <w:bCs/>
          <w:sz w:val="22"/>
          <w:szCs w:val="22"/>
        </w:rPr>
        <w:t xml:space="preserve">Oblastní nemocnice Maxima Gorkého 77, </w:t>
      </w:r>
      <w:proofErr w:type="spellStart"/>
      <w:r w:rsidR="00A2034C" w:rsidRPr="00A2034C">
        <w:rPr>
          <w:rFonts w:ascii="Arial Narrow" w:hAnsi="Arial Narrow" w:cs="Arial"/>
          <w:bCs/>
          <w:sz w:val="22"/>
          <w:szCs w:val="22"/>
        </w:rPr>
        <w:t>Kryblice</w:t>
      </w:r>
      <w:proofErr w:type="spellEnd"/>
      <w:r w:rsidR="00A2034C" w:rsidRPr="00A2034C">
        <w:rPr>
          <w:rFonts w:ascii="Arial Narrow" w:hAnsi="Arial Narrow" w:cs="Arial"/>
          <w:bCs/>
          <w:sz w:val="22"/>
          <w:szCs w:val="22"/>
        </w:rPr>
        <w:t>, 541 01 Trutnov</w:t>
      </w:r>
      <w:r w:rsidR="00D47D74" w:rsidRPr="00F51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43277C">
        <w:rPr>
          <w:rFonts w:ascii="Arial Narrow" w:hAnsi="Arial Narrow"/>
          <w:sz w:val="22"/>
        </w:rPr>
        <w:lastRenderedPageBreak/>
        <w:t>Pověřeným zástupcem prodávajícího je:</w:t>
      </w:r>
    </w:p>
    <w:p w14:paraId="73712289" w14:textId="33199D21" w:rsidR="00D311A6" w:rsidRPr="006036A4" w:rsidRDefault="00EE6014" w:rsidP="006036A4">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3A7FEA" w:rsidRPr="004C1B69">
        <w:rPr>
          <w:rFonts w:ascii="Arial Narrow" w:hAnsi="Arial Narrow"/>
        </w:rPr>
        <w:t>, tel.: +</w:t>
      </w:r>
      <w:proofErr w:type="spellStart"/>
      <w:r>
        <w:rPr>
          <w:rFonts w:ascii="Arial Narrow" w:hAnsi="Arial Narrow"/>
        </w:rPr>
        <w:t>xxxx</w:t>
      </w:r>
      <w:proofErr w:type="spellEnd"/>
      <w:r w:rsidR="005D291D" w:rsidRPr="004C1B69">
        <w:rPr>
          <w:rFonts w:ascii="Arial Narrow" w:hAnsi="Arial Narrow"/>
        </w:rPr>
        <w:t xml:space="preserve"> </w:t>
      </w:r>
      <w:r w:rsidR="003A7FEA" w:rsidRPr="004C1B69">
        <w:rPr>
          <w:rFonts w:ascii="Arial Narrow" w:hAnsi="Arial Narrow"/>
        </w:rPr>
        <w:t>e</w:t>
      </w:r>
      <w:r w:rsidR="00F3215F" w:rsidRPr="004C1B69">
        <w:rPr>
          <w:rFonts w:ascii="Arial Narrow" w:hAnsi="Arial Narrow"/>
        </w:rPr>
        <w:t>-</w:t>
      </w:r>
      <w:r w:rsidR="003A7FEA" w:rsidRPr="004C1B69">
        <w:rPr>
          <w:rFonts w:ascii="Arial Narrow" w:hAnsi="Arial Narrow"/>
        </w:rPr>
        <w:t>mail:</w:t>
      </w:r>
      <w:r w:rsidR="003A7FEA" w:rsidRPr="006036A4">
        <w:rPr>
          <w:rFonts w:ascii="Arial Narrow" w:hAnsi="Arial Narrow"/>
        </w:rPr>
        <w:t xml:space="preserve"> </w:t>
      </w:r>
      <w:proofErr w:type="spellStart"/>
      <w:r>
        <w:rPr>
          <w:rFonts w:ascii="Arial Narrow" w:hAnsi="Arial Narrow"/>
        </w:rPr>
        <w:t>xxxx</w:t>
      </w:r>
      <w:proofErr w:type="spellEnd"/>
      <w:r w:rsidR="003A7FEA" w:rsidRPr="006036A4">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25826135" w:rsidR="00A41839" w:rsidRPr="00BA3FDF" w:rsidRDefault="00EE6014"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w:t>
      </w:r>
      <w:proofErr w:type="spellStart"/>
      <w:proofErr w:type="gramStart"/>
      <w:r w:rsidR="000156C0" w:rsidRPr="000156C0">
        <w:rPr>
          <w:rFonts w:ascii="Arial Narrow" w:hAnsi="Arial Narrow"/>
        </w:rPr>
        <w:t>email:</w:t>
      </w:r>
      <w:r>
        <w:t>xxxx</w:t>
      </w:r>
      <w:proofErr w:type="spellEnd"/>
      <w:proofErr w:type="gramEnd"/>
      <w:r w:rsidR="00A41839" w:rsidRPr="00BA3FDF">
        <w:rPr>
          <w:rFonts w:ascii="Arial Narrow" w:hAnsi="Arial Narrow"/>
        </w:rPr>
        <w:t xml:space="preserve"> nebo</w:t>
      </w:r>
    </w:p>
    <w:p w14:paraId="3B9AA3C0" w14:textId="7D5606A3" w:rsidR="00A41839" w:rsidRDefault="00EE6014"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email: </w:t>
      </w:r>
      <w:proofErr w:type="spellStart"/>
      <w:r>
        <w:t>xxxx</w:t>
      </w:r>
      <w:proofErr w:type="spellEnd"/>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7724F834" w:rsidR="00A41839" w:rsidRPr="0005553B" w:rsidRDefault="00EE6014" w:rsidP="000156C0">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D62C0D" w:rsidRPr="00D62C0D">
        <w:rPr>
          <w:rFonts w:ascii="Arial Narrow" w:hAnsi="Arial Narrow"/>
        </w:rPr>
        <w:t xml:space="preserve"> </w:t>
      </w:r>
      <w:r w:rsidR="000156C0" w:rsidRPr="00D62C0D">
        <w:rPr>
          <w:rFonts w:ascii="Arial Narrow" w:hAnsi="Arial Narrow"/>
        </w:rPr>
        <w:t xml:space="preserve">tel.: </w:t>
      </w:r>
      <w:proofErr w:type="spellStart"/>
      <w:proofErr w:type="gramStart"/>
      <w:r>
        <w:rPr>
          <w:rFonts w:ascii="Arial Narrow" w:hAnsi="Arial Narrow"/>
        </w:rPr>
        <w:t>xxxx</w:t>
      </w:r>
      <w:proofErr w:type="spellEnd"/>
      <w:r w:rsidR="00D62C0D" w:rsidRPr="00D62C0D">
        <w:rPr>
          <w:rFonts w:ascii="Arial Narrow" w:hAnsi="Arial Narrow"/>
        </w:rPr>
        <w:t xml:space="preserve"> </w:t>
      </w:r>
      <w:r w:rsidR="000156C0" w:rsidRPr="00D62C0D">
        <w:rPr>
          <w:rFonts w:ascii="Arial Narrow" w:hAnsi="Arial Narrow"/>
        </w:rPr>
        <w:t xml:space="preserve"> e-mail</w:t>
      </w:r>
      <w:proofErr w:type="gramEnd"/>
      <w:r w:rsidR="000156C0" w:rsidRPr="00D62C0D">
        <w:rPr>
          <w:rFonts w:ascii="Arial Narrow" w:hAnsi="Arial Narrow"/>
        </w:rPr>
        <w:t>:</w:t>
      </w:r>
      <w:r w:rsidR="00D62C0D" w:rsidRPr="00D62C0D">
        <w:rPr>
          <w:rFonts w:ascii="Arial Narrow" w:hAnsi="Arial Narrow"/>
        </w:rPr>
        <w:t xml:space="preserve"> </w:t>
      </w:r>
      <w:proofErr w:type="spellStart"/>
      <w:r>
        <w:rPr>
          <w:rFonts w:ascii="Arial Narrow" w:hAnsi="Arial Narrow"/>
        </w:rPr>
        <w:t>xxxxx</w:t>
      </w:r>
      <w:proofErr w:type="spellEnd"/>
      <w:r w:rsidR="00A41839" w:rsidRPr="00ED512F">
        <w:rPr>
          <w:rFonts w:ascii="Arial Narrow" w:hAnsi="Arial Narrow"/>
        </w:rPr>
        <w:t xml:space="preserve"> </w:t>
      </w: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lastRenderedPageBreak/>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17ED84E5" w:rsidR="00017789" w:rsidRPr="00D62C0D" w:rsidRDefault="00693E22" w:rsidP="0031374A">
      <w:pPr>
        <w:numPr>
          <w:ilvl w:val="0"/>
          <w:numId w:val="1"/>
        </w:numPr>
        <w:tabs>
          <w:tab w:val="left" w:pos="567"/>
        </w:tabs>
        <w:spacing w:after="120" w:line="360" w:lineRule="auto"/>
        <w:ind w:left="567" w:hanging="567"/>
        <w:rPr>
          <w:rFonts w:ascii="Arial Narrow" w:hAnsi="Arial Narrow"/>
          <w:b/>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9B6C58">
        <w:rPr>
          <w:rFonts w:ascii="Arial Narrow" w:hAnsi="Arial Narrow"/>
          <w:sz w:val="22"/>
          <w:szCs w:val="22"/>
        </w:rPr>
        <w:t>647 600</w:t>
      </w:r>
      <w:r w:rsidR="00D62C0D">
        <w:rPr>
          <w:rFonts w:ascii="Arial Narrow" w:hAnsi="Arial Narrow"/>
          <w:sz w:val="22"/>
          <w:szCs w:val="22"/>
        </w:rPr>
        <w:t>,-</w:t>
      </w:r>
      <w:r w:rsidRPr="001B6576">
        <w:rPr>
          <w:rFonts w:ascii="Arial Narrow" w:hAnsi="Arial Narrow"/>
          <w:sz w:val="22"/>
          <w:szCs w:val="22"/>
        </w:rPr>
        <w:t xml:space="preserve"> Kč bez</w:t>
      </w:r>
      <w:r w:rsidR="00D62C0D">
        <w:rPr>
          <w:rFonts w:ascii="Arial Narrow" w:hAnsi="Arial Narrow"/>
          <w:sz w:val="22"/>
          <w:szCs w:val="22"/>
        </w:rPr>
        <w:t xml:space="preserve"> 21 </w:t>
      </w:r>
      <w:r w:rsidRPr="001B6576">
        <w:rPr>
          <w:rFonts w:ascii="Arial Narrow" w:hAnsi="Arial Narrow"/>
          <w:sz w:val="22"/>
          <w:szCs w:val="22"/>
        </w:rPr>
        <w:t>% DPH, DPH činí</w:t>
      </w:r>
      <w:r w:rsidR="00D62C0D">
        <w:rPr>
          <w:rFonts w:ascii="Arial Narrow" w:hAnsi="Arial Narrow"/>
          <w:sz w:val="22"/>
          <w:szCs w:val="22"/>
        </w:rPr>
        <w:t xml:space="preserve"> </w:t>
      </w:r>
      <w:r w:rsidR="009B6C58">
        <w:rPr>
          <w:rFonts w:ascii="Arial Narrow" w:hAnsi="Arial Narrow"/>
          <w:sz w:val="22"/>
          <w:szCs w:val="22"/>
        </w:rPr>
        <w:t>97 140</w:t>
      </w:r>
      <w:r w:rsidR="00D62C0D">
        <w:rPr>
          <w:rFonts w:ascii="Arial Narrow" w:hAnsi="Arial Narrow"/>
          <w:sz w:val="22"/>
          <w:szCs w:val="22"/>
        </w:rPr>
        <w:t>,-</w:t>
      </w:r>
      <w:r w:rsidRPr="001B6576">
        <w:rPr>
          <w:rFonts w:ascii="Arial Narrow" w:hAnsi="Arial Narrow"/>
          <w:sz w:val="22"/>
          <w:szCs w:val="22"/>
        </w:rPr>
        <w:t xml:space="preserve"> Kč, tj</w:t>
      </w:r>
      <w:r w:rsidR="00D62C0D">
        <w:rPr>
          <w:rFonts w:ascii="Arial Narrow" w:hAnsi="Arial Narrow"/>
          <w:sz w:val="22"/>
          <w:szCs w:val="22"/>
        </w:rPr>
        <w:t xml:space="preserve"> </w:t>
      </w:r>
      <w:r w:rsidR="009B6C58">
        <w:rPr>
          <w:rFonts w:ascii="Arial Narrow" w:hAnsi="Arial Narrow"/>
          <w:b/>
          <w:sz w:val="22"/>
          <w:szCs w:val="22"/>
        </w:rPr>
        <w:t>744 740</w:t>
      </w:r>
      <w:r w:rsidR="00D62C0D" w:rsidRPr="00D62C0D">
        <w:rPr>
          <w:rFonts w:ascii="Arial Narrow" w:hAnsi="Arial Narrow"/>
          <w:b/>
          <w:sz w:val="22"/>
          <w:szCs w:val="22"/>
        </w:rPr>
        <w:t>,-</w:t>
      </w:r>
      <w:r w:rsidRPr="00D62C0D">
        <w:rPr>
          <w:rFonts w:ascii="Arial Narrow" w:hAnsi="Arial Narrow"/>
          <w:b/>
          <w:sz w:val="22"/>
          <w:szCs w:val="22"/>
        </w:rPr>
        <w:t>Kč včetně DPH</w:t>
      </w:r>
      <w:r w:rsidR="00017789" w:rsidRPr="00D62C0D">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lastRenderedPageBreak/>
        <w:t>označení peněžního ústavu a číslo účtu</w:t>
      </w:r>
      <w:r w:rsidR="00D0050A">
        <w:rPr>
          <w:rFonts w:ascii="Arial Narrow" w:hAnsi="Arial Narrow"/>
          <w:color w:val="000000"/>
        </w:rPr>
        <w:t>,</w:t>
      </w:r>
      <w:r w:rsidRPr="00C42A44">
        <w:rPr>
          <w:rFonts w:ascii="Arial Narrow" w:hAnsi="Arial Narrow"/>
          <w:color w:val="000000"/>
        </w:rPr>
        <w:t xml:space="preserve"> ve </w:t>
      </w:r>
      <w:proofErr w:type="gramStart"/>
      <w:r w:rsidRPr="00C42A44">
        <w:rPr>
          <w:rFonts w:ascii="Arial Narrow" w:hAnsi="Arial Narrow"/>
          <w:color w:val="000000"/>
        </w:rPr>
        <w:t>prospěch</w:t>
      </w:r>
      <w:proofErr w:type="gramEnd"/>
      <w:r w:rsidRPr="00C42A44">
        <w:rPr>
          <w:rFonts w:ascii="Arial Narrow" w:hAnsi="Arial Narrow"/>
          <w:color w:val="000000"/>
        </w:rPr>
        <w:t xml:space="preserve">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CC00555"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xml:space="preserve">, bez zbytečného odkladu </w:t>
      </w:r>
      <w:r w:rsidR="00D530DE" w:rsidRPr="00D530DE">
        <w:rPr>
          <w:rFonts w:ascii="Arial Narrow" w:hAnsi="Arial Narrow"/>
          <w:sz w:val="22"/>
          <w:szCs w:val="22"/>
        </w:rPr>
        <w:lastRenderedPageBreak/>
        <w:t>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lastRenderedPageBreak/>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lastRenderedPageBreak/>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065D9C2B"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0757EF">
        <w:rPr>
          <w:rFonts w:ascii="Arial Narrow" w:eastAsia="Times New Roman" w:hAnsi="Arial Narrow"/>
          <w:lang w:eastAsia="cs-CZ"/>
        </w:rPr>
        <w:t>602</w:t>
      </w:r>
      <w:r w:rsidR="00BF58DC">
        <w:rPr>
          <w:rFonts w:ascii="Arial Narrow" w:eastAsia="Times New Roman" w:hAnsi="Arial Narrow"/>
          <w:lang w:eastAsia="cs-CZ"/>
        </w:rPr>
        <w:t> </w:t>
      </w:r>
      <w:r w:rsidR="000757EF">
        <w:rPr>
          <w:rFonts w:ascii="Arial Narrow" w:eastAsia="Times New Roman" w:hAnsi="Arial Narrow"/>
          <w:lang w:eastAsia="cs-CZ"/>
        </w:rPr>
        <w:t>66</w:t>
      </w:r>
      <w:r w:rsidR="00BF58DC">
        <w:rPr>
          <w:rFonts w:ascii="Arial Narrow" w:eastAsia="Times New Roman" w:hAnsi="Arial Narrow"/>
          <w:lang w:eastAsia="cs-CZ"/>
        </w:rPr>
        <w:t>9 239</w:t>
      </w:r>
      <w:r w:rsidRPr="00BC57F8">
        <w:rPr>
          <w:rFonts w:ascii="Arial Narrow" w:eastAsia="Times New Roman" w:hAnsi="Arial Narrow"/>
          <w:lang w:eastAsia="cs-CZ"/>
        </w:rPr>
        <w:t xml:space="preserve"> e-mail: </w:t>
      </w:r>
      <w:r w:rsidR="00BF58DC">
        <w:rPr>
          <w:rFonts w:ascii="Arial Narrow" w:eastAsia="Times New Roman" w:hAnsi="Arial Narrow"/>
          <w:lang w:eastAsia="cs-CZ"/>
        </w:rPr>
        <w:t>servis@stamed.cz</w:t>
      </w:r>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lastRenderedPageBreak/>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239CE363" w14:textId="77777777" w:rsidR="00D62C0D" w:rsidRDefault="00D62C0D" w:rsidP="00D62C0D">
      <w:pPr>
        <w:spacing w:after="120" w:line="360" w:lineRule="auto"/>
        <w:rPr>
          <w:rFonts w:ascii="Arial Narrow" w:hAnsi="Arial Narrow"/>
        </w:rPr>
      </w:pPr>
    </w:p>
    <w:p w14:paraId="4B66019C" w14:textId="77777777" w:rsidR="00D62C0D" w:rsidRDefault="00D62C0D" w:rsidP="00D62C0D">
      <w:pPr>
        <w:spacing w:after="120" w:line="360" w:lineRule="auto"/>
        <w:rPr>
          <w:rFonts w:ascii="Arial Narrow" w:hAnsi="Arial Narrow"/>
        </w:rPr>
      </w:pPr>
    </w:p>
    <w:p w14:paraId="23588E39" w14:textId="77777777" w:rsidR="00D62C0D" w:rsidRDefault="00D62C0D" w:rsidP="00D62C0D">
      <w:pPr>
        <w:spacing w:after="120" w:line="360" w:lineRule="auto"/>
        <w:rPr>
          <w:rFonts w:ascii="Arial Narrow" w:hAnsi="Arial Narrow"/>
        </w:rPr>
      </w:pPr>
    </w:p>
    <w:p w14:paraId="1754ECB0" w14:textId="77777777" w:rsidR="00D62C0D" w:rsidRDefault="00D62C0D" w:rsidP="00D62C0D">
      <w:pPr>
        <w:spacing w:after="120" w:line="360" w:lineRule="auto"/>
        <w:rPr>
          <w:rFonts w:ascii="Arial Narrow" w:hAnsi="Arial Narrow"/>
        </w:rPr>
      </w:pPr>
    </w:p>
    <w:p w14:paraId="3008D675" w14:textId="77777777" w:rsidR="00D62C0D" w:rsidRPr="00D62C0D" w:rsidRDefault="00D62C0D" w:rsidP="00D62C0D">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2F764A2F" w14:textId="0CC79F7F"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01B42470"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V</w:t>
      </w:r>
      <w:r w:rsidR="006E58AD">
        <w:rPr>
          <w:rFonts w:ascii="Arial Narrow" w:hAnsi="Arial Narrow"/>
          <w:sz w:val="22"/>
          <w:szCs w:val="22"/>
        </w:rPr>
        <w:t>e Zruči-Senci,</w:t>
      </w:r>
      <w:r w:rsidR="00C17413" w:rsidRPr="00A72043">
        <w:rPr>
          <w:rFonts w:ascii="Arial Narrow" w:hAnsi="Arial Narrow"/>
          <w:sz w:val="22"/>
          <w:szCs w:val="22"/>
        </w:rPr>
        <w:t xml:space="preserve"> dne</w:t>
      </w:r>
      <w:r w:rsidRPr="00A72043">
        <w:rPr>
          <w:rFonts w:ascii="Arial Narrow" w:hAnsi="Arial Narrow"/>
          <w:sz w:val="22"/>
          <w:szCs w:val="22"/>
        </w:rPr>
        <w:tab/>
      </w:r>
      <w:r w:rsidR="00EE6014">
        <w:rPr>
          <w:rFonts w:ascii="Arial Narrow" w:hAnsi="Arial Narrow"/>
          <w:sz w:val="22"/>
          <w:szCs w:val="22"/>
        </w:rPr>
        <w:t>8.9.2023</w:t>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A3487E">
        <w:rPr>
          <w:rFonts w:ascii="Arial Narrow" w:hAnsi="Arial Narrow"/>
          <w:sz w:val="22"/>
          <w:szCs w:val="22"/>
        </w:rPr>
        <w:tab/>
      </w:r>
      <w:r w:rsidR="00C17413" w:rsidRPr="00A72043">
        <w:rPr>
          <w:rFonts w:ascii="Arial Narrow" w:hAnsi="Arial Narrow"/>
          <w:sz w:val="22"/>
          <w:szCs w:val="22"/>
        </w:rPr>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EE6014">
        <w:rPr>
          <w:rFonts w:ascii="Arial Narrow" w:hAnsi="Arial Narrow"/>
          <w:sz w:val="22"/>
          <w:szCs w:val="22"/>
        </w:rPr>
        <w:t>6.9.2023</w:t>
      </w:r>
    </w:p>
    <w:p w14:paraId="263121EE" w14:textId="77777777" w:rsidR="0060634A" w:rsidRPr="00A72043" w:rsidRDefault="0060634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22B7D6B2" w:rsidR="005B7637" w:rsidRPr="00A72043" w:rsidRDefault="00EE6014"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6E1BBF37" w:rsidR="00A36117" w:rsidRPr="00CE6F3D" w:rsidRDefault="006E58AD" w:rsidP="00A3487E">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jednatel</w:t>
      </w:r>
      <w:r w:rsidR="00DB3391" w:rsidRPr="00D85596">
        <w:rPr>
          <w:rFonts w:ascii="Arial Narrow" w:hAnsi="Arial Narrow"/>
        </w:rPr>
        <w:tab/>
      </w:r>
      <w:r w:rsidR="004546B4">
        <w:rPr>
          <w:rFonts w:ascii="Arial Narrow" w:hAnsi="Arial Narrow"/>
        </w:rPr>
        <w:tab/>
        <w:t>předseda správní rady</w:t>
      </w:r>
    </w:p>
    <w:sectPr w:rsidR="00A36117" w:rsidRPr="00CE6F3D" w:rsidSect="00A3487E">
      <w:headerReference w:type="default" r:id="rId9"/>
      <w:footerReference w:type="even" r:id="rId10"/>
      <w:footerReference w:type="default" r:id="rId11"/>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CB14" w14:textId="77777777" w:rsidR="00117647" w:rsidRDefault="00117647">
      <w:r>
        <w:separator/>
      </w:r>
    </w:p>
  </w:endnote>
  <w:endnote w:type="continuationSeparator" w:id="0">
    <w:p w14:paraId="48A5A287" w14:textId="77777777" w:rsidR="00117647" w:rsidRDefault="00117647">
      <w:r>
        <w:continuationSeparator/>
      </w:r>
    </w:p>
  </w:endnote>
  <w:endnote w:type="continuationNotice" w:id="1">
    <w:p w14:paraId="0DE2BC05" w14:textId="77777777" w:rsidR="00117647" w:rsidRDefault="0011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9B6C58">
      <w:rPr>
        <w:rStyle w:val="slostrnky"/>
        <w:rFonts w:ascii="Arial Narrow" w:hAnsi="Arial Narrow"/>
        <w:noProof/>
        <w:sz w:val="22"/>
        <w:szCs w:val="22"/>
      </w:rPr>
      <w:t>8</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903E" w14:textId="77777777" w:rsidR="00117647" w:rsidRDefault="00117647">
      <w:r>
        <w:separator/>
      </w:r>
    </w:p>
  </w:footnote>
  <w:footnote w:type="continuationSeparator" w:id="0">
    <w:p w14:paraId="6EF943D4" w14:textId="77777777" w:rsidR="00117647" w:rsidRDefault="00117647">
      <w:r>
        <w:continuationSeparator/>
      </w:r>
    </w:p>
  </w:footnote>
  <w:footnote w:type="continuationNotice" w:id="1">
    <w:p w14:paraId="4519B524" w14:textId="77777777" w:rsidR="00117647" w:rsidRDefault="00117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257265">
    <w:abstractNumId w:val="5"/>
  </w:num>
  <w:num w:numId="2" w16cid:durableId="534775648">
    <w:abstractNumId w:val="46"/>
  </w:num>
  <w:num w:numId="3" w16cid:durableId="1879588101">
    <w:abstractNumId w:val="8"/>
  </w:num>
  <w:num w:numId="4" w16cid:durableId="266162378">
    <w:abstractNumId w:val="13"/>
  </w:num>
  <w:num w:numId="5" w16cid:durableId="1997107064">
    <w:abstractNumId w:val="47"/>
  </w:num>
  <w:num w:numId="6" w16cid:durableId="1791582544">
    <w:abstractNumId w:val="3"/>
  </w:num>
  <w:num w:numId="7" w16cid:durableId="1698433151">
    <w:abstractNumId w:val="22"/>
  </w:num>
  <w:num w:numId="8" w16cid:durableId="1303850153">
    <w:abstractNumId w:val="45"/>
  </w:num>
  <w:num w:numId="9" w16cid:durableId="702487131">
    <w:abstractNumId w:val="43"/>
  </w:num>
  <w:num w:numId="10" w16cid:durableId="218514899">
    <w:abstractNumId w:val="14"/>
  </w:num>
  <w:num w:numId="11" w16cid:durableId="114295902">
    <w:abstractNumId w:val="51"/>
  </w:num>
  <w:num w:numId="12" w16cid:durableId="687952403">
    <w:abstractNumId w:val="38"/>
  </w:num>
  <w:num w:numId="13" w16cid:durableId="1496721291">
    <w:abstractNumId w:val="33"/>
  </w:num>
  <w:num w:numId="14" w16cid:durableId="386606063">
    <w:abstractNumId w:val="15"/>
  </w:num>
  <w:num w:numId="15" w16cid:durableId="615911657">
    <w:abstractNumId w:val="52"/>
  </w:num>
  <w:num w:numId="16" w16cid:durableId="1367365674">
    <w:abstractNumId w:val="1"/>
  </w:num>
  <w:num w:numId="17" w16cid:durableId="476146194">
    <w:abstractNumId w:val="31"/>
  </w:num>
  <w:num w:numId="18" w16cid:durableId="980038753">
    <w:abstractNumId w:val="6"/>
  </w:num>
  <w:num w:numId="19" w16cid:durableId="1148401266">
    <w:abstractNumId w:val="48"/>
  </w:num>
  <w:num w:numId="20" w16cid:durableId="353003406">
    <w:abstractNumId w:val="16"/>
  </w:num>
  <w:num w:numId="21" w16cid:durableId="1852988441">
    <w:abstractNumId w:val="12"/>
  </w:num>
  <w:num w:numId="22" w16cid:durableId="1178615234">
    <w:abstractNumId w:val="26"/>
  </w:num>
  <w:num w:numId="23" w16cid:durableId="891648157">
    <w:abstractNumId w:val="23"/>
  </w:num>
  <w:num w:numId="24" w16cid:durableId="1053306862">
    <w:abstractNumId w:val="39"/>
  </w:num>
  <w:num w:numId="25" w16cid:durableId="184054255">
    <w:abstractNumId w:val="10"/>
  </w:num>
  <w:num w:numId="26" w16cid:durableId="867639576">
    <w:abstractNumId w:val="18"/>
  </w:num>
  <w:num w:numId="27" w16cid:durableId="219094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92672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928537">
    <w:abstractNumId w:val="49"/>
  </w:num>
  <w:num w:numId="30" w16cid:durableId="2374027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6147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253148">
    <w:abstractNumId w:val="7"/>
  </w:num>
  <w:num w:numId="33" w16cid:durableId="1098328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435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254486">
    <w:abstractNumId w:val="41"/>
  </w:num>
  <w:num w:numId="36" w16cid:durableId="747387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016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8694039">
    <w:abstractNumId w:val="24"/>
  </w:num>
  <w:num w:numId="39" w16cid:durableId="1815874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217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86601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78589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05292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7054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559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875216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968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91317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3959214">
    <w:abstractNumId w:val="32"/>
  </w:num>
  <w:num w:numId="50" w16cid:durableId="335544406">
    <w:abstractNumId w:val="2"/>
  </w:num>
  <w:num w:numId="51" w16cid:durableId="1911192771">
    <w:abstractNumId w:val="19"/>
  </w:num>
  <w:num w:numId="52" w16cid:durableId="110562516">
    <w:abstractNumId w:val="50"/>
  </w:num>
  <w:num w:numId="53" w16cid:durableId="1972712383">
    <w:abstractNumId w:val="11"/>
  </w:num>
  <w:num w:numId="54" w16cid:durableId="749698066">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2D1E"/>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57EF"/>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6EE6"/>
    <w:rsid w:val="000F7DB8"/>
    <w:rsid w:val="001056E1"/>
    <w:rsid w:val="00105E5C"/>
    <w:rsid w:val="00106D55"/>
    <w:rsid w:val="00111807"/>
    <w:rsid w:val="00111B7F"/>
    <w:rsid w:val="00112D11"/>
    <w:rsid w:val="00113DE1"/>
    <w:rsid w:val="00117647"/>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1FE4"/>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5814"/>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44E9"/>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B69"/>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670A"/>
    <w:rsid w:val="003F701C"/>
    <w:rsid w:val="003F77D1"/>
    <w:rsid w:val="003F7DF5"/>
    <w:rsid w:val="0040036E"/>
    <w:rsid w:val="004055E4"/>
    <w:rsid w:val="0041077A"/>
    <w:rsid w:val="00411D17"/>
    <w:rsid w:val="0041207F"/>
    <w:rsid w:val="00412BDB"/>
    <w:rsid w:val="00415466"/>
    <w:rsid w:val="00416E0C"/>
    <w:rsid w:val="00424483"/>
    <w:rsid w:val="0042478D"/>
    <w:rsid w:val="00424A41"/>
    <w:rsid w:val="00430C5D"/>
    <w:rsid w:val="00431A50"/>
    <w:rsid w:val="0043277C"/>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0D03"/>
    <w:rsid w:val="00491D3D"/>
    <w:rsid w:val="004946AC"/>
    <w:rsid w:val="00497F4C"/>
    <w:rsid w:val="004A1082"/>
    <w:rsid w:val="004A19BC"/>
    <w:rsid w:val="004A2A52"/>
    <w:rsid w:val="004A38B3"/>
    <w:rsid w:val="004A402E"/>
    <w:rsid w:val="004A49AF"/>
    <w:rsid w:val="004A7623"/>
    <w:rsid w:val="004C1B69"/>
    <w:rsid w:val="004C1E49"/>
    <w:rsid w:val="004C335B"/>
    <w:rsid w:val="004C68E9"/>
    <w:rsid w:val="004C71FB"/>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39FD"/>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6D86"/>
    <w:rsid w:val="005B7637"/>
    <w:rsid w:val="005B76A1"/>
    <w:rsid w:val="005B7749"/>
    <w:rsid w:val="005B78DC"/>
    <w:rsid w:val="005B79B8"/>
    <w:rsid w:val="005C058A"/>
    <w:rsid w:val="005C1080"/>
    <w:rsid w:val="005C6F58"/>
    <w:rsid w:val="005D07FF"/>
    <w:rsid w:val="005D19DF"/>
    <w:rsid w:val="005D291D"/>
    <w:rsid w:val="005D3602"/>
    <w:rsid w:val="005D6E45"/>
    <w:rsid w:val="005E0202"/>
    <w:rsid w:val="005E04E1"/>
    <w:rsid w:val="005E085F"/>
    <w:rsid w:val="005E2087"/>
    <w:rsid w:val="005E508D"/>
    <w:rsid w:val="005F2624"/>
    <w:rsid w:val="005F586D"/>
    <w:rsid w:val="006036A4"/>
    <w:rsid w:val="006038F1"/>
    <w:rsid w:val="006050C0"/>
    <w:rsid w:val="0060634A"/>
    <w:rsid w:val="00613904"/>
    <w:rsid w:val="0061565A"/>
    <w:rsid w:val="00615B0C"/>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58AD"/>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682D"/>
    <w:rsid w:val="00737C6A"/>
    <w:rsid w:val="007411B0"/>
    <w:rsid w:val="00741F5B"/>
    <w:rsid w:val="00742415"/>
    <w:rsid w:val="00743B71"/>
    <w:rsid w:val="007449A7"/>
    <w:rsid w:val="00746471"/>
    <w:rsid w:val="0075100B"/>
    <w:rsid w:val="00755691"/>
    <w:rsid w:val="007565BC"/>
    <w:rsid w:val="0076770E"/>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1FA7"/>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0DCB"/>
    <w:rsid w:val="008534E5"/>
    <w:rsid w:val="0085587E"/>
    <w:rsid w:val="008575C2"/>
    <w:rsid w:val="00861797"/>
    <w:rsid w:val="00862F1B"/>
    <w:rsid w:val="00863C9B"/>
    <w:rsid w:val="00863D32"/>
    <w:rsid w:val="00864C71"/>
    <w:rsid w:val="00865A32"/>
    <w:rsid w:val="008707BD"/>
    <w:rsid w:val="00873E4D"/>
    <w:rsid w:val="00875F01"/>
    <w:rsid w:val="00882887"/>
    <w:rsid w:val="00883A08"/>
    <w:rsid w:val="008842F1"/>
    <w:rsid w:val="008A1F47"/>
    <w:rsid w:val="008A378B"/>
    <w:rsid w:val="008A64AA"/>
    <w:rsid w:val="008A6C9A"/>
    <w:rsid w:val="008A6E52"/>
    <w:rsid w:val="008B0746"/>
    <w:rsid w:val="008B1583"/>
    <w:rsid w:val="008B2E47"/>
    <w:rsid w:val="008B3F40"/>
    <w:rsid w:val="008B3FA9"/>
    <w:rsid w:val="008C0D0D"/>
    <w:rsid w:val="008C1377"/>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2D0"/>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7AC1"/>
    <w:rsid w:val="009B05E0"/>
    <w:rsid w:val="009B6C58"/>
    <w:rsid w:val="009B7C39"/>
    <w:rsid w:val="009C0104"/>
    <w:rsid w:val="009C04A1"/>
    <w:rsid w:val="009C3886"/>
    <w:rsid w:val="009C3999"/>
    <w:rsid w:val="009C654F"/>
    <w:rsid w:val="009C7B15"/>
    <w:rsid w:val="009D0296"/>
    <w:rsid w:val="009D0BD5"/>
    <w:rsid w:val="009D19D8"/>
    <w:rsid w:val="009D2F15"/>
    <w:rsid w:val="009D48D1"/>
    <w:rsid w:val="009D564F"/>
    <w:rsid w:val="009E18EE"/>
    <w:rsid w:val="009E381C"/>
    <w:rsid w:val="009E5799"/>
    <w:rsid w:val="009E7014"/>
    <w:rsid w:val="009E79D3"/>
    <w:rsid w:val="009F180A"/>
    <w:rsid w:val="009F3E34"/>
    <w:rsid w:val="00A013ED"/>
    <w:rsid w:val="00A02D3A"/>
    <w:rsid w:val="00A032C7"/>
    <w:rsid w:val="00A13C9B"/>
    <w:rsid w:val="00A14561"/>
    <w:rsid w:val="00A15A22"/>
    <w:rsid w:val="00A2034C"/>
    <w:rsid w:val="00A206FC"/>
    <w:rsid w:val="00A25E06"/>
    <w:rsid w:val="00A272CD"/>
    <w:rsid w:val="00A3047D"/>
    <w:rsid w:val="00A30CCF"/>
    <w:rsid w:val="00A33AF1"/>
    <w:rsid w:val="00A3487E"/>
    <w:rsid w:val="00A36117"/>
    <w:rsid w:val="00A36A9B"/>
    <w:rsid w:val="00A37785"/>
    <w:rsid w:val="00A379C2"/>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5A1"/>
    <w:rsid w:val="00AA5D8B"/>
    <w:rsid w:val="00AA6D44"/>
    <w:rsid w:val="00AA6E53"/>
    <w:rsid w:val="00AA7CF8"/>
    <w:rsid w:val="00AB0041"/>
    <w:rsid w:val="00AB48DB"/>
    <w:rsid w:val="00AB4982"/>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D4"/>
    <w:rsid w:val="00B20E25"/>
    <w:rsid w:val="00B243BE"/>
    <w:rsid w:val="00B264DA"/>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58DC"/>
    <w:rsid w:val="00BF70B6"/>
    <w:rsid w:val="00C0025D"/>
    <w:rsid w:val="00C04FAF"/>
    <w:rsid w:val="00C06913"/>
    <w:rsid w:val="00C10B73"/>
    <w:rsid w:val="00C10F58"/>
    <w:rsid w:val="00C11448"/>
    <w:rsid w:val="00C117C7"/>
    <w:rsid w:val="00C11DA3"/>
    <w:rsid w:val="00C15585"/>
    <w:rsid w:val="00C16A6B"/>
    <w:rsid w:val="00C171F6"/>
    <w:rsid w:val="00C17413"/>
    <w:rsid w:val="00C177C4"/>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64A"/>
    <w:rsid w:val="00D07994"/>
    <w:rsid w:val="00D07DDB"/>
    <w:rsid w:val="00D10689"/>
    <w:rsid w:val="00D10CF4"/>
    <w:rsid w:val="00D143B4"/>
    <w:rsid w:val="00D15967"/>
    <w:rsid w:val="00D15C8E"/>
    <w:rsid w:val="00D21D17"/>
    <w:rsid w:val="00D2289F"/>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2C0D"/>
    <w:rsid w:val="00D63A03"/>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4DD7"/>
    <w:rsid w:val="00E553B7"/>
    <w:rsid w:val="00E5720D"/>
    <w:rsid w:val="00E60E9B"/>
    <w:rsid w:val="00E610EE"/>
    <w:rsid w:val="00E6129A"/>
    <w:rsid w:val="00E619F4"/>
    <w:rsid w:val="00E631B9"/>
    <w:rsid w:val="00E645D2"/>
    <w:rsid w:val="00E652DE"/>
    <w:rsid w:val="00E72E3F"/>
    <w:rsid w:val="00E77A20"/>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6014"/>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0CC"/>
    <w:rsid w:val="00F72CB8"/>
    <w:rsid w:val="00F72D67"/>
    <w:rsid w:val="00F733C0"/>
    <w:rsid w:val="00F77536"/>
    <w:rsid w:val="00F80F24"/>
    <w:rsid w:val="00F8129F"/>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017"/>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FFC50AB0-4F6C-4D9F-A924-4D0D8DA0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6FDD1-027C-4BC7-A830-E6EBB830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5704</Words>
  <Characters>33654</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39280</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2017-07-27T11:40:00Z</cp:lastPrinted>
  <dcterms:created xsi:type="dcterms:W3CDTF">2023-09-11T13:27:00Z</dcterms:created>
  <dcterms:modified xsi:type="dcterms:W3CDTF">2023-09-11T13:27:00Z</dcterms:modified>
</cp:coreProperties>
</file>