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74C8D" w14:textId="77777777" w:rsidR="00846440" w:rsidRPr="00846440" w:rsidRDefault="00196347" w:rsidP="0084644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  <w:t xml:space="preserve">Směrnice </w:t>
      </w:r>
      <w:r w:rsidR="00846440" w:rsidRPr="00846440"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  <w:t xml:space="preserve">zaměstnavatele </w:t>
      </w:r>
      <w:r w:rsidRPr="00846440"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  <w:t xml:space="preserve">o ochraně osob oznamujících </w:t>
      </w:r>
      <w:r w:rsidR="00846440" w:rsidRPr="00846440"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  <w:t xml:space="preserve">protiprávní jednání dle zákona č. 171/2023 Sb., o ochraně oznamovatelů </w:t>
      </w:r>
    </w:p>
    <w:p w14:paraId="611AC735" w14:textId="77777777" w:rsidR="00846440" w:rsidRPr="00846440" w:rsidRDefault="00846440" w:rsidP="0084644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</w:pPr>
    </w:p>
    <w:p w14:paraId="4C92727F" w14:textId="435927CB" w:rsidR="00196347" w:rsidRPr="00846440" w:rsidRDefault="00196347" w:rsidP="0084644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  <w:t>(</w:t>
      </w:r>
      <w:r w:rsidR="00846440" w:rsidRPr="00846440"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  <w:t>„S</w:t>
      </w:r>
      <w:r w:rsidRPr="00846440"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  <w:t>měrnice o ochraně oznamovatelů</w:t>
      </w:r>
      <w:r w:rsidR="00846440" w:rsidRPr="00846440"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  <w:t>“</w:t>
      </w:r>
      <w:r w:rsidRPr="00846440">
        <w:rPr>
          <w:rFonts w:eastAsia="Times New Roman" w:cstheme="minorHAnsi"/>
          <w:b/>
          <w:bCs/>
          <w:kern w:val="0"/>
          <w:sz w:val="32"/>
          <w:szCs w:val="32"/>
          <w:lang w:eastAsia="cs-CZ"/>
          <w14:ligatures w14:val="none"/>
        </w:rPr>
        <w:t>)</w:t>
      </w:r>
    </w:p>
    <w:p w14:paraId="6B81A9F1" w14:textId="77777777" w:rsidR="004B2EB0" w:rsidRPr="00846440" w:rsidRDefault="004B2EB0" w:rsidP="00846440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6BD60642" w14:textId="77777777" w:rsidR="00846440" w:rsidRPr="00846440" w:rsidRDefault="00846440" w:rsidP="00846440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 xml:space="preserve">I. </w:t>
      </w:r>
    </w:p>
    <w:p w14:paraId="70B8400E" w14:textId="27470D4D" w:rsidR="004B2EB0" w:rsidRPr="00846440" w:rsidRDefault="004B2EB0" w:rsidP="00846440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Účel</w:t>
      </w:r>
    </w:p>
    <w:p w14:paraId="074C1EE1" w14:textId="77777777" w:rsidR="00846440" w:rsidRPr="00846440" w:rsidRDefault="00846440" w:rsidP="00846440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540AFE35" w14:textId="6BAE328A" w:rsidR="00846440" w:rsidRDefault="007A40AA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1.1.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Účelem této směrnice je vytvořit </w:t>
      </w:r>
      <w:r w:rsidR="004B2EB0"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vnitřní oznamovací systém</w:t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("VOS") ve smyslu zákona č. </w:t>
      </w:r>
      <w:r w:rsid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171/2023 </w:t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Sb.</w:t>
      </w:r>
      <w:r w:rsid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,</w:t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o ochraně oznamovatelů</w:t>
      </w:r>
      <w:r w:rsid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(dále jen „zákona“) a ve smyslu </w:t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SMĚRNICE EVROPSKÉHO PARLAMENTU A RADY (EU) 2019/1937 ze dne 23. října 2019 o ochraně osob, které oznamují porušení práva </w:t>
      </w:r>
      <w:r w:rsid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EU (dále jen „směrnice“)</w:t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,</w:t>
      </w:r>
      <w:r w:rsid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dále</w:t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stanovit pravidla pro podávání a posuzování oznámení podle výše uvedeného zákona </w:t>
      </w:r>
      <w:r w:rsid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a směrnice </w:t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a vytvořit podmínky poskytování ochrany osobám, které oznámení podaly, </w:t>
      </w:r>
      <w:r w:rsid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a to vše </w:t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v rámci </w:t>
      </w:r>
      <w:r w:rsid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zaměstnavatele jako povinného subjektu dle zákona</w:t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.</w:t>
      </w:r>
    </w:p>
    <w:p w14:paraId="677E5610" w14:textId="76346B72" w:rsidR="004B2EB0" w:rsidRPr="00846440" w:rsidRDefault="004B2EB0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</w:p>
    <w:p w14:paraId="521BBE2A" w14:textId="77777777" w:rsidR="00846440" w:rsidRDefault="00846440" w:rsidP="00846440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II.</w:t>
      </w:r>
    </w:p>
    <w:p w14:paraId="74B8A31D" w14:textId="0D5B3AFC" w:rsidR="004B2EB0" w:rsidRDefault="004B2EB0" w:rsidP="00846440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Oblast platnosti</w:t>
      </w:r>
    </w:p>
    <w:p w14:paraId="18318953" w14:textId="77777777" w:rsidR="00846440" w:rsidRPr="00846440" w:rsidRDefault="00846440" w:rsidP="00846440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3499AEF7" w14:textId="58705D6F" w:rsidR="00655F07" w:rsidRDefault="007A40AA" w:rsidP="001C60D9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proofErr w:type="gramStart"/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2.1</w:t>
      </w:r>
      <w:proofErr w:type="gramEnd"/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.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Ustanovení této směrnice jsou platná </w:t>
      </w:r>
      <w:r w:rsid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a účinná pro všechny zaměstnance a externí </w:t>
      </w:r>
      <w:r w:rsidR="00846440" w:rsidRPr="001C60D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spolupracovníky společnosti </w:t>
      </w:r>
      <w:r w:rsidR="001C60D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CENTROTHERM Mladá Boleslav, a.s.</w:t>
      </w:r>
    </w:p>
    <w:p w14:paraId="69BD4277" w14:textId="77777777" w:rsidR="001C60D9" w:rsidRDefault="001C60D9" w:rsidP="001C60D9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1CABB296" w14:textId="77777777" w:rsidR="001C60D9" w:rsidRDefault="001C60D9" w:rsidP="001C60D9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1393517B" w14:textId="7364E54A" w:rsidR="004B2EB0" w:rsidRPr="00846440" w:rsidRDefault="004B2EB0" w:rsidP="00655F07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Definice pojmů a zkratky</w:t>
      </w:r>
    </w:p>
    <w:p w14:paraId="0A03D34E" w14:textId="77777777" w:rsidR="00655F07" w:rsidRDefault="00655F07" w:rsidP="00846440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15A98CFD" w14:textId="4BBE185E" w:rsidR="004B2EB0" w:rsidRDefault="007A40AA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3</w:t>
      </w:r>
      <w:r w:rsidR="00655F07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.1.</w:t>
      </w:r>
      <w:r w:rsidR="00655F07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ab/>
      </w:r>
      <w:r w:rsidR="004B2EB0"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Definice pojmů</w:t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</w:p>
    <w:p w14:paraId="7BE864B7" w14:textId="77777777" w:rsidR="007A40AA" w:rsidRPr="00846440" w:rsidRDefault="007A40AA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24928D52" w14:textId="56D04543" w:rsidR="004B2EB0" w:rsidRPr="00846440" w:rsidRDefault="004B2EB0" w:rsidP="0084644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Oznámení: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oznámení ("podání") fyzické osoby obsahující informace o možném protiprávním jednání, které má znaky trestného činu nebo přestupku </w:t>
      </w:r>
      <w:r w:rsidR="00655F07"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za který zákon stanoví sazbu pokuty, jejíž horní hranice je alespoň 100 000 Kč,</w:t>
      </w:r>
      <w:r w:rsid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nebo porušuje </w:t>
      </w:r>
      <w:r w:rsid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zákon nebo jiný 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předpis Evropské unie </w:t>
      </w:r>
      <w:r w:rsid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specifikovaný v §2 odst. 1 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zákon</w:t>
      </w:r>
      <w:r w:rsid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("oblasti upravené </w:t>
      </w:r>
      <w:r w:rsid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zákonem 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nebo předpisem Evropské unie"), o jehož spáchání se oznamovatel dozvěděl v souvislosti s prací nebo jinou obdobnou činností </w:t>
      </w:r>
      <w:r w:rsid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pro povinný subjekt.</w:t>
      </w:r>
    </w:p>
    <w:p w14:paraId="25443A3D" w14:textId="3F495C2B" w:rsidR="004B2EB0" w:rsidRPr="00846440" w:rsidRDefault="004B2EB0" w:rsidP="0084644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Odvetné opatření: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jednání v souvislosti s prací nebo jinou obdobnou činností oznamovatele, které bylo vyvoláno oznámením a které oznamovateli (nebo dalším relevantním osobám) může způsobit újmu</w:t>
      </w:r>
      <w:r w:rsid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.</w:t>
      </w:r>
    </w:p>
    <w:p w14:paraId="457AF985" w14:textId="511A38ED" w:rsidR="004B2EB0" w:rsidRPr="00846440" w:rsidRDefault="004B2EB0" w:rsidP="0084644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 xml:space="preserve">Oblasti upravené </w:t>
      </w:r>
      <w:r w:rsidR="00655F07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 xml:space="preserve">zákonem </w:t>
      </w: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nebo předpisem Evropské unie: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</w:p>
    <w:p w14:paraId="621057A0" w14:textId="795006FE" w:rsidR="00655F07" w:rsidRPr="00655F07" w:rsidRDefault="00655F07" w:rsidP="00655F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finanční služ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by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, povinn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ý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audit a jin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é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ověřovací služb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y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, finanční produkt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y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a finanční trh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y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,</w:t>
      </w:r>
    </w:p>
    <w:p w14:paraId="27FE71E3" w14:textId="5595BEA4" w:rsidR="00655F07" w:rsidRPr="00655F07" w:rsidRDefault="00655F07" w:rsidP="00655F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daně z příjmů právnických osob,</w:t>
      </w:r>
    </w:p>
    <w:p w14:paraId="6763E65B" w14:textId="30AFCDF8" w:rsidR="00655F07" w:rsidRPr="00655F07" w:rsidRDefault="00655F07" w:rsidP="00655F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předcházení legalizaci výnosů z trestné činnosti a financování terorismu,</w:t>
      </w:r>
    </w:p>
    <w:p w14:paraId="7E89298A" w14:textId="5F20A222" w:rsidR="00655F07" w:rsidRPr="00655F07" w:rsidRDefault="00655F07" w:rsidP="00655F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ochran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spotřebitele,</w:t>
      </w:r>
    </w:p>
    <w:p w14:paraId="6F0B9654" w14:textId="01F8EE49" w:rsidR="00655F07" w:rsidRPr="00655F07" w:rsidRDefault="00655F07" w:rsidP="00655F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soulad s požadavky na výrobky včetně jejich bezpečnosti,</w:t>
      </w:r>
    </w:p>
    <w:p w14:paraId="2A9316D1" w14:textId="349523D2" w:rsidR="00655F07" w:rsidRPr="00655F07" w:rsidRDefault="00655F07" w:rsidP="00655F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bezpečnost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dopravy, přepravy a provozu na pozemních komunikacích,</w:t>
      </w:r>
    </w:p>
    <w:p w14:paraId="67DF24F8" w14:textId="0D24E13C" w:rsidR="00655F07" w:rsidRPr="00655F07" w:rsidRDefault="00655F07" w:rsidP="00655F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ochran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životního prostředí,</w:t>
      </w:r>
    </w:p>
    <w:p w14:paraId="769A1E26" w14:textId="5AE17D8F" w:rsidR="00655F07" w:rsidRPr="00655F07" w:rsidRDefault="00655F07" w:rsidP="00655F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bezpečnost potravin a krmiv a ochrany zvířat a jejich zdraví,</w:t>
      </w:r>
    </w:p>
    <w:p w14:paraId="118392C4" w14:textId="781BC4B8" w:rsidR="00655F07" w:rsidRPr="00655F07" w:rsidRDefault="00655F07" w:rsidP="00655F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lastRenderedPageBreak/>
        <w:t>radiační ochran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a jadern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á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bezpečnost,</w:t>
      </w:r>
    </w:p>
    <w:p w14:paraId="7FA21F86" w14:textId="67CB5F80" w:rsidR="00655F07" w:rsidRPr="00655F07" w:rsidRDefault="00655F07" w:rsidP="00655F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hospodářsk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á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soutěž, veřejn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í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draž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by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a zadávání veřejných zakázek,</w:t>
      </w:r>
    </w:p>
    <w:p w14:paraId="09A04BF9" w14:textId="3D78065D" w:rsidR="00655F07" w:rsidRPr="00655F07" w:rsidRDefault="00655F07" w:rsidP="00655F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ochran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vnitřního pořádku a bezpečnosti, života a zdraví,</w:t>
      </w:r>
    </w:p>
    <w:p w14:paraId="658F3F56" w14:textId="443039E9" w:rsidR="00655F07" w:rsidRPr="00655F07" w:rsidRDefault="00655F07" w:rsidP="00655F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ochran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osobních údajů, soukromí a bezpečnosti sítí elektronických komunikací a informačních systémů,</w:t>
      </w:r>
    </w:p>
    <w:p w14:paraId="7C1961E8" w14:textId="55132506" w:rsidR="00655F07" w:rsidRPr="00655F07" w:rsidRDefault="00655F07" w:rsidP="00655F0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ochran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a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finančních zájmů Evropské unie, nebo fungování vnitřního trhu včetně ochrany hospodářské soutěže a státní podpory podle práva Evropské unie.</w:t>
      </w:r>
    </w:p>
    <w:p w14:paraId="1C21DA8F" w14:textId="77777777" w:rsidR="00655F07" w:rsidRDefault="00655F07" w:rsidP="00655F07">
      <w:pPr>
        <w:spacing w:after="0" w:line="240" w:lineRule="auto"/>
        <w:ind w:left="720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592DD2B3" w14:textId="2E46FF2C" w:rsidR="004B2EB0" w:rsidRDefault="004B2EB0" w:rsidP="00655F07">
      <w:pPr>
        <w:pStyle w:val="Odstavecseseznamem"/>
        <w:numPr>
          <w:ilvl w:val="0"/>
          <w:numId w:val="15"/>
        </w:numPr>
        <w:spacing w:after="0" w:line="240" w:lineRule="auto"/>
        <w:ind w:left="709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655F07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VOS: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soubor postupů a pravidel </w:t>
      </w:r>
      <w:r w:rsidR="007A40A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u zaměstnavatele </w:t>
      </w:r>
      <w:r w:rsidRPr="00655F0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umožňujících podat bezpečně oznámení a získat na něj reakci (opatření)</w:t>
      </w:r>
      <w:r w:rsidR="007A40A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.</w:t>
      </w:r>
    </w:p>
    <w:p w14:paraId="115AA638" w14:textId="77777777" w:rsidR="007A40AA" w:rsidRPr="00655F07" w:rsidRDefault="007A40AA" w:rsidP="007A40AA">
      <w:pPr>
        <w:pStyle w:val="Odstavecseseznamem"/>
        <w:spacing w:after="0" w:line="240" w:lineRule="auto"/>
        <w:ind w:left="709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625FFD1D" w14:textId="036E658A" w:rsidR="004B2EB0" w:rsidRPr="00846440" w:rsidRDefault="007A40AA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3.2.</w:t>
      </w: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ab/>
      </w:r>
      <w:r w:rsidR="004B2EB0"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Zkratky</w:t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</w:p>
    <w:p w14:paraId="177E269E" w14:textId="77777777" w:rsidR="004B2EB0" w:rsidRPr="00846440" w:rsidRDefault="004B2EB0" w:rsidP="0084644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MS: Ministerstvo spravedlnosti </w:t>
      </w:r>
    </w:p>
    <w:p w14:paraId="5D9C3025" w14:textId="77777777" w:rsidR="004B2EB0" w:rsidRPr="00846440" w:rsidRDefault="004B2EB0" w:rsidP="0084644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PO: příslušná osoba pro VOS </w:t>
      </w:r>
    </w:p>
    <w:p w14:paraId="4BEFF6D9" w14:textId="77777777" w:rsidR="004B2EB0" w:rsidRDefault="004B2EB0" w:rsidP="0084644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VOS: vnitřní oznamovací systém </w:t>
      </w:r>
    </w:p>
    <w:p w14:paraId="55B8CC2D" w14:textId="77777777" w:rsidR="007A40AA" w:rsidRPr="00846440" w:rsidRDefault="007A40AA" w:rsidP="007A40AA">
      <w:pPr>
        <w:spacing w:after="0" w:line="240" w:lineRule="auto"/>
        <w:ind w:left="720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4FDDC2E4" w14:textId="5EA76640" w:rsidR="004B2EB0" w:rsidRPr="00846440" w:rsidRDefault="007A40AA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3.3.</w:t>
      </w: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ab/>
      </w:r>
      <w:r w:rsidR="004B2EB0"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Odpovědnosti a pravomoci</w:t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</w:p>
    <w:p w14:paraId="1AA44699" w14:textId="38D7CB1B" w:rsidR="00F93EAD" w:rsidRPr="003E4FF8" w:rsidRDefault="004B2EB0" w:rsidP="003E4FF8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 xml:space="preserve">Statutární orgán </w:t>
      </w:r>
      <w:r w:rsidR="007A40A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zaměstnavatele</w:t>
      </w: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: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odpovídá za zajištění vytvoření VOS, včetně řádného vedení dokumentace a ochrany dat souvisejících s oznámením ve smyslu této směrnice (zajištění bezpečnosti informací). </w:t>
      </w:r>
      <w:r w:rsidR="007A40A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Dále o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dpovídá za určení PO k výkonu činnost</w:t>
      </w:r>
      <w:r w:rsidR="007A40A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í dle této směrnice a zákona</w:t>
      </w:r>
      <w:r w:rsidR="00F93EAD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. U</w:t>
      </w:r>
      <w:r w:rsidR="007A40A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rčení PO provede písemně podpisem dokumentu nazvaného „Určení příslušné osoby podle §9 odst. 1 </w:t>
      </w:r>
      <w:proofErr w:type="spellStart"/>
      <w:r w:rsidR="007A40A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z.č</w:t>
      </w:r>
      <w:proofErr w:type="spellEnd"/>
      <w:r w:rsidR="007A40AA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. 171/2023 Sb., o ochraně oznamovatelů“</w:t>
      </w:r>
      <w:r w:rsidR="00F93EAD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, který předá k rukám PO, která jej svým podpisem přijme a potvrdí, že bude plnit povinnosti PO dané zákonem a touto směrnicí. </w:t>
      </w:r>
    </w:p>
    <w:p w14:paraId="206100D9" w14:textId="77777777" w:rsidR="004B2EB0" w:rsidRPr="00846440" w:rsidRDefault="004B2EB0" w:rsidP="003E4FF8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709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Oznamovatel: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nepodává vědomě nepravdivé oznámení. </w:t>
      </w:r>
    </w:p>
    <w:p w14:paraId="446A4BCA" w14:textId="23E142C8" w:rsidR="004B2EB0" w:rsidRPr="00846440" w:rsidRDefault="004B2EB0" w:rsidP="003E4FF8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709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Příslušná osoba: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plní povinnosti související s výkonem činnost</w:t>
      </w:r>
      <w:r w:rsidR="003E4FF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í dle zákona a směrnice. 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Neposkytuje informace, které by mohly zmařit nebo ohrozit účel podávání oznámení, zachovává bezpečnost informací. </w:t>
      </w:r>
    </w:p>
    <w:p w14:paraId="25DBC0E4" w14:textId="77777777" w:rsidR="00846440" w:rsidRDefault="00846440" w:rsidP="00846440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1E1F2A09" w14:textId="77777777" w:rsidR="003E4FF8" w:rsidRDefault="003E4FF8" w:rsidP="003E4FF8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IV.</w:t>
      </w:r>
    </w:p>
    <w:p w14:paraId="3CEA5EBF" w14:textId="2C9C569E" w:rsidR="004B2EB0" w:rsidRDefault="004B2EB0" w:rsidP="003E4FF8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Popis procesu</w:t>
      </w:r>
    </w:p>
    <w:p w14:paraId="7C864AA7" w14:textId="77777777" w:rsidR="003E4FF8" w:rsidRPr="00846440" w:rsidRDefault="003E4FF8" w:rsidP="003E4FF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2A35A1CA" w14:textId="3F71CF49" w:rsidR="003E4FF8" w:rsidRDefault="003E4FF8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4.1.</w:t>
      </w: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ab/>
      </w:r>
      <w:r w:rsidR="004B2EB0"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Obecně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:</w:t>
      </w:r>
    </w:p>
    <w:p w14:paraId="1EDC81DD" w14:textId="621712B5" w:rsidR="004B2EB0" w:rsidRDefault="004B2EB0" w:rsidP="003E4FF8">
      <w:pPr>
        <w:spacing w:after="0" w:line="240" w:lineRule="auto"/>
        <w:ind w:left="708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Smyslem ochrany oznamovatelů je učinit taková bezpečnostní opatření, která v nejvyšší možné míře zajistí jejich ochranu včetně ochrany identity a ochrany proti odvetným opatřením ze strany zaměstnavatele (např. rozvázání nebo neprodloužení pracovního poměru, převedení na jinou práci, snížení mzdy, ukončení dodavatelské smlouvy apod.). </w:t>
      </w:r>
    </w:p>
    <w:p w14:paraId="3FD5BC05" w14:textId="77777777" w:rsidR="003E4FF8" w:rsidRPr="00846440" w:rsidRDefault="003E4FF8" w:rsidP="003E4FF8">
      <w:pPr>
        <w:spacing w:after="0" w:line="240" w:lineRule="auto"/>
        <w:ind w:left="708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0C6ECC23" w14:textId="2012AAC3" w:rsidR="004B2EB0" w:rsidRDefault="003E4FF8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4.2.</w:t>
      </w: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ab/>
      </w:r>
      <w:r w:rsidR="004B2EB0"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Informace o Povinném subjektu</w:t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</w:p>
    <w:p w14:paraId="02288133" w14:textId="77777777" w:rsidR="003E4FF8" w:rsidRPr="00846440" w:rsidRDefault="003E4FF8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2"/>
        <w:gridCol w:w="6152"/>
      </w:tblGrid>
      <w:tr w:rsidR="004B2EB0" w:rsidRPr="00846440" w14:paraId="4872CCE5" w14:textId="77777777" w:rsidTr="003E4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A0DD2" w14:textId="0F65E563" w:rsidR="004B2EB0" w:rsidRPr="00846440" w:rsidRDefault="004B2EB0" w:rsidP="008464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46440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Název (</w:t>
            </w:r>
            <w:r w:rsidR="003E4FF8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Firma</w:t>
            </w:r>
            <w:r w:rsidRPr="00846440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): 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6EEAA" w14:textId="77777777" w:rsidR="004B2EB0" w:rsidRDefault="004B2EB0" w:rsidP="008464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3048AEBC" w14:textId="4AE18F80" w:rsidR="00485635" w:rsidRDefault="001C60D9" w:rsidP="008464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CENTROTHERM Mladá Boleslav, a.s.</w:t>
            </w:r>
          </w:p>
          <w:p w14:paraId="5E10E01E" w14:textId="1ADFDCED" w:rsidR="003E4FF8" w:rsidRPr="00846440" w:rsidRDefault="003E4FF8" w:rsidP="008464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4B2EB0" w:rsidRPr="00846440" w14:paraId="77B5C5FC" w14:textId="77777777" w:rsidTr="003E4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B398A" w14:textId="531DD291" w:rsidR="004B2EB0" w:rsidRPr="00846440" w:rsidRDefault="004B2EB0" w:rsidP="008464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46440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Kontaktní údaje: 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18D65" w14:textId="41DA9579" w:rsidR="004B2EB0" w:rsidRDefault="00DE4659" w:rsidP="008464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326 326 747</w:t>
            </w:r>
          </w:p>
          <w:p w14:paraId="668BE0C4" w14:textId="77777777" w:rsidR="003E4FF8" w:rsidRDefault="003E4FF8" w:rsidP="008464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71FF6C6C" w14:textId="77777777" w:rsidR="00485635" w:rsidRDefault="00485635" w:rsidP="008464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504B66DB" w14:textId="77777777" w:rsidR="003E4FF8" w:rsidRPr="00846440" w:rsidRDefault="003E4FF8" w:rsidP="008464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4B2EB0" w:rsidRPr="00846440" w14:paraId="66BDEC65" w14:textId="77777777" w:rsidTr="003E4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93A01" w14:textId="77777777" w:rsidR="004B2EB0" w:rsidRPr="00846440" w:rsidRDefault="004B2EB0" w:rsidP="008464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46440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Jméno a kontaktní údaje PO: 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4BF04" w14:textId="45D7CFA4" w:rsidR="004B2EB0" w:rsidRDefault="004B2EB0" w:rsidP="008464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1E95B829" w14:textId="77777777" w:rsidR="003E4FF8" w:rsidRDefault="003E4FF8" w:rsidP="008464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14CA4E43" w14:textId="6C45B105" w:rsidR="003E4FF8" w:rsidRDefault="001C60D9" w:rsidP="008464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Ing.Jaroslava</w:t>
            </w:r>
            <w:proofErr w:type="spellEnd"/>
            <w:proofErr w:type="gramEnd"/>
            <w:r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 Zemanová</w:t>
            </w:r>
          </w:p>
          <w:p w14:paraId="48A4F4E4" w14:textId="67219067" w:rsidR="001C60D9" w:rsidRDefault="001C60D9" w:rsidP="008464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Tel:</w:t>
            </w:r>
            <w:r w:rsidR="00DE4659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 326 326 74</w:t>
            </w:r>
            <w:r w:rsidR="00292456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  <w:p w14:paraId="6E2E6864" w14:textId="77777777" w:rsidR="003E4FF8" w:rsidRDefault="003E4FF8" w:rsidP="008464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2CB2E9BE" w14:textId="77777777" w:rsidR="003E4FF8" w:rsidRPr="00846440" w:rsidRDefault="003E4FF8" w:rsidP="008464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2811D45A" w14:textId="77777777" w:rsidR="00846440" w:rsidRDefault="00846440" w:rsidP="00846440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4F996CE1" w14:textId="77777777" w:rsidR="003E4FF8" w:rsidRDefault="003E4FF8" w:rsidP="00846440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17C80920" w14:textId="25617CD0" w:rsidR="004B2EB0" w:rsidRPr="00846440" w:rsidRDefault="007C7BB8" w:rsidP="007C7BB8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4.3.</w:t>
      </w: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ab/>
      </w:r>
      <w:r w:rsidR="004B2EB0"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 xml:space="preserve">Postup </w:t>
      </w:r>
      <w:r w:rsidRPr="007C7BB8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a z</w:t>
      </w:r>
      <w:r w:rsidR="004B2EB0"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působ podávání oznámení</w:t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F28788E" w14:textId="77777777" w:rsidR="007C7BB8" w:rsidRDefault="004B2EB0" w:rsidP="007C7BB8">
      <w:pPr>
        <w:spacing w:after="0" w:line="240" w:lineRule="auto"/>
        <w:ind w:left="708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Oznámení lze podat</w:t>
      </w:r>
      <w:r w:rsid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:</w:t>
      </w:r>
    </w:p>
    <w:p w14:paraId="5A6B798C" w14:textId="77777777" w:rsidR="007C7BB8" w:rsidRPr="007C7BB8" w:rsidRDefault="004B2EB0" w:rsidP="007C7BB8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prostřednictvím VOS </w:t>
      </w:r>
      <w:r w:rsidR="007C7BB8" w:rsidRP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zaměstnavatele</w:t>
      </w:r>
      <w:r w:rsidRP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r w:rsidR="007C7BB8" w:rsidRP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způsoby specifikovanými dále v této směrnici</w:t>
      </w:r>
    </w:p>
    <w:p w14:paraId="237C3259" w14:textId="77777777" w:rsidR="007C7BB8" w:rsidRPr="007C7BB8" w:rsidRDefault="007C7BB8" w:rsidP="007C7BB8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podáním na </w:t>
      </w:r>
      <w:r w:rsidR="004B2EB0" w:rsidRP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MS </w:t>
      </w:r>
    </w:p>
    <w:p w14:paraId="7012CBE4" w14:textId="0C20E894" w:rsidR="004B2EB0" w:rsidRPr="007C7BB8" w:rsidRDefault="007C7BB8" w:rsidP="007C7BB8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uveřejněním </w:t>
      </w:r>
      <w:r w:rsidR="004B2EB0" w:rsidRP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za podmínek podle §</w:t>
      </w:r>
      <w:r w:rsidRP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7 odst. 1 písm. c)</w:t>
      </w:r>
      <w:r w:rsidR="004B2EB0" w:rsidRP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zákona </w:t>
      </w:r>
    </w:p>
    <w:p w14:paraId="5DC83398" w14:textId="77777777" w:rsidR="007C7BB8" w:rsidRDefault="007C7BB8" w:rsidP="00846440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1C24DDAB" w14:textId="7ACD8DDE" w:rsidR="004B2EB0" w:rsidRPr="00846440" w:rsidRDefault="007C7BB8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4.4.</w:t>
      </w: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ab/>
      </w:r>
      <w:r w:rsidR="004B2EB0"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Pověřená Příslušná osoba</w:t>
      </w: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 xml:space="preserve"> (PO)</w:t>
      </w:r>
      <w:r w:rsidR="004B2EB0"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</w:p>
    <w:p w14:paraId="4D58BC11" w14:textId="2860C238" w:rsidR="004B2EB0" w:rsidRPr="00846440" w:rsidRDefault="004B2EB0" w:rsidP="007C7BB8">
      <w:pPr>
        <w:spacing w:after="0" w:line="240" w:lineRule="auto"/>
        <w:ind w:firstLine="708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P</w:t>
      </w:r>
      <w:r w:rsid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dle této směrnice provádí následující činnosti</w:t>
      </w:r>
      <w:r w:rsid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dle zákona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: </w:t>
      </w:r>
    </w:p>
    <w:p w14:paraId="665A2110" w14:textId="642723EF" w:rsidR="007C7BB8" w:rsidRPr="007C7BB8" w:rsidRDefault="007C7BB8" w:rsidP="007C7BB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přijímá a posuzuje důvodnost oznámení podaného prostřednictvím </w:t>
      </w:r>
      <w:r w:rsidR="00485635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VOS</w:t>
      </w:r>
    </w:p>
    <w:p w14:paraId="3B7AC9B3" w14:textId="62ED70F2" w:rsidR="007C7BB8" w:rsidRPr="007C7BB8" w:rsidRDefault="007C7BB8" w:rsidP="007C7BB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navrhuje povinnému subjektu opatření k</w:t>
      </w:r>
      <w:r w:rsidR="00485635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 </w:t>
      </w:r>
      <w:r w:rsidRP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nápravě nebo předejití protiprávnímu stavu v</w:t>
      </w:r>
      <w:r w:rsidR="00485635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 </w:t>
      </w:r>
      <w:r w:rsidRP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návaznosti na podané oznámení, ledaže by tímto postupem mohlo dojít k</w:t>
      </w:r>
      <w:r w:rsidR="00485635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 </w:t>
      </w:r>
      <w:r w:rsidRP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prozrazení totožnosti oznamovatele</w:t>
      </w:r>
      <w:r w:rsidR="00485635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.</w:t>
      </w:r>
    </w:p>
    <w:p w14:paraId="2C1D6CA2" w14:textId="3A0B7D63" w:rsidR="007C7BB8" w:rsidRPr="007C7BB8" w:rsidRDefault="007C7BB8" w:rsidP="007C7BB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plní pokyny povinného subjektu, ledaže ohrožují nebo maří výkon její činnosti podle zákona,</w:t>
      </w:r>
    </w:p>
    <w:p w14:paraId="68A75613" w14:textId="65D61FC5" w:rsidR="007C7BB8" w:rsidRPr="007C7BB8" w:rsidRDefault="007C7BB8" w:rsidP="007C7BB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7C7BB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postupuje při výkonu své činnosti podle zákona nestranně,</w:t>
      </w:r>
    </w:p>
    <w:p w14:paraId="2D5C8A1D" w14:textId="03E32A05" w:rsidR="007C7BB8" w:rsidRPr="00292456" w:rsidRDefault="007C7BB8" w:rsidP="00B8732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 w:rsidRPr="00485635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zachovává mlčenlivost o skutečnostech, o kterých se dozvěděla při výkonu své </w:t>
      </w:r>
      <w:r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činnosti podle zákona, a to i po ukončení výkonu této činnosti</w:t>
      </w:r>
      <w:r w:rsidR="00485635"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7BBAA9FC" w14:textId="77777777" w:rsidR="00485635" w:rsidRPr="00485635" w:rsidRDefault="00485635" w:rsidP="00485635">
      <w:pPr>
        <w:pStyle w:val="Odstavecseseznamem"/>
        <w:spacing w:after="0" w:line="240" w:lineRule="auto"/>
        <w:ind w:left="1428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6E3EE40E" w14:textId="68503C3F" w:rsidR="004B2EB0" w:rsidRPr="00846440" w:rsidRDefault="00485635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4.</w:t>
      </w:r>
      <w:r w:rsidR="00D33945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5</w:t>
      </w: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.</w:t>
      </w: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ab/>
      </w:r>
      <w:r w:rsidR="004B2EB0"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Vnitřní oznamovací systém (VOS)</w:t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</w:p>
    <w:p w14:paraId="69FDA53B" w14:textId="77777777" w:rsidR="0075249C" w:rsidRDefault="0075249C" w:rsidP="0075249C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7DBFF0A8" w14:textId="4F9D4543" w:rsidR="004B2EB0" w:rsidRPr="00846440" w:rsidRDefault="0075249C" w:rsidP="0075249C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A) 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Oznámení lze podat: </w:t>
      </w:r>
    </w:p>
    <w:p w14:paraId="47805BBC" w14:textId="36EAA52A" w:rsidR="004B2EB0" w:rsidRPr="00846440" w:rsidRDefault="004B2EB0" w:rsidP="00846440">
      <w:pPr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 xml:space="preserve">ústně v kanceláři </w:t>
      </w:r>
      <w:r w:rsidRPr="00912AA8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PO</w:t>
      </w:r>
      <w:r w:rsidRPr="00912A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(</w:t>
      </w:r>
      <w:r w:rsidR="00C855E3" w:rsidRPr="00912A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kancelář </w:t>
      </w:r>
      <w:proofErr w:type="gramStart"/>
      <w:r w:rsidR="00912AA8" w:rsidRPr="00912A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č.8 </w:t>
      </w:r>
      <w:r w:rsidR="00C855E3" w:rsidRPr="00912A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v</w:t>
      </w:r>
      <w:r w:rsidR="003120D3" w:rsidRPr="00912A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 1.podlaží</w:t>
      </w:r>
      <w:proofErr w:type="gramEnd"/>
      <w:r w:rsidR="003120D3" w:rsidRPr="00912A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r w:rsidR="00C855E3" w:rsidRPr="00912A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objektu čp</w:t>
      </w:r>
      <w:r w:rsidR="001C60D9" w:rsidRPr="00912A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1294</w:t>
      </w:r>
      <w:r w:rsidR="00C855E3" w:rsidRPr="00912A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v obci </w:t>
      </w:r>
      <w:r w:rsidR="001C60D9" w:rsidRPr="00912A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Mladá Boleslav </w:t>
      </w:r>
      <w:r w:rsidR="00C855E3" w:rsidRPr="00912A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jako sídlo zaměstnavatele na adrese</w:t>
      </w:r>
      <w:r w:rsidR="001C60D9" w:rsidRPr="00912A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Jana Palacha 1294, 293 01 Mladá Boleslav</w:t>
      </w:r>
      <w:r w:rsidRPr="00912A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); PO pořídí zvukovou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nahrávku nebo přepis. PO dále umožní oznamovateli, aby se k přepisu </w:t>
      </w:r>
      <w:proofErr w:type="gramStart"/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vyjádřil a vyjádření</w:t>
      </w:r>
      <w:proofErr w:type="gramEnd"/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k přepisu přiloží. Nevysloví-li oznamovatel s pořízením zvukové nahrávky nebo přepisu souhlas, nesmí je PO pořídit. V takovém případě sepíše záznam, který zachycuje podstatu ústního oznámení. PO umožní oznamovateli, aby se k záznamu vyjádřil; vyjádření k záznamu přiloží. Obdobně se postupuje, není-li technicky možné pořídit zvukovou nahrávku ústního oznámení. </w:t>
      </w:r>
    </w:p>
    <w:p w14:paraId="224C1B22" w14:textId="6FA82300" w:rsidR="004B2EB0" w:rsidRPr="00292456" w:rsidRDefault="004B2EB0" w:rsidP="00846440">
      <w:pPr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písemně v kanceláři PO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r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(</w:t>
      </w:r>
      <w:r w:rsidR="00C855E3"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kancelář</w:t>
      </w:r>
      <w:r w:rsidR="00292456"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proofErr w:type="gramStart"/>
      <w:r w:rsidR="00292456"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č.8</w:t>
      </w:r>
      <w:r w:rsidR="00C855E3"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v</w:t>
      </w:r>
      <w:r w:rsidR="001C60D9"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 1. podlaží</w:t>
      </w:r>
      <w:proofErr w:type="gramEnd"/>
      <w:r w:rsidR="00C855E3"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objektu čp</w:t>
      </w:r>
      <w:r w:rsidR="001C60D9"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1294</w:t>
      </w:r>
      <w:r w:rsidR="00C855E3"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v obci </w:t>
      </w:r>
      <w:r w:rsidR="001C60D9"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Mladá Boleslav </w:t>
      </w:r>
      <w:r w:rsidR="00C855E3"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jako sídlo zaměstnavatele na adrese</w:t>
      </w:r>
      <w:r w:rsidR="001C60D9"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Jana Palacha 1294, 293 01 Mladá Boleslav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) nebo vložením do schránky (</w:t>
      </w:r>
      <w:r w:rsidR="00C855E3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schrána je umístěna </w:t>
      </w:r>
      <w:r w:rsid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u kanceláře č.</w:t>
      </w:r>
      <w:r w:rsidR="00C855E3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………………………</w:t>
      </w:r>
      <w:r w:rsidR="00912AA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v </w:t>
      </w:r>
      <w:r w:rsidR="001C60D9" w:rsidRPr="001C60D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 1.podlaží</w:t>
      </w:r>
      <w:r w:rsidR="00C855E3" w:rsidRPr="001C60D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objektu čp</w:t>
      </w:r>
      <w:r w:rsidR="001C60D9" w:rsidRPr="001C60D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1294</w:t>
      </w:r>
      <w:r w:rsidR="00C855E3" w:rsidRPr="001C60D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v obci </w:t>
      </w:r>
      <w:r w:rsidR="001C60D9" w:rsidRPr="001C60D9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Mladá </w:t>
      </w:r>
      <w:r w:rsidR="001C60D9" w:rsidRPr="00262C3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Boleslav, </w:t>
      </w:r>
      <w:r w:rsidR="001C60D9"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Jana Palacha 1294 </w:t>
      </w:r>
      <w:r w:rsidR="00C855E3"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jako sídlo zaměstnavatele na adrese</w:t>
      </w:r>
      <w:r w:rsidR="00262C37"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Jana Palacha 1294, 293 01 Mladá Boleslav</w:t>
      </w:r>
      <w:r w:rsidR="00292456"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)</w:t>
      </w:r>
      <w:r w:rsidRPr="0029245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</w:p>
    <w:p w14:paraId="594A139B" w14:textId="77777777" w:rsidR="004B2EB0" w:rsidRPr="00846440" w:rsidRDefault="004B2EB0" w:rsidP="00846440">
      <w:pPr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bookmarkStart w:id="0" w:name="_GoBack"/>
      <w:bookmarkEnd w:id="0"/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písemně prostřednictvím elektronického podání 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(</w:t>
      </w:r>
      <w:r w:rsidRPr="00C855E3">
        <w:rPr>
          <w:rFonts w:eastAsia="Times New Roman" w:cstheme="minorHAnsi"/>
          <w:kern w:val="0"/>
          <w:sz w:val="24"/>
          <w:szCs w:val="24"/>
          <w:highlight w:val="yellow"/>
          <w:lang w:eastAsia="cs-CZ"/>
          <w14:ligatures w14:val="none"/>
        </w:rPr>
        <w:t>email – adresa)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</w:p>
    <w:p w14:paraId="09DF0D82" w14:textId="387D5FA2" w:rsidR="004B2EB0" w:rsidRPr="00846440" w:rsidRDefault="004B2EB0" w:rsidP="00846440">
      <w:pPr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osobně: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požádá-li o to oznamovatel, je PO povinna oznámení přijmout osobně v přiměřené lhůtě, nejdéle však do </w:t>
      </w:r>
      <w:r w:rsidR="00C855E3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14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dnů. </w:t>
      </w:r>
    </w:p>
    <w:p w14:paraId="4BB16DEE" w14:textId="77777777" w:rsidR="00846440" w:rsidRPr="00846440" w:rsidRDefault="00846440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2C189506" w14:textId="3C8988B2" w:rsidR="004B2EB0" w:rsidRPr="00846440" w:rsidRDefault="0075249C" w:rsidP="00CF3AEE">
      <w:pPr>
        <w:spacing w:after="0" w:line="240" w:lineRule="auto"/>
        <w:ind w:left="708" w:hanging="708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B)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O přijetí oznámení je PO povinna do 7 dnů ode dne jeho přijetí písemně vyrozumět oznamovatele, ledaže: </w:t>
      </w:r>
    </w:p>
    <w:p w14:paraId="4619C020" w14:textId="77777777" w:rsidR="004B2EB0" w:rsidRPr="00846440" w:rsidRDefault="004B2EB0" w:rsidP="0075249C">
      <w:pPr>
        <w:numPr>
          <w:ilvl w:val="1"/>
          <w:numId w:val="19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oznamovatel výslovně požádal PO, aby ho o přijetí oznámení nevyrozumívala, nebo </w:t>
      </w:r>
    </w:p>
    <w:p w14:paraId="64EC6743" w14:textId="77777777" w:rsidR="004B2EB0" w:rsidRDefault="004B2EB0" w:rsidP="0075249C">
      <w:pPr>
        <w:numPr>
          <w:ilvl w:val="1"/>
          <w:numId w:val="19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je zřejmé, že vyrozuměním o přijetí oznámení by došlo k prozrazení totožnosti oznamovatele. </w:t>
      </w:r>
    </w:p>
    <w:p w14:paraId="5D552A08" w14:textId="77777777" w:rsidR="0075249C" w:rsidRPr="00846440" w:rsidRDefault="0075249C" w:rsidP="0075249C">
      <w:pPr>
        <w:spacing w:after="0" w:line="240" w:lineRule="auto"/>
        <w:ind w:left="1428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5C4254CC" w14:textId="076D3995" w:rsidR="004B2EB0" w:rsidRPr="00846440" w:rsidRDefault="0075249C" w:rsidP="0075249C">
      <w:pPr>
        <w:spacing w:after="0" w:line="240" w:lineRule="auto"/>
        <w:ind w:left="708" w:hanging="708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C)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PO je povinna posoudit důvodnost oznámení a písemně vyrozumět oznamovatele o výsledcích posouzení do 30 dnů ode dne přijetí oznámení. V případech skutkově nebo právně složitých lze tuto lhůtu prodloužit až o 30 dnů, nejvýše však dvakrát. O prodloužení lhůty a důvodech pro její prodloužení je PO povinna oznamovatele písemně vyrozumět před jejím uplynutím. </w:t>
      </w:r>
    </w:p>
    <w:p w14:paraId="26DB6DB6" w14:textId="77777777" w:rsidR="0075249C" w:rsidRDefault="0075249C" w:rsidP="0075249C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77BBFFAE" w14:textId="4AE2496F" w:rsidR="004B2EB0" w:rsidRDefault="0075249C" w:rsidP="0075249C">
      <w:pPr>
        <w:spacing w:after="0" w:line="240" w:lineRule="auto"/>
        <w:ind w:left="708" w:hanging="708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D)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Zjistí-li PO při posuzování důvodnosti oznámení, že nejde o oznámení podle uvedeného zákona, bez zbytečného odkladu o tom písemně vyrozumí oznamovatele. </w:t>
      </w:r>
    </w:p>
    <w:p w14:paraId="27965BDF" w14:textId="77777777" w:rsidR="0075249C" w:rsidRPr="00846440" w:rsidRDefault="0075249C" w:rsidP="0075249C">
      <w:pPr>
        <w:spacing w:after="0" w:line="240" w:lineRule="auto"/>
        <w:ind w:left="708" w:hanging="708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024CB3CB" w14:textId="500E5F35" w:rsidR="004B2EB0" w:rsidRDefault="0075249C" w:rsidP="0075249C">
      <w:pPr>
        <w:spacing w:after="0" w:line="240" w:lineRule="auto"/>
        <w:ind w:left="708" w:hanging="708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E)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Je-li oznámení vyhodnoceno jako důvodné, PO navrhne 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zaměstnavateli</w:t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opatření k předejití nebo nápravě protiprávního stavu. O přijatém opatření 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zaměstnavatele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neprodleně vyrozumí PO, která o něm bez zbytečného odkladu písemně vyrozumí oznamovatele. Nejsou-li navržená opatření přijata, přijme PO jiné vhodné opatření. </w:t>
      </w:r>
    </w:p>
    <w:p w14:paraId="6384C4A8" w14:textId="77777777" w:rsidR="0075249C" w:rsidRDefault="0075249C" w:rsidP="0075249C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539A36B5" w14:textId="202E5FB2" w:rsidR="004B2EB0" w:rsidRDefault="0075249C" w:rsidP="0075249C">
      <w:pPr>
        <w:spacing w:after="0" w:line="240" w:lineRule="auto"/>
        <w:ind w:left="708" w:hanging="708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F)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Není-li oznámení vyhodnoceno jako důvodné, PO bez zbytečného odkladu písemně vyrozumí oznamovatele o tom, že na základě skutečností uvedených v oznámení a všech okolností, které jí jsou známy, neshledala podezření ze spáchání protiprávního jednání, nebo shledala, že oznámení se zakládá na nepravdivých informacích, a poučí oznamovatele o právu podat oznámení u orgánu veřejné moci. </w:t>
      </w:r>
    </w:p>
    <w:p w14:paraId="72AFB796" w14:textId="77777777" w:rsidR="00CF3AEE" w:rsidRDefault="00CF3AEE" w:rsidP="0075249C">
      <w:pPr>
        <w:spacing w:after="0" w:line="240" w:lineRule="auto"/>
        <w:ind w:left="708" w:hanging="708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6184085C" w14:textId="09F0A2B9" w:rsidR="00CF3AEE" w:rsidRPr="00846440" w:rsidRDefault="00CF3AEE" w:rsidP="00CF3AEE">
      <w:pPr>
        <w:spacing w:after="0" w:line="240" w:lineRule="auto"/>
        <w:ind w:left="708" w:hanging="708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G)</w:t>
      </w:r>
      <w:r w:rsidRPr="00CF3AEE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  <w:t>Zaměstnavatel jako P</w:t>
      </w:r>
      <w:r w:rsidRPr="00CF3AEE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ovinný subjekt vylučuje přijímání oznámení od osoby, která pro povinný subjekt nevykonává práci nebo jinou obdobnou činnost podle § 2 odst. 3 písm. a), b), h) nebo i)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zákona.</w:t>
      </w:r>
    </w:p>
    <w:p w14:paraId="6CDBB2DE" w14:textId="77777777" w:rsidR="00846440" w:rsidRDefault="00846440" w:rsidP="00846440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5E318DEE" w14:textId="1AFFDB44" w:rsidR="004B2EB0" w:rsidRPr="00846440" w:rsidRDefault="0075249C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4.</w:t>
      </w:r>
      <w:r w:rsidR="00B400A3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6</w:t>
      </w: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.</w:t>
      </w: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ab/>
      </w:r>
      <w:r w:rsidR="004B2EB0"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Evidence o přijatých oznámeních</w:t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</w:p>
    <w:p w14:paraId="2E1EBB94" w14:textId="25B05CCF" w:rsidR="004B2EB0" w:rsidRPr="00846440" w:rsidRDefault="004B2EB0" w:rsidP="0075249C">
      <w:pPr>
        <w:spacing w:after="0" w:line="240" w:lineRule="auto"/>
        <w:ind w:firstLine="708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Evidenci vede PO v Knize přijatých oznámení. Evidence minimálně obsahuje: </w:t>
      </w:r>
    </w:p>
    <w:p w14:paraId="6C0EE79E" w14:textId="77777777" w:rsidR="004B2EB0" w:rsidRPr="00846440" w:rsidRDefault="004B2EB0" w:rsidP="00D33945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datum přijetí oznámení </w:t>
      </w:r>
    </w:p>
    <w:p w14:paraId="12D883D9" w14:textId="79E53528" w:rsidR="004B2EB0" w:rsidRPr="00846440" w:rsidRDefault="004B2EB0" w:rsidP="00D33945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jméno, popřípadě jména, příjmení, datum narození a kontaktní adresa oznamovatele, jsou-li jim tyto údaje známy </w:t>
      </w:r>
    </w:p>
    <w:p w14:paraId="1746E198" w14:textId="77777777" w:rsidR="004B2EB0" w:rsidRPr="00846440" w:rsidRDefault="004B2EB0" w:rsidP="00D33945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shrnutí obsahu oznámení a identifikace osoby, proti které oznámení směřovalo, je-li jim její totožnost známa </w:t>
      </w:r>
    </w:p>
    <w:p w14:paraId="15493BD2" w14:textId="77777777" w:rsidR="004B2EB0" w:rsidRPr="00846440" w:rsidRDefault="004B2EB0" w:rsidP="00D33945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datum ukončení posouzení důvodnosti oznámení a jejich výsledek. </w:t>
      </w:r>
    </w:p>
    <w:p w14:paraId="396811CD" w14:textId="77777777" w:rsidR="0075249C" w:rsidRDefault="0075249C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35889239" w14:textId="69353611" w:rsidR="004B2EB0" w:rsidRPr="00846440" w:rsidRDefault="004B2EB0" w:rsidP="0075249C">
      <w:pPr>
        <w:spacing w:after="0" w:line="240" w:lineRule="auto"/>
        <w:ind w:left="708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Oznámení podané prostřednictvím VOS se uchovává ve spisovně po dobu 5 let ode dne jeho přijetí. </w:t>
      </w:r>
    </w:p>
    <w:p w14:paraId="50DD7FE0" w14:textId="77777777" w:rsidR="00846440" w:rsidRDefault="00846440" w:rsidP="00846440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4C9E16CA" w14:textId="77777777" w:rsidR="00CF3AEE" w:rsidRDefault="00CF3AEE" w:rsidP="0075249C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4594A72B" w14:textId="6F9F481B" w:rsidR="0075249C" w:rsidRDefault="0075249C" w:rsidP="0075249C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V.</w:t>
      </w:r>
    </w:p>
    <w:p w14:paraId="535E719E" w14:textId="72DE0884" w:rsidR="004B2EB0" w:rsidRDefault="004B2EB0" w:rsidP="0075249C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Externí oznamovací systém</w:t>
      </w:r>
    </w:p>
    <w:p w14:paraId="6563DD3F" w14:textId="77777777" w:rsidR="0075249C" w:rsidRPr="00846440" w:rsidRDefault="0075249C" w:rsidP="0075249C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69399D3A" w14:textId="585BDC75" w:rsidR="004B2EB0" w:rsidRPr="00846440" w:rsidRDefault="0075249C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5.1.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</w:r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Oznámení na případné protiprávní jednání lze podat i prostřednictvím oznamovacího systému MS, i anonymně, na adrese:  </w:t>
      </w:r>
      <w:hyperlink r:id="rId6" w:tgtFrame="_blank" w:history="1">
        <w:r w:rsidR="004B2EB0" w:rsidRPr="00846440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https://oznamovatel.justice.cz/chci-podat-oznameni/</w:t>
        </w:r>
      </w:hyperlink>
      <w:r w:rsidR="004B2EB0"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</w:p>
    <w:p w14:paraId="23FE4B79" w14:textId="77777777" w:rsidR="00846440" w:rsidRDefault="00846440" w:rsidP="00846440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6251AA50" w14:textId="366C44FB" w:rsidR="004B2EB0" w:rsidRPr="00890FC1" w:rsidRDefault="00D33945" w:rsidP="00890FC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90FC1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5.2.</w:t>
      </w:r>
      <w:r w:rsidRPr="00890FC1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ab/>
        <w:t>K</w:t>
      </w:r>
      <w:r w:rsidR="004B2EB0" w:rsidRPr="00890FC1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ontakty</w:t>
      </w:r>
      <w:r w:rsidRPr="00890FC1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na MS</w:t>
      </w:r>
    </w:p>
    <w:p w14:paraId="5162E7CA" w14:textId="3FB093D9" w:rsidR="0075249C" w:rsidRDefault="004B2EB0" w:rsidP="00846440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E-mail: 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hyperlink r:id="rId7" w:history="1">
        <w:r w:rsidR="0075249C" w:rsidRPr="00FB100D">
          <w:rPr>
            <w:rStyle w:val="Hypertextovodkaz"/>
            <w:rFonts w:eastAsia="Times New Roman" w:cstheme="minorHAnsi"/>
            <w:b/>
            <w:bCs/>
            <w:kern w:val="0"/>
            <w:sz w:val="24"/>
            <w:szCs w:val="24"/>
            <w:lang w:eastAsia="cs-CZ"/>
            <w14:ligatures w14:val="none"/>
          </w:rPr>
          <w:t>oznamovatel@msp.justice.cz</w:t>
        </w:r>
      </w:hyperlink>
    </w:p>
    <w:p w14:paraId="7629611F" w14:textId="156BC785" w:rsidR="004B2EB0" w:rsidRPr="00846440" w:rsidRDefault="004B2EB0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Tel.: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 221 997 840 </w:t>
      </w:r>
    </w:p>
    <w:p w14:paraId="02B0E18E" w14:textId="77777777" w:rsidR="00846440" w:rsidRDefault="00846440" w:rsidP="00846440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133ADE0A" w14:textId="77777777" w:rsidR="00D33945" w:rsidRDefault="00D33945" w:rsidP="00D33945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VI.</w:t>
      </w:r>
    </w:p>
    <w:p w14:paraId="2C7FD3C8" w14:textId="5464DF40" w:rsidR="004B2EB0" w:rsidRDefault="004B2EB0" w:rsidP="00D33945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Související dokumentace</w:t>
      </w:r>
    </w:p>
    <w:p w14:paraId="67BE9AE4" w14:textId="77777777" w:rsidR="00D33945" w:rsidRPr="00846440" w:rsidRDefault="00D33945" w:rsidP="00D33945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3EEC5A53" w14:textId="77777777" w:rsidR="004B2EB0" w:rsidRPr="00846440" w:rsidRDefault="004B2EB0" w:rsidP="00846440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SMĚRNICE EVROPSKÉHO PARLAMENTU A RADY (EU) 2019/1937 ze dne 23. října 2019 o ochraně osob, které oznamují porušení práva Unie </w:t>
      </w:r>
    </w:p>
    <w:p w14:paraId="0C52049D" w14:textId="378E444A" w:rsidR="004B2EB0" w:rsidRPr="00846440" w:rsidRDefault="004B2EB0" w:rsidP="00846440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Zákon č. </w:t>
      </w:r>
      <w:r w:rsidR="00890FC1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171/2023 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Sb., o ochraně oznamovatelů </w:t>
      </w:r>
    </w:p>
    <w:p w14:paraId="4187A213" w14:textId="336B9D05" w:rsidR="004B2EB0" w:rsidRPr="00846440" w:rsidRDefault="004B2EB0" w:rsidP="00846440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Zákon č.</w:t>
      </w:r>
      <w:r w:rsidR="00890FC1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110/2019 Sb., 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o zpracování osobních údajů </w:t>
      </w:r>
    </w:p>
    <w:p w14:paraId="0B617EBC" w14:textId="4E17508D" w:rsidR="004B2EB0" w:rsidRPr="00846440" w:rsidRDefault="004B2EB0" w:rsidP="00846440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NAŘÍZENÍ EVROPSKÉHO PARLAMENTU A RADY (EU) 2016/679 ze dne 27. dubna 2016 </w:t>
      </w:r>
      <w:r w:rsidR="00890FC1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- </w:t>
      </w:r>
      <w:r w:rsidRPr="00846440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obecné nařízení o ochraně osobních údajů </w:t>
      </w:r>
    </w:p>
    <w:p w14:paraId="124E1F02" w14:textId="77777777" w:rsidR="00846440" w:rsidRDefault="00846440" w:rsidP="00846440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60011495" w14:textId="77777777" w:rsidR="00CF3AEE" w:rsidRDefault="00CF3AEE" w:rsidP="00846440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</w:pPr>
    </w:p>
    <w:p w14:paraId="0E7AC946" w14:textId="6E6412DF" w:rsidR="004B2EB0" w:rsidRDefault="004B2EB0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286C28BE" w14:textId="5942E909" w:rsidR="00CF3AEE" w:rsidRDefault="00CF3AEE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V</w:t>
      </w:r>
      <w:r w:rsidR="009D002E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 Mladé Boleslavi d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ne</w:t>
      </w:r>
      <w:r w:rsidR="009D002E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proofErr w:type="gramStart"/>
      <w:r w:rsidR="009D002E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26.7.2023</w:t>
      </w:r>
      <w:proofErr w:type="gramEnd"/>
    </w:p>
    <w:p w14:paraId="2D542091" w14:textId="77777777" w:rsidR="00CF3AEE" w:rsidRDefault="00CF3AEE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2AC0045A" w14:textId="77777777" w:rsidR="00CF3AEE" w:rsidRDefault="00CF3AEE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29BB17A3" w14:textId="77777777" w:rsidR="00CF3AEE" w:rsidRDefault="00CF3AEE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0999EC14" w14:textId="77777777" w:rsidR="00CF3AEE" w:rsidRDefault="00CF3AEE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0354183D" w14:textId="25234FE7" w:rsidR="00CF3AEE" w:rsidRDefault="00CF3AEE" w:rsidP="0084644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----------------------------------------------------------</w:t>
      </w:r>
    </w:p>
    <w:p w14:paraId="2CB1C49D" w14:textId="4DC0FCF5" w:rsidR="00CF3AEE" w:rsidRPr="00846440" w:rsidRDefault="00CF3AEE" w:rsidP="00CF3AEE">
      <w:pPr>
        <w:spacing w:after="0" w:line="240" w:lineRule="auto"/>
        <w:ind w:left="708" w:firstLine="708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Povinný subjekt</w:t>
      </w:r>
    </w:p>
    <w:sectPr w:rsidR="00CF3AEE" w:rsidRPr="0084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E41"/>
    <w:multiLevelType w:val="multilevel"/>
    <w:tmpl w:val="90A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C02B5"/>
    <w:multiLevelType w:val="multilevel"/>
    <w:tmpl w:val="06CC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090F2A"/>
    <w:multiLevelType w:val="multilevel"/>
    <w:tmpl w:val="C3D2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422D95"/>
    <w:multiLevelType w:val="hybridMultilevel"/>
    <w:tmpl w:val="C0B2F1AE"/>
    <w:lvl w:ilvl="0" w:tplc="22CAE7CC">
      <w:start w:val="1"/>
      <w:numFmt w:val="lowerLetter"/>
      <w:lvlText w:val="%1)"/>
      <w:lvlJc w:val="left"/>
      <w:pPr>
        <w:ind w:left="1428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CB04A3"/>
    <w:multiLevelType w:val="multilevel"/>
    <w:tmpl w:val="0BE0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0E66B6"/>
    <w:multiLevelType w:val="hybridMultilevel"/>
    <w:tmpl w:val="4E4050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35E6F"/>
    <w:multiLevelType w:val="multilevel"/>
    <w:tmpl w:val="395AB7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821E1"/>
    <w:multiLevelType w:val="multilevel"/>
    <w:tmpl w:val="BF5A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1B105A"/>
    <w:multiLevelType w:val="multilevel"/>
    <w:tmpl w:val="206E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866FA0"/>
    <w:multiLevelType w:val="hybridMultilevel"/>
    <w:tmpl w:val="135AE4E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AF055C"/>
    <w:multiLevelType w:val="multilevel"/>
    <w:tmpl w:val="830A9A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D38B9"/>
    <w:multiLevelType w:val="hybridMultilevel"/>
    <w:tmpl w:val="83304D3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03D5BFC"/>
    <w:multiLevelType w:val="multilevel"/>
    <w:tmpl w:val="4CBE8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6335B"/>
    <w:multiLevelType w:val="hybridMultilevel"/>
    <w:tmpl w:val="F2A2CAA0"/>
    <w:lvl w:ilvl="0" w:tplc="8ADA5172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05C10"/>
    <w:multiLevelType w:val="multilevel"/>
    <w:tmpl w:val="2DEE87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5286A"/>
    <w:multiLevelType w:val="multilevel"/>
    <w:tmpl w:val="3C7269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3E2D25"/>
    <w:multiLevelType w:val="multilevel"/>
    <w:tmpl w:val="39F4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EF2844"/>
    <w:multiLevelType w:val="multilevel"/>
    <w:tmpl w:val="5500464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>
    <w:nsid w:val="7B791613"/>
    <w:multiLevelType w:val="multilevel"/>
    <w:tmpl w:val="0DB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E63302"/>
    <w:multiLevelType w:val="multilevel"/>
    <w:tmpl w:val="40960AF8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14"/>
  </w:num>
  <w:num w:numId="10">
    <w:abstractNumId w:val="6"/>
  </w:num>
  <w:num w:numId="11">
    <w:abstractNumId w:val="19"/>
  </w:num>
  <w:num w:numId="12">
    <w:abstractNumId w:val="18"/>
  </w:num>
  <w:num w:numId="13">
    <w:abstractNumId w:val="1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3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47"/>
    <w:rsid w:val="00110A29"/>
    <w:rsid w:val="00180E48"/>
    <w:rsid w:val="00196347"/>
    <w:rsid w:val="001C60D9"/>
    <w:rsid w:val="00262C37"/>
    <w:rsid w:val="00292456"/>
    <w:rsid w:val="002F6933"/>
    <w:rsid w:val="003120D3"/>
    <w:rsid w:val="00346CD5"/>
    <w:rsid w:val="003E4FF8"/>
    <w:rsid w:val="00485635"/>
    <w:rsid w:val="004B2EB0"/>
    <w:rsid w:val="004F37DE"/>
    <w:rsid w:val="00606487"/>
    <w:rsid w:val="00655F07"/>
    <w:rsid w:val="0075249C"/>
    <w:rsid w:val="007A40AA"/>
    <w:rsid w:val="007C7BB8"/>
    <w:rsid w:val="00846440"/>
    <w:rsid w:val="00890FC1"/>
    <w:rsid w:val="00912AA8"/>
    <w:rsid w:val="009D002E"/>
    <w:rsid w:val="00AB3743"/>
    <w:rsid w:val="00B400A3"/>
    <w:rsid w:val="00C855E3"/>
    <w:rsid w:val="00CF3AEE"/>
    <w:rsid w:val="00D33945"/>
    <w:rsid w:val="00DE4659"/>
    <w:rsid w:val="00E90ED8"/>
    <w:rsid w:val="00F9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E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96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196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63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196347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source">
    <w:name w:val="source"/>
    <w:basedOn w:val="Standardnpsmoodstavce"/>
    <w:rsid w:val="00196347"/>
  </w:style>
  <w:style w:type="character" w:styleId="Zvraznn">
    <w:name w:val="Emphasis"/>
    <w:basedOn w:val="Standardnpsmoodstavce"/>
    <w:uiPriority w:val="20"/>
    <w:qFormat/>
    <w:rsid w:val="0019634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B2E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5F07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24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96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196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63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196347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source">
    <w:name w:val="source"/>
    <w:basedOn w:val="Standardnpsmoodstavce"/>
    <w:rsid w:val="00196347"/>
  </w:style>
  <w:style w:type="character" w:styleId="Zvraznn">
    <w:name w:val="Emphasis"/>
    <w:basedOn w:val="Standardnpsmoodstavce"/>
    <w:uiPriority w:val="20"/>
    <w:qFormat/>
    <w:rsid w:val="0019634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B2E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5F07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2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znamovatel@msp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namovatel.justice.cz/chci-podat-oznamen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1363</Words>
  <Characters>8043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Směrnice zaměstnavatele o ochraně osob oznamujících protiprávní jednání dle záko</vt:lpstr>
      <vt:lpstr>    </vt:lpstr>
      <vt:lpstr>    („Směrnice o ochraně oznamovatelů“)</vt:lpstr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Pivoňka</dc:creator>
  <cp:lastModifiedBy>Ing Zemanová</cp:lastModifiedBy>
  <cp:revision>12</cp:revision>
  <cp:lastPrinted>2023-07-25T10:08:00Z</cp:lastPrinted>
  <dcterms:created xsi:type="dcterms:W3CDTF">2023-07-19T06:59:00Z</dcterms:created>
  <dcterms:modified xsi:type="dcterms:W3CDTF">2023-09-05T08:49:00Z</dcterms:modified>
</cp:coreProperties>
</file>