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15FF4DEB" w14:textId="77777777" w:rsidR="00025C77" w:rsidRPr="00726B26" w:rsidRDefault="00025C77" w:rsidP="00025C77">
      <w:pPr>
        <w:rPr>
          <w:b/>
        </w:rPr>
      </w:pPr>
      <w:r>
        <w:rPr>
          <w:b/>
        </w:rPr>
        <w:t>AbbVie s.r.o.</w:t>
      </w:r>
    </w:p>
    <w:p w14:paraId="62F78EE6" w14:textId="6CF0DABE" w:rsidR="00726B26" w:rsidRDefault="00726B26" w:rsidP="00726B26">
      <w:r>
        <w:t>IČ</w:t>
      </w:r>
      <w:r w:rsidR="003C3580">
        <w:t>O</w:t>
      </w:r>
      <w:r>
        <w:t xml:space="preserve">: </w:t>
      </w:r>
      <w:r w:rsidR="00025C77">
        <w:t>24148725</w:t>
      </w:r>
    </w:p>
    <w:p w14:paraId="62F78EE7" w14:textId="494DD7CA" w:rsidR="00726B26" w:rsidRPr="00512AB9" w:rsidRDefault="00726B26" w:rsidP="00726B26">
      <w:r>
        <w:t xml:space="preserve">DIČ: </w:t>
      </w:r>
      <w:r w:rsidR="00025C77">
        <w:t>CZ24148725</w:t>
      </w:r>
    </w:p>
    <w:p w14:paraId="62F78EE8" w14:textId="238F01D2" w:rsidR="00726B26" w:rsidRPr="00512AB9" w:rsidRDefault="00726B26" w:rsidP="00726B26">
      <w:r>
        <w:t>se sídlem</w:t>
      </w:r>
      <w:r w:rsidRPr="00512AB9">
        <w:t xml:space="preserve">: </w:t>
      </w:r>
      <w:r w:rsidR="00025C77">
        <w:t>Metronom Business Center, Bucharova 2817/13, 158 00 Praha Stodůlky</w:t>
      </w:r>
    </w:p>
    <w:p w14:paraId="62F78EE9" w14:textId="48253733" w:rsidR="00726B26" w:rsidRPr="00512AB9" w:rsidRDefault="00726B26" w:rsidP="00726B26">
      <w:r>
        <w:t>zastoupena</w:t>
      </w:r>
      <w:r w:rsidRPr="00512AB9">
        <w:t xml:space="preserve">: </w:t>
      </w:r>
      <w:r w:rsidR="006631EB">
        <w:t xml:space="preserve">MUDr. Branislavem </w:t>
      </w:r>
      <w:proofErr w:type="spellStart"/>
      <w:r w:rsidR="006631EB">
        <w:t>Trutzem</w:t>
      </w:r>
      <w:proofErr w:type="spellEnd"/>
      <w:r w:rsidR="006631EB">
        <w:t xml:space="preserve"> – jednatelem</w:t>
      </w:r>
      <w:r w:rsidR="00C747DD">
        <w:t xml:space="preserve"> / </w:t>
      </w:r>
      <w:proofErr w:type="gramStart"/>
      <w:r w:rsidR="00197C58">
        <w:t>XXX</w:t>
      </w:r>
      <w:r w:rsidR="00C747DD">
        <w:t xml:space="preserve"> - zmo</w:t>
      </w:r>
      <w:r w:rsidR="001A61FF">
        <w:t>c</w:t>
      </w:r>
      <w:r w:rsidR="00C747DD">
        <w:t>něnec</w:t>
      </w:r>
      <w:proofErr w:type="gramEnd"/>
    </w:p>
    <w:p w14:paraId="62F78EEA" w14:textId="47AC9F72" w:rsidR="00726B26" w:rsidRPr="00512AB9" w:rsidRDefault="00726B26" w:rsidP="00726B26">
      <w:r w:rsidRPr="00512AB9">
        <w:t xml:space="preserve">bankovní spojení: </w:t>
      </w:r>
      <w:r w:rsidR="006631EB">
        <w:t>BNP Paribas S.A, Česká republika</w:t>
      </w:r>
    </w:p>
    <w:p w14:paraId="62F78EEB" w14:textId="4917B01A" w:rsidR="00726B26" w:rsidRPr="00512AB9" w:rsidRDefault="00726B26" w:rsidP="00726B26">
      <w:r w:rsidRPr="00512AB9">
        <w:t xml:space="preserve">číslo účtu: </w:t>
      </w:r>
      <w:proofErr w:type="gramStart"/>
      <w:r w:rsidR="006631EB" w:rsidRPr="000D5E06">
        <w:t>64450 – 6003550005</w:t>
      </w:r>
      <w:proofErr w:type="gramEnd"/>
      <w:r w:rsidR="006631EB" w:rsidRPr="000D5E06">
        <w:t>/6300</w:t>
      </w:r>
    </w:p>
    <w:p w14:paraId="62F78EED" w14:textId="7FDD7407" w:rsidR="00726B26" w:rsidRDefault="00726B26" w:rsidP="00726B26">
      <w:r>
        <w:t>z</w:t>
      </w:r>
      <w:r w:rsidRPr="00512AB9">
        <w:t>apsán</w:t>
      </w:r>
      <w:r>
        <w:t>a</w:t>
      </w:r>
      <w:r w:rsidRPr="00512AB9">
        <w:t xml:space="preserve"> v obchodním rejstříku vedeném </w:t>
      </w:r>
      <w:r w:rsidR="00025C77">
        <w:t>Městským soudem v Praze</w:t>
      </w:r>
      <w:r w:rsidRPr="00652864">
        <w:t xml:space="preserve">, oddíl </w:t>
      </w:r>
      <w:r w:rsidR="00025C77">
        <w:t>C</w:t>
      </w:r>
      <w:r w:rsidR="00025C77" w:rsidRPr="00652864">
        <w:t xml:space="preserve">, vložka </w:t>
      </w:r>
      <w:r w:rsidR="00025C77">
        <w:t>183123</w:t>
      </w:r>
    </w:p>
    <w:p w14:paraId="740E8706" w14:textId="77777777" w:rsidR="00025C77" w:rsidRPr="002B77A6" w:rsidRDefault="00025C77"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6BD33B0" w14:textId="4F80A2A6"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proofErr w:type="spellStart"/>
      <w:r w:rsidR="0096550D">
        <w:rPr>
          <w:b/>
          <w:bCs/>
        </w:rPr>
        <w:t>Risankizumab</w:t>
      </w:r>
      <w:proofErr w:type="spellEnd"/>
      <w:r w:rsidR="0033275D" w:rsidRPr="0033275D">
        <w:rPr>
          <w:b/>
          <w:bCs/>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Kupujícímu dodáváno postupně, a to dle potřeb Kupujícího, na základě jednostranných právních jednání Kupujícího (dále jen „Objednávky“ či jednotlivě „Objednávka“), </w:t>
      </w:r>
      <w:r>
        <w:lastRenderedPageBreak/>
        <w:t>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 xml:space="preserve">Kupující není povinen </w:t>
      </w:r>
      <w:proofErr w:type="gramStart"/>
      <w:r>
        <w:t>vystavit</w:t>
      </w:r>
      <w:proofErr w:type="gramEnd"/>
      <w:r>
        <w:t xml:space="preserve">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6558AAE4" w:rsidR="00014CFB" w:rsidRDefault="00014CFB" w:rsidP="00014CFB">
      <w:pPr>
        <w:pStyle w:val="Psmenoodstavce"/>
      </w:pPr>
      <w:r>
        <w:t xml:space="preserve">e-mailem na adresu </w:t>
      </w:r>
      <w:r w:rsidR="00197C58" w:rsidRPr="00197C58">
        <w:t>XX</w:t>
      </w:r>
      <w:r w:rsidR="00197C58">
        <w:t>X</w:t>
      </w:r>
    </w:p>
    <w:p w14:paraId="62F78F16" w14:textId="77777777" w:rsidR="00014CFB" w:rsidRDefault="00014CFB" w:rsidP="00014CFB">
      <w:pPr>
        <w:pStyle w:val="Odstavecsmlouvy"/>
        <w:numPr>
          <w:ilvl w:val="0"/>
          <w:numId w:val="0"/>
        </w:numPr>
        <w:ind w:left="567"/>
      </w:pPr>
    </w:p>
    <w:p w14:paraId="62F78F17" w14:textId="36223DE2" w:rsidR="00014CFB" w:rsidRDefault="00014CFB" w:rsidP="00014CFB">
      <w:pPr>
        <w:pStyle w:val="Odstavecsmlouvy"/>
      </w:pPr>
      <w:r>
        <w:t xml:space="preserve">V naléhavých případech je Kupující oprávněn učinit Objednávku rovněž telefonicky na čísle </w:t>
      </w:r>
      <w:r w:rsidR="00197C58">
        <w:t>XXX</w:t>
      </w:r>
    </w:p>
    <w:p w14:paraId="62F78F18" w14:textId="77777777" w:rsidR="00014CFB" w:rsidRDefault="00014CFB" w:rsidP="00014CFB">
      <w:pPr>
        <w:pStyle w:val="Odstavecsmlouvy"/>
        <w:numPr>
          <w:ilvl w:val="0"/>
          <w:numId w:val="0"/>
        </w:numPr>
        <w:ind w:left="567"/>
      </w:pPr>
    </w:p>
    <w:p w14:paraId="62F78F19" w14:textId="067753FB"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197C58">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Default="00BE451F" w:rsidP="000C1FD1">
      <w:pPr>
        <w:jc w:val="center"/>
        <w:rPr>
          <w:b/>
          <w:bCs/>
        </w:rPr>
      </w:pPr>
    </w:p>
    <w:p w14:paraId="335827FB" w14:textId="77777777" w:rsidR="007C1EE0" w:rsidRPr="002B77A6" w:rsidRDefault="007C1EE0"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1FC88CB2"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547D89">
        <w:rPr>
          <w:b/>
        </w:rPr>
        <w:t xml:space="preserve">2 pracovních dnů </w:t>
      </w:r>
      <w:r>
        <w:t>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547D89">
        <w:br/>
      </w:r>
      <w:r w:rsidR="00806564">
        <w:t xml:space="preserve">v pracovních dnech v době od 6:00 hodin do 15:00 hodin nebo v sobotu v době od 8:00 hodin </w:t>
      </w:r>
      <w:r w:rsidR="00547D89">
        <w:br/>
      </w:r>
      <w:r w:rsidR="00806564">
        <w:t>do 12:00 hodin, ledaže se smluvní strany dohodnou jinak.</w:t>
      </w:r>
      <w:bookmarkEnd w:id="6"/>
    </w:p>
    <w:p w14:paraId="594B7AC1" w14:textId="77777777" w:rsidR="00BE64FF" w:rsidRDefault="00BE64FF" w:rsidP="00BE64FF">
      <w:pPr>
        <w:pStyle w:val="Odstavecseseznamem"/>
      </w:pPr>
    </w:p>
    <w:p w14:paraId="1CF5E7F1" w14:textId="364A27F5" w:rsidR="00D86F71" w:rsidRDefault="00D86F71" w:rsidP="00D86F71">
      <w:pPr>
        <w:pStyle w:val="Odstavecsmlouvy"/>
      </w:pPr>
      <w:r>
        <w:t>V případě, že Prodávající není schopen (při splnění podmínek Smlouvy) dílčí plnění dodat či jej není schopen dodat v celém rozsahu, je povinen o této skutečnost</w:t>
      </w:r>
      <w:r w:rsidR="007426B4">
        <w:t xml:space="preserve">i Kupujícího informovat formou </w:t>
      </w:r>
      <w:r>
        <w:t>tzv. „</w:t>
      </w:r>
      <w:r>
        <w:rPr>
          <w:b/>
          <w:i/>
        </w:rPr>
        <w:t>defektního listu</w:t>
      </w:r>
      <w:r>
        <w:t xml:space="preserve">“ </w:t>
      </w:r>
      <w:r w:rsidRPr="003D50A1">
        <w:t>prostřednictvím e-mailu. Informaci o neschopnosti dodat zboží zašle Dodavatel Kupujícímu do dvou hodin</w:t>
      </w:r>
      <w:r>
        <w:t xml:space="preserve"> od doručení Objednávky, pokud je </w:t>
      </w:r>
      <w:r w:rsidRPr="003D50A1">
        <w:t xml:space="preserve">Objednávka doručena </w:t>
      </w:r>
      <w:r>
        <w:t xml:space="preserve">v pracovní dny </w:t>
      </w:r>
      <w:r w:rsidRPr="003D50A1">
        <w:t>v</w:t>
      </w:r>
      <w:r>
        <w:t> době od 8:00 do 16:00 hod</w:t>
      </w:r>
      <w:r w:rsidRPr="003D50A1">
        <w:t xml:space="preserve">. Je-li Objednávka doručena mimo </w:t>
      </w:r>
      <w:r>
        <w:t>tuto dobu</w:t>
      </w:r>
      <w:r w:rsidRPr="003D50A1">
        <w:t xml:space="preserve">, považuje </w:t>
      </w:r>
      <w:r>
        <w:br/>
        <w:t xml:space="preserve">se za doručenou v 8:00 hod. následující pracovní den. Z defektního listu musí vyplývat, v jakém </w:t>
      </w:r>
      <w:r>
        <w:lastRenderedPageBreak/>
        <w:t>rozsahu není Prodávající dílčí plnění schopen dodat. V rozsahu vymezeném defektním listem je pak oprávněn dílčí plnění nedodat. V takovém případě je Kupující oprávněn postupovat dle čl. IV. odst. 12 Smlouvy.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6670FFD5"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65665D16"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r w:rsidR="00197C58">
        <w:rPr>
          <w:color w:val="000000"/>
        </w:rPr>
        <w:t>XXX</w:t>
      </w:r>
    </w:p>
    <w:p w14:paraId="4014E349" w14:textId="77777777" w:rsidR="007E1FCA" w:rsidRDefault="007E1FCA" w:rsidP="007E1FCA">
      <w:pPr>
        <w:pStyle w:val="Odstavecsmlouvy"/>
        <w:numPr>
          <w:ilvl w:val="0"/>
          <w:numId w:val="0"/>
        </w:numPr>
        <w:ind w:left="567"/>
      </w:pP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 xml:space="preserve">Prodávající se zavazuje písemně informovat kupujícího o změně regulačních předpisů mající vliv na cenu léčivých přípravků, které jsou předmětem plnění této smlouvy. V případě, že dojde ke </w:t>
      </w:r>
      <w:r w:rsidRPr="00ED558C">
        <w:rPr>
          <w:iCs/>
          <w:color w:val="000000"/>
          <w:shd w:val="clear" w:color="auto" w:fill="FFFFFF"/>
        </w:rPr>
        <w:lastRenderedPageBreak/>
        <w:t>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14231379" w:rsidR="000C1FD1" w:rsidRPr="00C747DD"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a </w:t>
      </w:r>
      <w:r w:rsidRPr="00C747DD">
        <w:t>to „k jednotlivým Objednávkám“</w:t>
      </w:r>
      <w:r w:rsidR="008012D8" w:rsidRPr="00C747DD">
        <w:t>.</w:t>
      </w:r>
      <w:r w:rsidRPr="00C747DD">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 xml:space="preserve">vrátit Prodávajícímu k přepracování či doplnění. V takovém případě </w:t>
      </w:r>
      <w:proofErr w:type="gramStart"/>
      <w:r w:rsidRPr="006925A2">
        <w:t>běží</w:t>
      </w:r>
      <w:proofErr w:type="gramEnd"/>
      <w:r w:rsidRPr="006925A2">
        <w:t xml:space="preserve">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7D9B6A77" w14:textId="72855D3C" w:rsidR="001A1056" w:rsidRDefault="001A1056" w:rsidP="001A1056">
      <w:pPr>
        <w:pStyle w:val="Odstavecsmlouvy"/>
        <w:numPr>
          <w:ilvl w:val="0"/>
          <w:numId w:val="0"/>
        </w:numPr>
        <w:ind w:left="567"/>
      </w:pP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7AB20DA7" w14:textId="77777777" w:rsidR="009B37EC" w:rsidRDefault="009B37EC" w:rsidP="009B37EC">
      <w:pPr>
        <w:pStyle w:val="Odstavecsmlouvy"/>
        <w:numPr>
          <w:ilvl w:val="0"/>
          <w:numId w:val="0"/>
        </w:numPr>
      </w:pP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B4047BE"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Pr="002B77A6" w:rsidRDefault="0010739D"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CD44BEE" w14:textId="77777777" w:rsidR="005B45F7" w:rsidRDefault="005B45F7" w:rsidP="005B45F7">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 xml:space="preserve">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w:t>
      </w:r>
      <w:proofErr w:type="gramStart"/>
      <w:r w:rsidRPr="00677000">
        <w:t>Poruší</w:t>
      </w:r>
      <w:proofErr w:type="gramEnd"/>
      <w:r w:rsidRPr="00677000">
        <w:t xml:space="preserve">-li prodávající svůj závazek dle první věty tohoto odstavce, tzn., dostane-li se prodávající do prodlení se splněním některého svého finančního závazku vůči některému ze svých poddodavatelů, vznikne kupujícímu právo </w:t>
      </w:r>
      <w:r w:rsidRPr="00677000">
        <w:lastRenderedPageBreak/>
        <w:t>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 xml:space="preserve">Tato smlouva je sepsána ve třech vyhotoveních stejné platnosti a závaznosti, přičemž Kupující </w:t>
      </w:r>
      <w:proofErr w:type="gramStart"/>
      <w:r w:rsidRPr="00766CF0">
        <w:rPr>
          <w:snapToGrid w:val="0"/>
        </w:rPr>
        <w:t>obdrží</w:t>
      </w:r>
      <w:proofErr w:type="gramEnd"/>
      <w:r w:rsidRPr="00766CF0">
        <w:rPr>
          <w:snapToGrid w:val="0"/>
        </w:rPr>
        <w:t xml:space="preserve"> dvě vyhotovení a Prodávající obdrží jedno vyhotovení. Případně je tato smlouva vyhotovena elektronicky a podepsána uznávaným elektronickým podpisem</w:t>
      </w:r>
      <w:r>
        <w:rPr>
          <w:snapToGrid w:val="0"/>
        </w:rPr>
        <w:t xml:space="preserve">. V takovém případě </w:t>
      </w:r>
      <w:proofErr w:type="gramStart"/>
      <w:r>
        <w:rPr>
          <w:snapToGrid w:val="0"/>
        </w:rPr>
        <w:t>obdrží</w:t>
      </w:r>
      <w:proofErr w:type="gramEnd"/>
      <w:r>
        <w:rPr>
          <w:snapToGrid w:val="0"/>
        </w:rPr>
        <w:t xml:space="preserve">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26C9083E" w:rsidR="00726B26"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094DFFB4" w14:textId="77777777" w:rsidR="0033275D" w:rsidRPr="001D71E3" w:rsidRDefault="0033275D" w:rsidP="0033275D">
      <w:pPr>
        <w:pStyle w:val="Odstavecsmlouvy"/>
        <w:numPr>
          <w:ilvl w:val="0"/>
          <w:numId w:val="0"/>
        </w:numPr>
        <w:ind w:left="567"/>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2A713933"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625FB2">
              <w:rPr>
                <w:sz w:val="22"/>
                <w:szCs w:val="22"/>
              </w:rPr>
              <w:t xml:space="preserve"> Praze </w:t>
            </w:r>
            <w:r w:rsidRPr="00D722DC">
              <w:rPr>
                <w:sz w:val="22"/>
                <w:szCs w:val="22"/>
              </w:rPr>
              <w:t>dne</w:t>
            </w:r>
            <w:r w:rsidR="00C747DD">
              <w:rPr>
                <w:sz w:val="22"/>
                <w:szCs w:val="22"/>
              </w:rPr>
              <w:t xml:space="preserve"> </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162964B4" w14:textId="77777777" w:rsidR="00625FB2" w:rsidRPr="00D722DC" w:rsidRDefault="00625FB2" w:rsidP="00625FB2">
            <w:pPr>
              <w:pStyle w:val="slovn"/>
              <w:numPr>
                <w:ilvl w:val="0"/>
                <w:numId w:val="0"/>
              </w:numPr>
              <w:tabs>
                <w:tab w:val="num" w:pos="567"/>
              </w:tabs>
              <w:spacing w:after="0" w:line="280" w:lineRule="atLeast"/>
              <w:jc w:val="center"/>
              <w:rPr>
                <w:b/>
                <w:sz w:val="22"/>
                <w:szCs w:val="22"/>
              </w:rPr>
            </w:pPr>
            <w:r>
              <w:rPr>
                <w:b/>
                <w:sz w:val="22"/>
                <w:szCs w:val="22"/>
              </w:rPr>
              <w:t>AbbVie s.r.o.</w:t>
            </w:r>
          </w:p>
          <w:p w14:paraId="538669C7" w14:textId="4EFFDD43" w:rsidR="004A45B0" w:rsidRDefault="00197C58" w:rsidP="00625FB2">
            <w:pPr>
              <w:pStyle w:val="slovn"/>
              <w:numPr>
                <w:ilvl w:val="0"/>
                <w:numId w:val="0"/>
              </w:numPr>
              <w:tabs>
                <w:tab w:val="num" w:pos="567"/>
              </w:tabs>
              <w:spacing w:after="0" w:line="280" w:lineRule="atLeast"/>
              <w:jc w:val="center"/>
              <w:rPr>
                <w:sz w:val="22"/>
                <w:szCs w:val="22"/>
              </w:rPr>
            </w:pPr>
            <w:r>
              <w:rPr>
                <w:sz w:val="22"/>
                <w:szCs w:val="22"/>
              </w:rPr>
              <w:t>XXX</w:t>
            </w:r>
          </w:p>
          <w:p w14:paraId="62F78FB8" w14:textId="7A87A3D2" w:rsidR="00C747DD" w:rsidRPr="00D722DC" w:rsidRDefault="00197C58" w:rsidP="00625FB2">
            <w:pPr>
              <w:pStyle w:val="slovn"/>
              <w:numPr>
                <w:ilvl w:val="0"/>
                <w:numId w:val="0"/>
              </w:numPr>
              <w:tabs>
                <w:tab w:val="num" w:pos="567"/>
              </w:tabs>
              <w:spacing w:after="0" w:line="280" w:lineRule="atLeast"/>
              <w:jc w:val="center"/>
              <w:rPr>
                <w:sz w:val="22"/>
                <w:szCs w:val="22"/>
              </w:rPr>
            </w:pPr>
            <w:r>
              <w:rPr>
                <w:sz w:val="22"/>
                <w:szCs w:val="22"/>
              </w:rPr>
              <w:t xml:space="preserve">Finanční ředitelka, </w:t>
            </w:r>
            <w:proofErr w:type="spellStart"/>
            <w:r>
              <w:rPr>
                <w:sz w:val="22"/>
                <w:szCs w:val="22"/>
              </w:rPr>
              <w:t>Abbvie</w:t>
            </w:r>
            <w:proofErr w:type="spellEnd"/>
            <w:r>
              <w:rPr>
                <w:sz w:val="22"/>
                <w:szCs w:val="22"/>
              </w:rPr>
              <w:t xml:space="preserve"> s.r.o.</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4" w14:textId="7BAFD635" w:rsidR="00AA34DF" w:rsidRDefault="00074676" w:rsidP="001B05C6">
      <w:pPr>
        <w:jc w:val="center"/>
        <w:rPr>
          <w:b/>
        </w:rPr>
      </w:pPr>
      <w:r w:rsidRPr="00074676">
        <w:rPr>
          <w:b/>
        </w:rPr>
        <w:t>Specifikace Zboží a kupní ceny</w:t>
      </w:r>
    </w:p>
    <w:p w14:paraId="23B9BA66" w14:textId="27309A5F" w:rsidR="001B05C6" w:rsidRDefault="001B05C6" w:rsidP="001B05C6">
      <w:pPr>
        <w:jc w:val="center"/>
        <w:rPr>
          <w:b/>
        </w:rPr>
      </w:pPr>
    </w:p>
    <w:tbl>
      <w:tblPr>
        <w:tblStyle w:val="Mkatabulky"/>
        <w:tblW w:w="0" w:type="auto"/>
        <w:tblLook w:val="04A0" w:firstRow="1" w:lastRow="0" w:firstColumn="1" w:lastColumn="0" w:noHBand="0" w:noVBand="1"/>
      </w:tblPr>
      <w:tblGrid>
        <w:gridCol w:w="774"/>
        <w:gridCol w:w="1149"/>
        <w:gridCol w:w="827"/>
        <w:gridCol w:w="674"/>
        <w:gridCol w:w="1748"/>
        <w:gridCol w:w="1846"/>
        <w:gridCol w:w="1609"/>
        <w:gridCol w:w="1328"/>
        <w:gridCol w:w="1016"/>
        <w:gridCol w:w="873"/>
        <w:gridCol w:w="1008"/>
        <w:gridCol w:w="823"/>
        <w:gridCol w:w="1713"/>
      </w:tblGrid>
      <w:tr w:rsidR="001B05C6" w:rsidRPr="001B05C6" w14:paraId="1EE23E88" w14:textId="77777777" w:rsidTr="001B05C6">
        <w:trPr>
          <w:trHeight w:val="255"/>
        </w:trPr>
        <w:tc>
          <w:tcPr>
            <w:tcW w:w="28201" w:type="dxa"/>
            <w:gridSpan w:val="13"/>
            <w:noWrap/>
            <w:hideMark/>
          </w:tcPr>
          <w:p w14:paraId="60790C85" w14:textId="77777777" w:rsidR="001B05C6" w:rsidRPr="001B05C6" w:rsidRDefault="001B05C6" w:rsidP="001B05C6">
            <w:pPr>
              <w:jc w:val="center"/>
              <w:rPr>
                <w:b/>
                <w:bCs/>
              </w:rPr>
            </w:pPr>
            <w:proofErr w:type="spellStart"/>
            <w:proofErr w:type="gramStart"/>
            <w:r w:rsidRPr="001B05C6">
              <w:rPr>
                <w:b/>
                <w:bCs/>
              </w:rPr>
              <w:t>Risankizumab</w:t>
            </w:r>
            <w:proofErr w:type="spellEnd"/>
            <w:r w:rsidRPr="001B05C6">
              <w:rPr>
                <w:b/>
                <w:bCs/>
              </w:rPr>
              <w:t xml:space="preserve">  -</w:t>
            </w:r>
            <w:proofErr w:type="gramEnd"/>
            <w:r w:rsidRPr="001B05C6">
              <w:rPr>
                <w:b/>
                <w:bCs/>
              </w:rPr>
              <w:t xml:space="preserve"> 4 roky</w:t>
            </w:r>
          </w:p>
        </w:tc>
      </w:tr>
      <w:tr w:rsidR="001B05C6" w:rsidRPr="001B05C6" w14:paraId="25385013" w14:textId="77777777" w:rsidTr="001B05C6">
        <w:trPr>
          <w:trHeight w:val="255"/>
        </w:trPr>
        <w:tc>
          <w:tcPr>
            <w:tcW w:w="1342" w:type="dxa"/>
            <w:noWrap/>
            <w:hideMark/>
          </w:tcPr>
          <w:p w14:paraId="6885B6AE" w14:textId="77777777" w:rsidR="001B05C6" w:rsidRPr="001B05C6" w:rsidRDefault="001B05C6" w:rsidP="001B05C6">
            <w:pPr>
              <w:jc w:val="center"/>
            </w:pPr>
            <w:r w:rsidRPr="001B05C6">
              <w:t> </w:t>
            </w:r>
          </w:p>
        </w:tc>
        <w:tc>
          <w:tcPr>
            <w:tcW w:w="2099" w:type="dxa"/>
            <w:noWrap/>
            <w:hideMark/>
          </w:tcPr>
          <w:p w14:paraId="6CBE11CB" w14:textId="77777777" w:rsidR="001B05C6" w:rsidRPr="001B05C6" w:rsidRDefault="001B05C6" w:rsidP="001B05C6">
            <w:pPr>
              <w:jc w:val="center"/>
            </w:pPr>
            <w:r w:rsidRPr="001B05C6">
              <w:t> </w:t>
            </w:r>
          </w:p>
        </w:tc>
        <w:tc>
          <w:tcPr>
            <w:tcW w:w="1449" w:type="dxa"/>
            <w:noWrap/>
            <w:hideMark/>
          </w:tcPr>
          <w:p w14:paraId="52BD77C1" w14:textId="77777777" w:rsidR="001B05C6" w:rsidRPr="001B05C6" w:rsidRDefault="001B05C6" w:rsidP="001B05C6">
            <w:pPr>
              <w:jc w:val="center"/>
            </w:pPr>
            <w:r w:rsidRPr="001B05C6">
              <w:t> </w:t>
            </w:r>
          </w:p>
        </w:tc>
        <w:tc>
          <w:tcPr>
            <w:tcW w:w="1141" w:type="dxa"/>
            <w:noWrap/>
            <w:hideMark/>
          </w:tcPr>
          <w:p w14:paraId="49A80D3E" w14:textId="77777777" w:rsidR="001B05C6" w:rsidRPr="001B05C6" w:rsidRDefault="001B05C6" w:rsidP="001B05C6">
            <w:pPr>
              <w:jc w:val="center"/>
            </w:pPr>
            <w:r w:rsidRPr="001B05C6">
              <w:t> </w:t>
            </w:r>
          </w:p>
        </w:tc>
        <w:tc>
          <w:tcPr>
            <w:tcW w:w="3308" w:type="dxa"/>
            <w:noWrap/>
            <w:hideMark/>
          </w:tcPr>
          <w:p w14:paraId="4F10CD1A" w14:textId="77777777" w:rsidR="001B05C6" w:rsidRPr="001B05C6" w:rsidRDefault="001B05C6" w:rsidP="001B05C6">
            <w:pPr>
              <w:jc w:val="center"/>
            </w:pPr>
            <w:r w:rsidRPr="001B05C6">
              <w:t> </w:t>
            </w:r>
          </w:p>
        </w:tc>
        <w:tc>
          <w:tcPr>
            <w:tcW w:w="3506" w:type="dxa"/>
            <w:noWrap/>
            <w:hideMark/>
          </w:tcPr>
          <w:p w14:paraId="52994685" w14:textId="77777777" w:rsidR="001B05C6" w:rsidRPr="001B05C6" w:rsidRDefault="001B05C6" w:rsidP="001B05C6">
            <w:pPr>
              <w:jc w:val="center"/>
            </w:pPr>
            <w:r w:rsidRPr="001B05C6">
              <w:t> </w:t>
            </w:r>
          </w:p>
        </w:tc>
        <w:tc>
          <w:tcPr>
            <w:tcW w:w="3028" w:type="dxa"/>
            <w:noWrap/>
            <w:hideMark/>
          </w:tcPr>
          <w:p w14:paraId="5D33419E" w14:textId="77777777" w:rsidR="001B05C6" w:rsidRPr="001B05C6" w:rsidRDefault="001B05C6" w:rsidP="001B05C6">
            <w:pPr>
              <w:jc w:val="center"/>
            </w:pPr>
            <w:r w:rsidRPr="001B05C6">
              <w:t> </w:t>
            </w:r>
          </w:p>
        </w:tc>
        <w:tc>
          <w:tcPr>
            <w:tcW w:w="2461" w:type="dxa"/>
            <w:noWrap/>
            <w:hideMark/>
          </w:tcPr>
          <w:p w14:paraId="12693A6B" w14:textId="77777777" w:rsidR="001B05C6" w:rsidRPr="001B05C6" w:rsidRDefault="001B05C6" w:rsidP="001B05C6">
            <w:pPr>
              <w:jc w:val="center"/>
            </w:pPr>
            <w:r w:rsidRPr="001B05C6">
              <w:t> </w:t>
            </w:r>
          </w:p>
        </w:tc>
        <w:tc>
          <w:tcPr>
            <w:tcW w:w="1831" w:type="dxa"/>
            <w:noWrap/>
            <w:hideMark/>
          </w:tcPr>
          <w:p w14:paraId="69F2E38D" w14:textId="77777777" w:rsidR="001B05C6" w:rsidRPr="001B05C6" w:rsidRDefault="001B05C6" w:rsidP="001B05C6">
            <w:pPr>
              <w:jc w:val="center"/>
            </w:pPr>
            <w:r w:rsidRPr="001B05C6">
              <w:t> </w:t>
            </w:r>
          </w:p>
        </w:tc>
        <w:tc>
          <w:tcPr>
            <w:tcW w:w="1542" w:type="dxa"/>
            <w:noWrap/>
            <w:hideMark/>
          </w:tcPr>
          <w:p w14:paraId="26107968" w14:textId="77777777" w:rsidR="001B05C6" w:rsidRPr="001B05C6" w:rsidRDefault="001B05C6" w:rsidP="001B05C6">
            <w:pPr>
              <w:jc w:val="center"/>
            </w:pPr>
            <w:r w:rsidRPr="001B05C6">
              <w:t> </w:t>
            </w:r>
          </w:p>
        </w:tc>
        <w:tc>
          <w:tcPr>
            <w:tcW w:w="1815" w:type="dxa"/>
            <w:noWrap/>
            <w:hideMark/>
          </w:tcPr>
          <w:p w14:paraId="610E54CF" w14:textId="77777777" w:rsidR="001B05C6" w:rsidRPr="001B05C6" w:rsidRDefault="001B05C6" w:rsidP="001B05C6">
            <w:pPr>
              <w:jc w:val="center"/>
            </w:pPr>
            <w:r w:rsidRPr="001B05C6">
              <w:t> </w:t>
            </w:r>
          </w:p>
        </w:tc>
        <w:tc>
          <w:tcPr>
            <w:tcW w:w="1441" w:type="dxa"/>
            <w:noWrap/>
            <w:hideMark/>
          </w:tcPr>
          <w:p w14:paraId="7DD874B8" w14:textId="77777777" w:rsidR="001B05C6" w:rsidRPr="001B05C6" w:rsidRDefault="001B05C6" w:rsidP="001B05C6">
            <w:pPr>
              <w:jc w:val="center"/>
            </w:pPr>
            <w:r w:rsidRPr="001B05C6">
              <w:t> </w:t>
            </w:r>
          </w:p>
        </w:tc>
        <w:tc>
          <w:tcPr>
            <w:tcW w:w="3238" w:type="dxa"/>
            <w:noWrap/>
            <w:hideMark/>
          </w:tcPr>
          <w:p w14:paraId="7402A9C8" w14:textId="77777777" w:rsidR="001B05C6" w:rsidRPr="001B05C6" w:rsidRDefault="001B05C6" w:rsidP="001B05C6">
            <w:pPr>
              <w:jc w:val="center"/>
            </w:pPr>
            <w:r w:rsidRPr="001B05C6">
              <w:t> </w:t>
            </w:r>
          </w:p>
        </w:tc>
      </w:tr>
      <w:tr w:rsidR="001B05C6" w:rsidRPr="001B05C6" w14:paraId="6C0A6EF6" w14:textId="77777777" w:rsidTr="001B05C6">
        <w:trPr>
          <w:trHeight w:val="765"/>
        </w:trPr>
        <w:tc>
          <w:tcPr>
            <w:tcW w:w="1342" w:type="dxa"/>
            <w:noWrap/>
            <w:hideMark/>
          </w:tcPr>
          <w:p w14:paraId="7C64AA76" w14:textId="77777777" w:rsidR="001B05C6" w:rsidRPr="001B05C6" w:rsidRDefault="001B05C6" w:rsidP="001B05C6">
            <w:pPr>
              <w:jc w:val="center"/>
              <w:rPr>
                <w:b/>
                <w:bCs/>
              </w:rPr>
            </w:pPr>
            <w:r w:rsidRPr="001B05C6">
              <w:rPr>
                <w:b/>
                <w:bCs/>
              </w:rPr>
              <w:t>ATC</w:t>
            </w:r>
          </w:p>
        </w:tc>
        <w:tc>
          <w:tcPr>
            <w:tcW w:w="2099" w:type="dxa"/>
            <w:noWrap/>
            <w:hideMark/>
          </w:tcPr>
          <w:p w14:paraId="3CEC6E99" w14:textId="77777777" w:rsidR="001B05C6" w:rsidRPr="001B05C6" w:rsidRDefault="001B05C6" w:rsidP="001B05C6">
            <w:pPr>
              <w:jc w:val="center"/>
              <w:rPr>
                <w:b/>
                <w:bCs/>
              </w:rPr>
            </w:pPr>
            <w:r w:rsidRPr="001B05C6">
              <w:rPr>
                <w:b/>
                <w:bCs/>
              </w:rPr>
              <w:t>Účinná látka</w:t>
            </w:r>
          </w:p>
        </w:tc>
        <w:tc>
          <w:tcPr>
            <w:tcW w:w="1449" w:type="dxa"/>
            <w:noWrap/>
            <w:hideMark/>
          </w:tcPr>
          <w:p w14:paraId="555BB5A1" w14:textId="77777777" w:rsidR="001B05C6" w:rsidRPr="001B05C6" w:rsidRDefault="001B05C6" w:rsidP="001B05C6">
            <w:pPr>
              <w:jc w:val="center"/>
              <w:rPr>
                <w:b/>
                <w:bCs/>
              </w:rPr>
            </w:pPr>
            <w:r w:rsidRPr="001B05C6">
              <w:rPr>
                <w:b/>
                <w:bCs/>
              </w:rPr>
              <w:t>Kód SÚKL</w:t>
            </w:r>
          </w:p>
        </w:tc>
        <w:tc>
          <w:tcPr>
            <w:tcW w:w="1141" w:type="dxa"/>
            <w:noWrap/>
            <w:hideMark/>
          </w:tcPr>
          <w:p w14:paraId="3A53B75B" w14:textId="77777777" w:rsidR="001B05C6" w:rsidRPr="001B05C6" w:rsidRDefault="001B05C6" w:rsidP="001B05C6">
            <w:pPr>
              <w:jc w:val="center"/>
              <w:rPr>
                <w:b/>
                <w:bCs/>
              </w:rPr>
            </w:pPr>
            <w:r w:rsidRPr="001B05C6">
              <w:rPr>
                <w:b/>
                <w:bCs/>
              </w:rPr>
              <w:t>Název</w:t>
            </w:r>
          </w:p>
        </w:tc>
        <w:tc>
          <w:tcPr>
            <w:tcW w:w="3308" w:type="dxa"/>
            <w:noWrap/>
            <w:hideMark/>
          </w:tcPr>
          <w:p w14:paraId="38ADFE0B" w14:textId="77777777" w:rsidR="001B05C6" w:rsidRPr="001B05C6" w:rsidRDefault="001B05C6" w:rsidP="001B05C6">
            <w:pPr>
              <w:jc w:val="center"/>
              <w:rPr>
                <w:b/>
                <w:bCs/>
              </w:rPr>
            </w:pPr>
            <w:r w:rsidRPr="001B05C6">
              <w:rPr>
                <w:b/>
                <w:bCs/>
              </w:rPr>
              <w:t>Síla a léková forma</w:t>
            </w:r>
          </w:p>
        </w:tc>
        <w:tc>
          <w:tcPr>
            <w:tcW w:w="3506" w:type="dxa"/>
            <w:noWrap/>
            <w:hideMark/>
          </w:tcPr>
          <w:p w14:paraId="05F7B9A0" w14:textId="77777777" w:rsidR="001B05C6" w:rsidRPr="001B05C6" w:rsidRDefault="001B05C6" w:rsidP="001B05C6">
            <w:pPr>
              <w:jc w:val="center"/>
              <w:rPr>
                <w:b/>
                <w:bCs/>
              </w:rPr>
            </w:pPr>
            <w:r w:rsidRPr="001B05C6">
              <w:rPr>
                <w:b/>
                <w:bCs/>
              </w:rPr>
              <w:t>Velikost balení</w:t>
            </w:r>
          </w:p>
        </w:tc>
        <w:tc>
          <w:tcPr>
            <w:tcW w:w="3028" w:type="dxa"/>
            <w:hideMark/>
          </w:tcPr>
          <w:p w14:paraId="0B98E97F" w14:textId="77777777" w:rsidR="001B05C6" w:rsidRPr="001B05C6" w:rsidRDefault="001B05C6" w:rsidP="001B05C6">
            <w:pPr>
              <w:jc w:val="center"/>
              <w:rPr>
                <w:b/>
                <w:bCs/>
              </w:rPr>
            </w:pPr>
            <w:r w:rsidRPr="001B05C6">
              <w:rPr>
                <w:b/>
                <w:bCs/>
              </w:rPr>
              <w:t>Způsob dodání (přímo/distributor)</w:t>
            </w:r>
          </w:p>
        </w:tc>
        <w:tc>
          <w:tcPr>
            <w:tcW w:w="2461" w:type="dxa"/>
            <w:hideMark/>
          </w:tcPr>
          <w:p w14:paraId="044273B9" w14:textId="77777777" w:rsidR="001B05C6" w:rsidRPr="001B05C6" w:rsidRDefault="001B05C6" w:rsidP="001B05C6">
            <w:pPr>
              <w:jc w:val="center"/>
              <w:rPr>
                <w:b/>
                <w:bCs/>
              </w:rPr>
            </w:pPr>
            <w:r w:rsidRPr="001B05C6">
              <w:rPr>
                <w:b/>
                <w:bCs/>
              </w:rPr>
              <w:t>Úhrada z veřejného zdravotního pojištění*</w:t>
            </w:r>
          </w:p>
        </w:tc>
        <w:tc>
          <w:tcPr>
            <w:tcW w:w="1831" w:type="dxa"/>
            <w:hideMark/>
          </w:tcPr>
          <w:p w14:paraId="045E37BC" w14:textId="77777777" w:rsidR="001B05C6" w:rsidRPr="001B05C6" w:rsidRDefault="001B05C6" w:rsidP="001B05C6">
            <w:pPr>
              <w:jc w:val="center"/>
              <w:rPr>
                <w:b/>
                <w:bCs/>
              </w:rPr>
            </w:pPr>
            <w:r w:rsidRPr="001B05C6">
              <w:rPr>
                <w:b/>
                <w:bCs/>
              </w:rPr>
              <w:t>Cena 1 balení (Kč bez DPH)</w:t>
            </w:r>
          </w:p>
        </w:tc>
        <w:tc>
          <w:tcPr>
            <w:tcW w:w="1542" w:type="dxa"/>
            <w:hideMark/>
          </w:tcPr>
          <w:p w14:paraId="2D8CCB44" w14:textId="77777777" w:rsidR="001B05C6" w:rsidRPr="001B05C6" w:rsidRDefault="001B05C6" w:rsidP="001B05C6">
            <w:pPr>
              <w:jc w:val="center"/>
              <w:rPr>
                <w:b/>
                <w:bCs/>
              </w:rPr>
            </w:pPr>
            <w:proofErr w:type="gramStart"/>
            <w:r w:rsidRPr="001B05C6">
              <w:rPr>
                <w:b/>
                <w:bCs/>
              </w:rPr>
              <w:t>10%</w:t>
            </w:r>
            <w:proofErr w:type="gramEnd"/>
            <w:r w:rsidRPr="001B05C6">
              <w:rPr>
                <w:b/>
                <w:bCs/>
              </w:rPr>
              <w:t xml:space="preserve"> DPH</w:t>
            </w:r>
          </w:p>
        </w:tc>
        <w:tc>
          <w:tcPr>
            <w:tcW w:w="1815" w:type="dxa"/>
            <w:hideMark/>
          </w:tcPr>
          <w:p w14:paraId="0D5EAA60" w14:textId="77777777" w:rsidR="001B05C6" w:rsidRPr="001B05C6" w:rsidRDefault="001B05C6" w:rsidP="001B05C6">
            <w:pPr>
              <w:jc w:val="center"/>
              <w:rPr>
                <w:b/>
                <w:bCs/>
              </w:rPr>
            </w:pPr>
            <w:r w:rsidRPr="001B05C6">
              <w:rPr>
                <w:b/>
                <w:bCs/>
              </w:rPr>
              <w:t>Cena 1 balení (Kč vč. DPH)</w:t>
            </w:r>
          </w:p>
        </w:tc>
        <w:tc>
          <w:tcPr>
            <w:tcW w:w="1441" w:type="dxa"/>
            <w:hideMark/>
          </w:tcPr>
          <w:p w14:paraId="03BAE0F9" w14:textId="77777777" w:rsidR="001B05C6" w:rsidRPr="001B05C6" w:rsidRDefault="001B05C6" w:rsidP="001B05C6">
            <w:pPr>
              <w:jc w:val="center"/>
              <w:rPr>
                <w:b/>
                <w:bCs/>
              </w:rPr>
            </w:pPr>
            <w:r w:rsidRPr="001B05C6">
              <w:rPr>
                <w:b/>
                <w:bCs/>
              </w:rPr>
              <w:t>Počet balení</w:t>
            </w:r>
          </w:p>
        </w:tc>
        <w:tc>
          <w:tcPr>
            <w:tcW w:w="3238" w:type="dxa"/>
            <w:hideMark/>
          </w:tcPr>
          <w:p w14:paraId="3355577F" w14:textId="77777777" w:rsidR="001B05C6" w:rsidRPr="001B05C6" w:rsidRDefault="001B05C6" w:rsidP="001B05C6">
            <w:pPr>
              <w:jc w:val="center"/>
              <w:rPr>
                <w:b/>
                <w:bCs/>
              </w:rPr>
            </w:pPr>
            <w:r w:rsidRPr="001B05C6">
              <w:rPr>
                <w:b/>
                <w:bCs/>
              </w:rPr>
              <w:t>Nabídková cena za daný počet balení (Kč bez DPH)</w:t>
            </w:r>
          </w:p>
        </w:tc>
      </w:tr>
      <w:tr w:rsidR="001B05C6" w:rsidRPr="001B05C6" w14:paraId="0639C6BB" w14:textId="77777777" w:rsidTr="001B05C6">
        <w:trPr>
          <w:trHeight w:val="255"/>
        </w:trPr>
        <w:tc>
          <w:tcPr>
            <w:tcW w:w="1342" w:type="dxa"/>
            <w:noWrap/>
            <w:hideMark/>
          </w:tcPr>
          <w:p w14:paraId="674FCCAD" w14:textId="77777777" w:rsidR="001B05C6" w:rsidRPr="001B05C6" w:rsidRDefault="00197C58">
            <w:pPr>
              <w:jc w:val="center"/>
              <w:rPr>
                <w:b/>
                <w:bCs/>
              </w:rPr>
            </w:pPr>
            <w:hyperlink r:id="rId14" w:history="1">
              <w:r w:rsidR="001B05C6" w:rsidRPr="001B05C6">
                <w:rPr>
                  <w:rStyle w:val="Hypertextovodkaz"/>
                  <w:b/>
                  <w:bCs/>
                </w:rPr>
                <w:t>L04AC18</w:t>
              </w:r>
            </w:hyperlink>
          </w:p>
        </w:tc>
        <w:tc>
          <w:tcPr>
            <w:tcW w:w="2099" w:type="dxa"/>
            <w:noWrap/>
            <w:hideMark/>
          </w:tcPr>
          <w:p w14:paraId="7B6BE5AE" w14:textId="77777777" w:rsidR="001B05C6" w:rsidRPr="001B05C6" w:rsidRDefault="001B05C6">
            <w:pPr>
              <w:jc w:val="center"/>
              <w:rPr>
                <w:b/>
                <w:bCs/>
              </w:rPr>
            </w:pPr>
            <w:proofErr w:type="spellStart"/>
            <w:r w:rsidRPr="001B05C6">
              <w:rPr>
                <w:b/>
                <w:bCs/>
              </w:rPr>
              <w:t>Risankizumab</w:t>
            </w:r>
            <w:proofErr w:type="spellEnd"/>
          </w:p>
        </w:tc>
        <w:tc>
          <w:tcPr>
            <w:tcW w:w="1449" w:type="dxa"/>
            <w:noWrap/>
            <w:hideMark/>
          </w:tcPr>
          <w:p w14:paraId="7557466F" w14:textId="77777777" w:rsidR="001B05C6" w:rsidRPr="001B05C6" w:rsidRDefault="001B05C6" w:rsidP="001B05C6">
            <w:pPr>
              <w:jc w:val="center"/>
            </w:pPr>
            <w:r w:rsidRPr="001B05C6">
              <w:t>0238450</w:t>
            </w:r>
          </w:p>
        </w:tc>
        <w:tc>
          <w:tcPr>
            <w:tcW w:w="1141" w:type="dxa"/>
            <w:noWrap/>
            <w:hideMark/>
          </w:tcPr>
          <w:p w14:paraId="303604D7" w14:textId="77777777" w:rsidR="001B05C6" w:rsidRPr="001B05C6" w:rsidRDefault="001B05C6" w:rsidP="001B05C6">
            <w:pPr>
              <w:jc w:val="center"/>
            </w:pPr>
            <w:r w:rsidRPr="001B05C6">
              <w:t>SKYRIZI</w:t>
            </w:r>
          </w:p>
        </w:tc>
        <w:tc>
          <w:tcPr>
            <w:tcW w:w="3308" w:type="dxa"/>
            <w:noWrap/>
            <w:hideMark/>
          </w:tcPr>
          <w:p w14:paraId="236470F7" w14:textId="77777777" w:rsidR="001B05C6" w:rsidRPr="001B05C6" w:rsidRDefault="001B05C6" w:rsidP="001B05C6">
            <w:pPr>
              <w:jc w:val="center"/>
            </w:pPr>
            <w:r w:rsidRPr="001B05C6">
              <w:t>75MG INJ SOL 2x0,83ML</w:t>
            </w:r>
          </w:p>
        </w:tc>
        <w:tc>
          <w:tcPr>
            <w:tcW w:w="3506" w:type="dxa"/>
            <w:noWrap/>
            <w:hideMark/>
          </w:tcPr>
          <w:p w14:paraId="5F4E8ACC" w14:textId="77777777" w:rsidR="001B05C6" w:rsidRPr="001B05C6" w:rsidRDefault="001B05C6" w:rsidP="001B05C6">
            <w:pPr>
              <w:jc w:val="center"/>
              <w:rPr>
                <w:b/>
                <w:bCs/>
              </w:rPr>
            </w:pPr>
            <w:r w:rsidRPr="001B05C6">
              <w:rPr>
                <w:b/>
                <w:bCs/>
              </w:rPr>
              <w:t>75MG INJ SOL 2X0,83ML</w:t>
            </w:r>
          </w:p>
        </w:tc>
        <w:tc>
          <w:tcPr>
            <w:tcW w:w="3028" w:type="dxa"/>
            <w:noWrap/>
            <w:hideMark/>
          </w:tcPr>
          <w:p w14:paraId="632F907E" w14:textId="77777777" w:rsidR="001B05C6" w:rsidRPr="001B05C6" w:rsidRDefault="001B05C6" w:rsidP="001B05C6">
            <w:pPr>
              <w:jc w:val="center"/>
              <w:rPr>
                <w:b/>
                <w:bCs/>
              </w:rPr>
            </w:pPr>
            <w:r w:rsidRPr="001B05C6">
              <w:rPr>
                <w:b/>
                <w:bCs/>
              </w:rPr>
              <w:t>přímo</w:t>
            </w:r>
          </w:p>
        </w:tc>
        <w:tc>
          <w:tcPr>
            <w:tcW w:w="2461" w:type="dxa"/>
            <w:noWrap/>
            <w:hideMark/>
          </w:tcPr>
          <w:p w14:paraId="32C7308E" w14:textId="77777777" w:rsidR="001B05C6" w:rsidRPr="001B05C6" w:rsidRDefault="001B05C6" w:rsidP="001B05C6">
            <w:pPr>
              <w:jc w:val="center"/>
              <w:rPr>
                <w:b/>
                <w:bCs/>
              </w:rPr>
            </w:pPr>
            <w:r w:rsidRPr="001B05C6">
              <w:rPr>
                <w:b/>
                <w:bCs/>
              </w:rPr>
              <w:t>70132,37</w:t>
            </w:r>
          </w:p>
        </w:tc>
        <w:tc>
          <w:tcPr>
            <w:tcW w:w="1831" w:type="dxa"/>
            <w:noWrap/>
            <w:hideMark/>
          </w:tcPr>
          <w:p w14:paraId="1E9E77F4" w14:textId="77777777" w:rsidR="001B05C6" w:rsidRPr="001B05C6" w:rsidRDefault="001B05C6" w:rsidP="001B05C6">
            <w:pPr>
              <w:jc w:val="center"/>
            </w:pPr>
            <w:r w:rsidRPr="001B05C6">
              <w:t>59272,73</w:t>
            </w:r>
          </w:p>
        </w:tc>
        <w:tc>
          <w:tcPr>
            <w:tcW w:w="1542" w:type="dxa"/>
            <w:noWrap/>
            <w:hideMark/>
          </w:tcPr>
          <w:p w14:paraId="406C803E" w14:textId="77777777" w:rsidR="001B05C6" w:rsidRPr="001B05C6" w:rsidRDefault="001B05C6" w:rsidP="001B05C6">
            <w:pPr>
              <w:jc w:val="center"/>
            </w:pPr>
            <w:r w:rsidRPr="001B05C6">
              <w:t>5927,27</w:t>
            </w:r>
          </w:p>
        </w:tc>
        <w:tc>
          <w:tcPr>
            <w:tcW w:w="1815" w:type="dxa"/>
            <w:noWrap/>
            <w:hideMark/>
          </w:tcPr>
          <w:p w14:paraId="1D8091A2" w14:textId="77777777" w:rsidR="001B05C6" w:rsidRPr="001B05C6" w:rsidRDefault="001B05C6" w:rsidP="001B05C6">
            <w:pPr>
              <w:jc w:val="center"/>
            </w:pPr>
            <w:r w:rsidRPr="001B05C6">
              <w:t>65200,00</w:t>
            </w:r>
          </w:p>
        </w:tc>
        <w:tc>
          <w:tcPr>
            <w:tcW w:w="1441" w:type="dxa"/>
            <w:noWrap/>
            <w:hideMark/>
          </w:tcPr>
          <w:p w14:paraId="685FB5C9" w14:textId="77777777" w:rsidR="001B05C6" w:rsidRPr="001B05C6" w:rsidRDefault="001B05C6" w:rsidP="001B05C6">
            <w:pPr>
              <w:jc w:val="center"/>
            </w:pPr>
            <w:r w:rsidRPr="001B05C6">
              <w:t>150</w:t>
            </w:r>
          </w:p>
        </w:tc>
        <w:tc>
          <w:tcPr>
            <w:tcW w:w="3238" w:type="dxa"/>
            <w:hideMark/>
          </w:tcPr>
          <w:p w14:paraId="3ACDDA3A" w14:textId="77777777" w:rsidR="001B05C6" w:rsidRPr="001B05C6" w:rsidRDefault="001B05C6" w:rsidP="001B05C6">
            <w:pPr>
              <w:jc w:val="center"/>
            </w:pPr>
            <w:r w:rsidRPr="001B05C6">
              <w:t>8 890 909,50</w:t>
            </w:r>
          </w:p>
        </w:tc>
      </w:tr>
      <w:tr w:rsidR="001B05C6" w:rsidRPr="001B05C6" w14:paraId="4B900EE9" w14:textId="77777777" w:rsidTr="001B05C6">
        <w:trPr>
          <w:trHeight w:val="255"/>
        </w:trPr>
        <w:tc>
          <w:tcPr>
            <w:tcW w:w="1342" w:type="dxa"/>
            <w:noWrap/>
            <w:hideMark/>
          </w:tcPr>
          <w:p w14:paraId="7189975F" w14:textId="77777777" w:rsidR="001B05C6" w:rsidRPr="001B05C6" w:rsidRDefault="001B05C6">
            <w:pPr>
              <w:jc w:val="center"/>
              <w:rPr>
                <w:b/>
                <w:bCs/>
              </w:rPr>
            </w:pPr>
            <w:r w:rsidRPr="001B05C6">
              <w:rPr>
                <w:b/>
                <w:bCs/>
              </w:rPr>
              <w:t> </w:t>
            </w:r>
          </w:p>
        </w:tc>
        <w:tc>
          <w:tcPr>
            <w:tcW w:w="2099" w:type="dxa"/>
            <w:noWrap/>
            <w:hideMark/>
          </w:tcPr>
          <w:p w14:paraId="4681147E" w14:textId="77777777" w:rsidR="001B05C6" w:rsidRPr="001B05C6" w:rsidRDefault="001B05C6">
            <w:pPr>
              <w:jc w:val="center"/>
              <w:rPr>
                <w:b/>
                <w:bCs/>
              </w:rPr>
            </w:pPr>
            <w:r w:rsidRPr="001B05C6">
              <w:rPr>
                <w:b/>
                <w:bCs/>
              </w:rPr>
              <w:t> </w:t>
            </w:r>
          </w:p>
        </w:tc>
        <w:tc>
          <w:tcPr>
            <w:tcW w:w="1449" w:type="dxa"/>
            <w:noWrap/>
            <w:hideMark/>
          </w:tcPr>
          <w:p w14:paraId="60FBFEB6" w14:textId="77777777" w:rsidR="001B05C6" w:rsidRPr="001B05C6" w:rsidRDefault="001B05C6" w:rsidP="001B05C6">
            <w:pPr>
              <w:jc w:val="center"/>
            </w:pPr>
            <w:r w:rsidRPr="001B05C6">
              <w:t> </w:t>
            </w:r>
          </w:p>
        </w:tc>
        <w:tc>
          <w:tcPr>
            <w:tcW w:w="1141" w:type="dxa"/>
            <w:noWrap/>
            <w:hideMark/>
          </w:tcPr>
          <w:p w14:paraId="3E677D42" w14:textId="77777777" w:rsidR="001B05C6" w:rsidRPr="001B05C6" w:rsidRDefault="001B05C6" w:rsidP="001B05C6">
            <w:pPr>
              <w:jc w:val="center"/>
            </w:pPr>
            <w:r w:rsidRPr="001B05C6">
              <w:t> </w:t>
            </w:r>
          </w:p>
        </w:tc>
        <w:tc>
          <w:tcPr>
            <w:tcW w:w="3308" w:type="dxa"/>
            <w:noWrap/>
            <w:hideMark/>
          </w:tcPr>
          <w:p w14:paraId="233D3175" w14:textId="77777777" w:rsidR="001B05C6" w:rsidRPr="001B05C6" w:rsidRDefault="001B05C6" w:rsidP="001B05C6">
            <w:pPr>
              <w:jc w:val="center"/>
            </w:pPr>
            <w:r w:rsidRPr="001B05C6">
              <w:t> </w:t>
            </w:r>
          </w:p>
        </w:tc>
        <w:tc>
          <w:tcPr>
            <w:tcW w:w="3506" w:type="dxa"/>
            <w:noWrap/>
            <w:hideMark/>
          </w:tcPr>
          <w:p w14:paraId="7D9F1F3B" w14:textId="77777777" w:rsidR="001B05C6" w:rsidRPr="001B05C6" w:rsidRDefault="001B05C6" w:rsidP="001B05C6">
            <w:pPr>
              <w:jc w:val="center"/>
              <w:rPr>
                <w:b/>
                <w:bCs/>
              </w:rPr>
            </w:pPr>
            <w:r w:rsidRPr="001B05C6">
              <w:rPr>
                <w:b/>
                <w:bCs/>
              </w:rPr>
              <w:t> </w:t>
            </w:r>
          </w:p>
        </w:tc>
        <w:tc>
          <w:tcPr>
            <w:tcW w:w="3028" w:type="dxa"/>
            <w:noWrap/>
            <w:hideMark/>
          </w:tcPr>
          <w:p w14:paraId="5C7E1072" w14:textId="77777777" w:rsidR="001B05C6" w:rsidRPr="001B05C6" w:rsidRDefault="001B05C6" w:rsidP="001B05C6">
            <w:pPr>
              <w:jc w:val="center"/>
              <w:rPr>
                <w:b/>
                <w:bCs/>
              </w:rPr>
            </w:pPr>
            <w:r w:rsidRPr="001B05C6">
              <w:rPr>
                <w:b/>
                <w:bCs/>
              </w:rPr>
              <w:t> </w:t>
            </w:r>
          </w:p>
        </w:tc>
        <w:tc>
          <w:tcPr>
            <w:tcW w:w="2461" w:type="dxa"/>
            <w:noWrap/>
            <w:hideMark/>
          </w:tcPr>
          <w:p w14:paraId="6B49C28C" w14:textId="77777777" w:rsidR="001B05C6" w:rsidRPr="001B05C6" w:rsidRDefault="001B05C6" w:rsidP="001B05C6">
            <w:pPr>
              <w:jc w:val="center"/>
              <w:rPr>
                <w:b/>
                <w:bCs/>
              </w:rPr>
            </w:pPr>
            <w:r w:rsidRPr="001B05C6">
              <w:rPr>
                <w:b/>
                <w:bCs/>
              </w:rPr>
              <w:t> </w:t>
            </w:r>
          </w:p>
        </w:tc>
        <w:tc>
          <w:tcPr>
            <w:tcW w:w="1831" w:type="dxa"/>
            <w:noWrap/>
            <w:hideMark/>
          </w:tcPr>
          <w:p w14:paraId="07B96C99" w14:textId="77777777" w:rsidR="001B05C6" w:rsidRPr="001B05C6" w:rsidRDefault="001B05C6" w:rsidP="001B05C6">
            <w:pPr>
              <w:jc w:val="center"/>
            </w:pPr>
            <w:r w:rsidRPr="001B05C6">
              <w:t> </w:t>
            </w:r>
          </w:p>
        </w:tc>
        <w:tc>
          <w:tcPr>
            <w:tcW w:w="1542" w:type="dxa"/>
            <w:noWrap/>
            <w:hideMark/>
          </w:tcPr>
          <w:p w14:paraId="6F87E73F" w14:textId="77777777" w:rsidR="001B05C6" w:rsidRPr="001B05C6" w:rsidRDefault="001B05C6" w:rsidP="001B05C6">
            <w:pPr>
              <w:jc w:val="center"/>
            </w:pPr>
            <w:r w:rsidRPr="001B05C6">
              <w:t> </w:t>
            </w:r>
          </w:p>
        </w:tc>
        <w:tc>
          <w:tcPr>
            <w:tcW w:w="1815" w:type="dxa"/>
            <w:noWrap/>
            <w:hideMark/>
          </w:tcPr>
          <w:p w14:paraId="4BBF4888" w14:textId="77777777" w:rsidR="001B05C6" w:rsidRPr="001B05C6" w:rsidRDefault="001B05C6" w:rsidP="001B05C6">
            <w:pPr>
              <w:jc w:val="center"/>
            </w:pPr>
            <w:r w:rsidRPr="001B05C6">
              <w:t> </w:t>
            </w:r>
          </w:p>
        </w:tc>
        <w:tc>
          <w:tcPr>
            <w:tcW w:w="1441" w:type="dxa"/>
            <w:noWrap/>
            <w:hideMark/>
          </w:tcPr>
          <w:p w14:paraId="044E71EF" w14:textId="77777777" w:rsidR="001B05C6" w:rsidRPr="001B05C6" w:rsidRDefault="001B05C6" w:rsidP="001B05C6">
            <w:pPr>
              <w:jc w:val="center"/>
            </w:pPr>
            <w:r w:rsidRPr="001B05C6">
              <w:t> </w:t>
            </w:r>
          </w:p>
        </w:tc>
        <w:tc>
          <w:tcPr>
            <w:tcW w:w="3238" w:type="dxa"/>
            <w:hideMark/>
          </w:tcPr>
          <w:p w14:paraId="5075A036" w14:textId="77777777" w:rsidR="001B05C6" w:rsidRPr="001B05C6" w:rsidRDefault="001B05C6" w:rsidP="001B05C6">
            <w:pPr>
              <w:jc w:val="center"/>
            </w:pPr>
            <w:r w:rsidRPr="001B05C6">
              <w:t> </w:t>
            </w:r>
          </w:p>
        </w:tc>
      </w:tr>
      <w:tr w:rsidR="001B05C6" w:rsidRPr="001B05C6" w14:paraId="3943DC7A" w14:textId="77777777" w:rsidTr="001B05C6">
        <w:trPr>
          <w:trHeight w:val="255"/>
        </w:trPr>
        <w:tc>
          <w:tcPr>
            <w:tcW w:w="1342" w:type="dxa"/>
            <w:noWrap/>
            <w:hideMark/>
          </w:tcPr>
          <w:p w14:paraId="7098CB92" w14:textId="77777777" w:rsidR="001B05C6" w:rsidRPr="001B05C6" w:rsidRDefault="001B05C6" w:rsidP="001B05C6">
            <w:pPr>
              <w:jc w:val="center"/>
            </w:pPr>
            <w:r w:rsidRPr="001B05C6">
              <w:t> </w:t>
            </w:r>
          </w:p>
        </w:tc>
        <w:tc>
          <w:tcPr>
            <w:tcW w:w="2099" w:type="dxa"/>
            <w:noWrap/>
            <w:hideMark/>
          </w:tcPr>
          <w:p w14:paraId="30C69275" w14:textId="77777777" w:rsidR="001B05C6" w:rsidRPr="001B05C6" w:rsidRDefault="001B05C6" w:rsidP="001B05C6">
            <w:pPr>
              <w:jc w:val="center"/>
            </w:pPr>
            <w:r w:rsidRPr="001B05C6">
              <w:t> </w:t>
            </w:r>
          </w:p>
        </w:tc>
        <w:tc>
          <w:tcPr>
            <w:tcW w:w="1449" w:type="dxa"/>
            <w:noWrap/>
            <w:hideMark/>
          </w:tcPr>
          <w:p w14:paraId="4CED5411" w14:textId="77777777" w:rsidR="001B05C6" w:rsidRPr="001B05C6" w:rsidRDefault="001B05C6" w:rsidP="001B05C6">
            <w:pPr>
              <w:jc w:val="center"/>
            </w:pPr>
            <w:r w:rsidRPr="001B05C6">
              <w:t> </w:t>
            </w:r>
          </w:p>
        </w:tc>
        <w:tc>
          <w:tcPr>
            <w:tcW w:w="1141" w:type="dxa"/>
            <w:noWrap/>
            <w:hideMark/>
          </w:tcPr>
          <w:p w14:paraId="47BEE78B" w14:textId="77777777" w:rsidR="001B05C6" w:rsidRPr="001B05C6" w:rsidRDefault="001B05C6" w:rsidP="001B05C6">
            <w:pPr>
              <w:jc w:val="center"/>
            </w:pPr>
            <w:r w:rsidRPr="001B05C6">
              <w:t> </w:t>
            </w:r>
          </w:p>
        </w:tc>
        <w:tc>
          <w:tcPr>
            <w:tcW w:w="3308" w:type="dxa"/>
            <w:noWrap/>
            <w:hideMark/>
          </w:tcPr>
          <w:p w14:paraId="01C59166" w14:textId="77777777" w:rsidR="001B05C6" w:rsidRPr="001B05C6" w:rsidRDefault="001B05C6" w:rsidP="001B05C6">
            <w:pPr>
              <w:jc w:val="center"/>
            </w:pPr>
            <w:r w:rsidRPr="001B05C6">
              <w:t> </w:t>
            </w:r>
          </w:p>
        </w:tc>
        <w:tc>
          <w:tcPr>
            <w:tcW w:w="3506" w:type="dxa"/>
            <w:noWrap/>
            <w:hideMark/>
          </w:tcPr>
          <w:p w14:paraId="136797A0" w14:textId="77777777" w:rsidR="001B05C6" w:rsidRPr="001B05C6" w:rsidRDefault="001B05C6" w:rsidP="001B05C6">
            <w:pPr>
              <w:jc w:val="center"/>
            </w:pPr>
            <w:r w:rsidRPr="001B05C6">
              <w:t> </w:t>
            </w:r>
          </w:p>
        </w:tc>
        <w:tc>
          <w:tcPr>
            <w:tcW w:w="3028" w:type="dxa"/>
            <w:noWrap/>
            <w:hideMark/>
          </w:tcPr>
          <w:p w14:paraId="083096FE" w14:textId="77777777" w:rsidR="001B05C6" w:rsidRPr="001B05C6" w:rsidRDefault="001B05C6" w:rsidP="001B05C6">
            <w:pPr>
              <w:jc w:val="center"/>
            </w:pPr>
            <w:r w:rsidRPr="001B05C6">
              <w:t> </w:t>
            </w:r>
          </w:p>
        </w:tc>
        <w:tc>
          <w:tcPr>
            <w:tcW w:w="2461" w:type="dxa"/>
            <w:noWrap/>
            <w:hideMark/>
          </w:tcPr>
          <w:p w14:paraId="4B1D4BCA" w14:textId="77777777" w:rsidR="001B05C6" w:rsidRPr="001B05C6" w:rsidRDefault="001B05C6" w:rsidP="001B05C6">
            <w:pPr>
              <w:jc w:val="center"/>
            </w:pPr>
            <w:r w:rsidRPr="001B05C6">
              <w:t> </w:t>
            </w:r>
          </w:p>
        </w:tc>
        <w:tc>
          <w:tcPr>
            <w:tcW w:w="1831" w:type="dxa"/>
            <w:noWrap/>
            <w:hideMark/>
          </w:tcPr>
          <w:p w14:paraId="3DF16318" w14:textId="77777777" w:rsidR="001B05C6" w:rsidRPr="001B05C6" w:rsidRDefault="001B05C6" w:rsidP="001B05C6">
            <w:pPr>
              <w:jc w:val="center"/>
            </w:pPr>
            <w:r w:rsidRPr="001B05C6">
              <w:t> </w:t>
            </w:r>
          </w:p>
        </w:tc>
        <w:tc>
          <w:tcPr>
            <w:tcW w:w="1542" w:type="dxa"/>
            <w:noWrap/>
            <w:hideMark/>
          </w:tcPr>
          <w:p w14:paraId="707359F8" w14:textId="77777777" w:rsidR="001B05C6" w:rsidRPr="001B05C6" w:rsidRDefault="001B05C6" w:rsidP="001B05C6">
            <w:pPr>
              <w:jc w:val="center"/>
            </w:pPr>
            <w:r w:rsidRPr="001B05C6">
              <w:t> </w:t>
            </w:r>
          </w:p>
        </w:tc>
        <w:tc>
          <w:tcPr>
            <w:tcW w:w="1815" w:type="dxa"/>
            <w:noWrap/>
            <w:hideMark/>
          </w:tcPr>
          <w:p w14:paraId="144F7F86" w14:textId="77777777" w:rsidR="001B05C6" w:rsidRPr="001B05C6" w:rsidRDefault="001B05C6" w:rsidP="001B05C6">
            <w:pPr>
              <w:jc w:val="center"/>
            </w:pPr>
            <w:r w:rsidRPr="001B05C6">
              <w:t> </w:t>
            </w:r>
          </w:p>
        </w:tc>
        <w:tc>
          <w:tcPr>
            <w:tcW w:w="1441" w:type="dxa"/>
            <w:noWrap/>
            <w:hideMark/>
          </w:tcPr>
          <w:p w14:paraId="48DBF80B" w14:textId="77777777" w:rsidR="001B05C6" w:rsidRPr="001B05C6" w:rsidRDefault="001B05C6" w:rsidP="001B05C6">
            <w:pPr>
              <w:jc w:val="center"/>
            </w:pPr>
            <w:r w:rsidRPr="001B05C6">
              <w:t> </w:t>
            </w:r>
          </w:p>
        </w:tc>
        <w:tc>
          <w:tcPr>
            <w:tcW w:w="3238" w:type="dxa"/>
            <w:noWrap/>
            <w:hideMark/>
          </w:tcPr>
          <w:p w14:paraId="39C798F6" w14:textId="77777777" w:rsidR="001B05C6" w:rsidRPr="001B05C6" w:rsidRDefault="001B05C6" w:rsidP="001B05C6">
            <w:pPr>
              <w:jc w:val="center"/>
            </w:pPr>
            <w:r w:rsidRPr="001B05C6">
              <w:t> </w:t>
            </w:r>
          </w:p>
        </w:tc>
      </w:tr>
      <w:tr w:rsidR="001B05C6" w:rsidRPr="001B05C6" w14:paraId="738AFD04" w14:textId="77777777" w:rsidTr="001B05C6">
        <w:trPr>
          <w:trHeight w:val="255"/>
        </w:trPr>
        <w:tc>
          <w:tcPr>
            <w:tcW w:w="24963" w:type="dxa"/>
            <w:gridSpan w:val="12"/>
            <w:noWrap/>
            <w:hideMark/>
          </w:tcPr>
          <w:p w14:paraId="7B6DF641" w14:textId="77777777" w:rsidR="001B05C6" w:rsidRPr="001B05C6" w:rsidRDefault="001B05C6" w:rsidP="001B05C6">
            <w:pPr>
              <w:jc w:val="center"/>
              <w:rPr>
                <w:b/>
                <w:bCs/>
              </w:rPr>
            </w:pPr>
            <w:r w:rsidRPr="001B05C6">
              <w:rPr>
                <w:b/>
                <w:bCs/>
              </w:rPr>
              <w:t>Celková nabídková cena (Kč bez DPH)</w:t>
            </w:r>
          </w:p>
        </w:tc>
        <w:tc>
          <w:tcPr>
            <w:tcW w:w="3238" w:type="dxa"/>
            <w:noWrap/>
            <w:hideMark/>
          </w:tcPr>
          <w:p w14:paraId="448D15D2" w14:textId="77777777" w:rsidR="001B05C6" w:rsidRPr="001B05C6" w:rsidRDefault="001B05C6" w:rsidP="001B05C6">
            <w:pPr>
              <w:jc w:val="center"/>
              <w:rPr>
                <w:b/>
                <w:bCs/>
              </w:rPr>
            </w:pPr>
            <w:r w:rsidRPr="001B05C6">
              <w:rPr>
                <w:b/>
                <w:bCs/>
              </w:rPr>
              <w:t>8 890 909,50</w:t>
            </w:r>
          </w:p>
        </w:tc>
      </w:tr>
    </w:tbl>
    <w:p w14:paraId="0E9EF4A6" w14:textId="77777777" w:rsidR="001B05C6" w:rsidRDefault="001B05C6" w:rsidP="001B05C6">
      <w:pPr>
        <w:jc w:val="center"/>
      </w:pPr>
    </w:p>
    <w:sectPr w:rsidR="001B05C6" w:rsidSect="007426B4">
      <w:pgSz w:w="16838" w:h="11906" w:orient="landscape"/>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426B4">
      <w:rPr>
        <w:noProof/>
        <w:sz w:val="20"/>
        <w:szCs w:val="20"/>
      </w:rPr>
      <w:t>8</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C" w14:textId="1CCD7E4D" w:rsidR="001B5F9C" w:rsidRDefault="001B5F9C">
    <w:pPr>
      <w:pStyle w:val="Zpat"/>
      <w:jc w:val="center"/>
    </w:pPr>
    <w:r>
      <w:fldChar w:fldCharType="begin"/>
    </w:r>
    <w:r>
      <w:instrText>PAGE   \* MERGEFORMAT</w:instrText>
    </w:r>
    <w:r>
      <w:fldChar w:fldCharType="separate"/>
    </w:r>
    <w:r w:rsidR="007426B4">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7043749">
    <w:abstractNumId w:val="16"/>
  </w:num>
  <w:num w:numId="2" w16cid:durableId="71049345">
    <w:abstractNumId w:val="9"/>
  </w:num>
  <w:num w:numId="3" w16cid:durableId="398403330">
    <w:abstractNumId w:val="0"/>
  </w:num>
  <w:num w:numId="4" w16cid:durableId="559443298">
    <w:abstractNumId w:val="11"/>
  </w:num>
  <w:num w:numId="5" w16cid:durableId="1406414346">
    <w:abstractNumId w:val="4"/>
  </w:num>
  <w:num w:numId="6" w16cid:durableId="1129788407">
    <w:abstractNumId w:val="12"/>
  </w:num>
  <w:num w:numId="7" w16cid:durableId="191917828">
    <w:abstractNumId w:val="9"/>
  </w:num>
  <w:num w:numId="8" w16cid:durableId="417798510">
    <w:abstractNumId w:val="9"/>
  </w:num>
  <w:num w:numId="9" w16cid:durableId="739206252">
    <w:abstractNumId w:val="9"/>
  </w:num>
  <w:num w:numId="10" w16cid:durableId="1677339745">
    <w:abstractNumId w:val="9"/>
  </w:num>
  <w:num w:numId="11" w16cid:durableId="615791919">
    <w:abstractNumId w:val="8"/>
  </w:num>
  <w:num w:numId="12" w16cid:durableId="2025206432">
    <w:abstractNumId w:val="3"/>
  </w:num>
  <w:num w:numId="13" w16cid:durableId="1761025495">
    <w:abstractNumId w:val="14"/>
  </w:num>
  <w:num w:numId="14" w16cid:durableId="1013265337">
    <w:abstractNumId w:val="2"/>
  </w:num>
  <w:num w:numId="15" w16cid:durableId="1665939611">
    <w:abstractNumId w:val="17"/>
  </w:num>
  <w:num w:numId="16" w16cid:durableId="12148520">
    <w:abstractNumId w:val="5"/>
  </w:num>
  <w:num w:numId="17" w16cid:durableId="408698248">
    <w:abstractNumId w:val="13"/>
  </w:num>
  <w:num w:numId="18" w16cid:durableId="626618094">
    <w:abstractNumId w:val="7"/>
  </w:num>
  <w:num w:numId="19" w16cid:durableId="1070420543">
    <w:abstractNumId w:val="9"/>
  </w:num>
  <w:num w:numId="20" w16cid:durableId="1955018470">
    <w:abstractNumId w:val="9"/>
  </w:num>
  <w:num w:numId="21" w16cid:durableId="1942689453">
    <w:abstractNumId w:val="1"/>
  </w:num>
  <w:num w:numId="22" w16cid:durableId="1730684335">
    <w:abstractNumId w:val="10"/>
  </w:num>
  <w:num w:numId="23" w16cid:durableId="1675499160">
    <w:abstractNumId w:val="15"/>
  </w:num>
  <w:num w:numId="24" w16cid:durableId="228656206">
    <w:abstractNumId w:val="6"/>
  </w:num>
  <w:num w:numId="25" w16cid:durableId="14978442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1F43"/>
    <w:rsid w:val="00012084"/>
    <w:rsid w:val="00012814"/>
    <w:rsid w:val="00014CFB"/>
    <w:rsid w:val="00020A2F"/>
    <w:rsid w:val="00023008"/>
    <w:rsid w:val="00023AFC"/>
    <w:rsid w:val="00024928"/>
    <w:rsid w:val="00025C77"/>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5882"/>
    <w:rsid w:val="001976E5"/>
    <w:rsid w:val="00197C58"/>
    <w:rsid w:val="001A1056"/>
    <w:rsid w:val="001A2FBC"/>
    <w:rsid w:val="001A3AA2"/>
    <w:rsid w:val="001A61FF"/>
    <w:rsid w:val="001B05C6"/>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275D"/>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5FB2"/>
    <w:rsid w:val="0062650E"/>
    <w:rsid w:val="0062677D"/>
    <w:rsid w:val="006337DC"/>
    <w:rsid w:val="006401C9"/>
    <w:rsid w:val="00641195"/>
    <w:rsid w:val="00646E8E"/>
    <w:rsid w:val="00653730"/>
    <w:rsid w:val="00657357"/>
    <w:rsid w:val="006631EB"/>
    <w:rsid w:val="006714E5"/>
    <w:rsid w:val="00673B12"/>
    <w:rsid w:val="00674566"/>
    <w:rsid w:val="00677000"/>
    <w:rsid w:val="006778A2"/>
    <w:rsid w:val="006820EC"/>
    <w:rsid w:val="00682B01"/>
    <w:rsid w:val="00684BFA"/>
    <w:rsid w:val="006913C4"/>
    <w:rsid w:val="006925A2"/>
    <w:rsid w:val="00692870"/>
    <w:rsid w:val="0069784C"/>
    <w:rsid w:val="006A0496"/>
    <w:rsid w:val="006A0AF1"/>
    <w:rsid w:val="006A590E"/>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5715"/>
    <w:rsid w:val="007F0866"/>
    <w:rsid w:val="007F216E"/>
    <w:rsid w:val="007F2D01"/>
    <w:rsid w:val="008012D8"/>
    <w:rsid w:val="00801C57"/>
    <w:rsid w:val="00803984"/>
    <w:rsid w:val="00806564"/>
    <w:rsid w:val="008111D1"/>
    <w:rsid w:val="00812EA1"/>
    <w:rsid w:val="00817EEC"/>
    <w:rsid w:val="00822B4B"/>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6550D"/>
    <w:rsid w:val="00973208"/>
    <w:rsid w:val="00973861"/>
    <w:rsid w:val="0097477E"/>
    <w:rsid w:val="009811BA"/>
    <w:rsid w:val="00982C4A"/>
    <w:rsid w:val="00985F35"/>
    <w:rsid w:val="009A4267"/>
    <w:rsid w:val="009A7D1F"/>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13"/>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747DD"/>
    <w:rsid w:val="00C815D1"/>
    <w:rsid w:val="00C8723F"/>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B65AF"/>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character" w:styleId="Nevyeenzmnka">
    <w:name w:val="Unresolved Mention"/>
    <w:basedOn w:val="Standardnpsmoodstavce"/>
    <w:uiPriority w:val="99"/>
    <w:semiHidden/>
    <w:unhideWhenUsed/>
    <w:rsid w:val="001B0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447117084">
      <w:bodyDiv w:val="1"/>
      <w:marLeft w:val="0"/>
      <w:marRight w:val="0"/>
      <w:marTop w:val="0"/>
      <w:marBottom w:val="0"/>
      <w:divBdr>
        <w:top w:val="none" w:sz="0" w:space="0" w:color="auto"/>
        <w:left w:val="none" w:sz="0" w:space="0" w:color="auto"/>
        <w:bottom w:val="none" w:sz="0" w:space="0" w:color="auto"/>
        <w:right w:val="none" w:sz="0" w:space="0" w:color="auto"/>
      </w:divBdr>
    </w:div>
    <w:div w:id="598879718">
      <w:bodyDiv w:val="1"/>
      <w:marLeft w:val="0"/>
      <w:marRight w:val="0"/>
      <w:marTop w:val="0"/>
      <w:marBottom w:val="0"/>
      <w:divBdr>
        <w:top w:val="none" w:sz="0" w:space="0" w:color="auto"/>
        <w:left w:val="none" w:sz="0" w:space="0" w:color="auto"/>
        <w:bottom w:val="none" w:sz="0" w:space="0" w:color="auto"/>
        <w:right w:val="none" w:sz="0" w:space="0" w:color="auto"/>
      </w:divBdr>
    </w:div>
    <w:div w:id="1306202294">
      <w:bodyDiv w:val="1"/>
      <w:marLeft w:val="0"/>
      <w:marRight w:val="0"/>
      <w:marTop w:val="0"/>
      <w:marBottom w:val="0"/>
      <w:divBdr>
        <w:top w:val="none" w:sz="0" w:space="0" w:color="auto"/>
        <w:left w:val="none" w:sz="0" w:space="0" w:color="auto"/>
        <w:bottom w:val="none" w:sz="0" w:space="0" w:color="auto"/>
        <w:right w:val="none" w:sz="0" w:space="0" w:color="auto"/>
      </w:divBdr>
    </w:div>
    <w:div w:id="1667130164">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kl.cz/modules/medication/search.php?data%5Batc_group%5D=L03AX16&amp;data%5Bwith_adv%5D=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0" ma:contentTypeDescription="Vytvoří nový dokument" ma:contentTypeScope="" ma:versionID="176d8860ee9cc0ab8dcffbf66e1205d0">
  <xsd:schema xmlns:xsd="http://www.w3.org/2001/XMLSchema" xmlns:xs="http://www.w3.org/2001/XMLSchema" xmlns:p="http://schemas.microsoft.com/office/2006/metadata/properties" targetNamespace="http://schemas.microsoft.com/office/2006/metadata/properties" ma:root="true" ma:fieldsID="13b0c0cd93dd2b4d7dcf680e894e1b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00260D24-C494-4971-B5EC-ED8CE2D95712}">
  <ds:schemaRefs>
    <ds:schemaRef ds:uri="http://schemas.openxmlformats.org/officeDocument/2006/bibliography"/>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a7e37686-00e6-405d-9032-d05dd3ba55a9"/>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9D780F-FC75-47B0-A5C3-2CC21F6C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3673</Words>
  <Characters>21387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Mičánková Lucie</cp:lastModifiedBy>
  <cp:revision>4</cp:revision>
  <cp:lastPrinted>2018-11-27T10:11:00Z</cp:lastPrinted>
  <dcterms:created xsi:type="dcterms:W3CDTF">2023-08-10T10:00:00Z</dcterms:created>
  <dcterms:modified xsi:type="dcterms:W3CDTF">2023-09-12T08:51:00Z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0x0101009B868527DE822C40AEC34F27B881A1A2</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