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1190700465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jc w:val="left"/>
      </w:pPr>
      <w:r>
        <w:rPr/>
        <w:t>městys</w:t>
      </w:r>
      <w:r>
        <w:rPr>
          <w:spacing w:val="-7"/>
        </w:rPr>
        <w:t> </w:t>
      </w:r>
      <w:r>
        <w:rPr>
          <w:spacing w:val="-2"/>
        </w:rPr>
        <w:t>Čestice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2497" w:firstLine="0"/>
        <w:jc w:val="left"/>
      </w:pPr>
      <w:r>
        <w:rPr/>
        <w:t>kontaktní adresa:</w:t>
        <w:tab/>
        <w:t>Úřad</w:t>
      </w:r>
      <w:r>
        <w:rPr>
          <w:spacing w:val="-7"/>
        </w:rPr>
        <w:t> </w:t>
      </w:r>
      <w:r>
        <w:rPr/>
        <w:t>městyse</w:t>
      </w:r>
      <w:r>
        <w:rPr>
          <w:spacing w:val="-7"/>
        </w:rPr>
        <w:t> </w:t>
      </w:r>
      <w:r>
        <w:rPr/>
        <w:t>Čestice,</w:t>
      </w:r>
      <w:r>
        <w:rPr>
          <w:spacing w:val="-4"/>
        </w:rPr>
        <w:t> </w:t>
      </w:r>
      <w:r>
        <w:rPr/>
        <w:t>Čestice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387</w:t>
      </w:r>
      <w:r>
        <w:rPr>
          <w:spacing w:val="-4"/>
        </w:rPr>
        <w:t> </w:t>
      </w:r>
      <w:r>
        <w:rPr/>
        <w:t>19</w:t>
      </w:r>
      <w:r>
        <w:rPr>
          <w:spacing w:val="-5"/>
        </w:rPr>
        <w:t> </w:t>
      </w:r>
      <w:r>
        <w:rPr/>
        <w:t>Čestice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00251089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>
          <w:spacing w:val="-2"/>
        </w:rPr>
        <w:t>zastoupený:</w:t>
      </w:r>
      <w:r>
        <w:rPr/>
        <w:tab/>
        <w:t>Janem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s</w:t>
      </w:r>
      <w:r>
        <w:rPr>
          <w:spacing w:val="1"/>
        </w:rPr>
        <w:t> </w:t>
      </w:r>
      <w:r>
        <w:rPr/>
        <w:t>k</w:t>
      </w:r>
      <w:r>
        <w:rPr>
          <w:spacing w:val="-3"/>
        </w:rPr>
        <w:t> </w:t>
      </w:r>
      <w:r>
        <w:rPr/>
        <w:t>ý</w:t>
      </w:r>
      <w:r>
        <w:rPr>
          <w:spacing w:val="-3"/>
        </w:rPr>
        <w:t> </w:t>
      </w:r>
      <w:r>
        <w:rPr/>
        <w:t>m,</w:t>
      </w:r>
      <w:r>
        <w:rPr>
          <w:spacing w:val="1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ind w:left="242" w:right="5075" w:firstLine="0"/>
        <w:jc w:val="left"/>
      </w:pPr>
      <w:r>
        <w:rPr/>
        <w:t>číslo účtu:</w:t>
        <w:tab/>
      </w:r>
      <w:r>
        <w:rPr>
          <w:spacing w:val="-2"/>
        </w:rPr>
        <w:t>94-9011291/0710 </w:t>
      </w:r>
      <w:r>
        <w:rPr/>
        <w:t>(dále 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272" w:right="3148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1190700465 o poskytnutí finančních prostředků ze Státního fondu životního prostředí ČR ze dne 21.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2020 a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3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3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7/2019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609"/>
        <w:jc w:val="left"/>
      </w:pPr>
      <w:r>
        <w:rPr/>
        <w:t>„Badatelské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relaxační</w:t>
      </w:r>
      <w:r>
        <w:rPr>
          <w:spacing w:val="-8"/>
        </w:rPr>
        <w:t> </w:t>
      </w:r>
      <w:r>
        <w:rPr/>
        <w:t>centrum</w:t>
      </w:r>
      <w:r>
        <w:rPr>
          <w:spacing w:val="-9"/>
        </w:rPr>
        <w:t> </w:t>
      </w:r>
      <w:r>
        <w:rPr/>
        <w:t>Voňavé</w:t>
      </w:r>
      <w:r>
        <w:rPr>
          <w:spacing w:val="-8"/>
        </w:rPr>
        <w:t> </w:t>
      </w:r>
      <w:r>
        <w:rPr>
          <w:spacing w:val="-2"/>
        </w:rPr>
        <w:t>zahrady“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roce</w:t>
      </w:r>
      <w:r>
        <w:rPr>
          <w:spacing w:val="-6"/>
        </w:rPr>
        <w:t> </w:t>
      </w:r>
      <w:r>
        <w:rPr/>
        <w:t>2022.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286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032,10 Kč </w:t>
      </w:r>
      <w:r>
        <w:rPr>
          <w:sz w:val="20"/>
        </w:rPr>
        <w:t>(slovy: dvě stě osmdesát šest tisíc třicet dva korun českých a deset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336 508,36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(tj.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před</w:t>
      </w:r>
      <w:r>
        <w:rPr>
          <w:spacing w:val="-9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4"/>
          <w:sz w:val="20"/>
        </w:rPr>
        <w:t> </w:t>
      </w:r>
      <w:r>
        <w:rPr>
          <w:sz w:val="20"/>
        </w:rPr>
        <w:t>vyhlášení Výzvy, s výjimkou výdajů na 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>
          <w:spacing w:val="-4"/>
        </w:rPr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průběžně</w:t>
      </w:r>
      <w:r>
        <w:rPr>
          <w:spacing w:val="-6"/>
          <w:sz w:val="20"/>
        </w:rPr>
        <w:t> </w:t>
      </w:r>
      <w:r>
        <w:rPr>
          <w:sz w:val="20"/>
        </w:rPr>
        <w:t>postupem</w:t>
      </w:r>
      <w:r>
        <w:rPr>
          <w:spacing w:val="-10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bodech</w:t>
      </w:r>
      <w:r>
        <w:rPr>
          <w:spacing w:val="-9"/>
          <w:sz w:val="20"/>
        </w:rPr>
        <w:t> </w:t>
      </w:r>
      <w:r>
        <w:rPr>
          <w:sz w:val="20"/>
        </w:rPr>
        <w:t>10–15</w:t>
      </w:r>
      <w:r>
        <w:rPr>
          <w:spacing w:val="-8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9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032,10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2"/>
          <w:sz w:val="20"/>
        </w:rPr>
        <w:t> </w:t>
      </w:r>
      <w:r>
        <w:rPr>
          <w:sz w:val="20"/>
        </w:rPr>
        <w:t>každou žádostí o uvolnění finančních prostředků, (bod 11),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nehradil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8"/>
          <w:sz w:val="20"/>
        </w:rPr>
        <w:t> </w:t>
      </w:r>
      <w:r>
        <w:rPr>
          <w:sz w:val="20"/>
        </w:rPr>
        <w:t>zdrojů 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3"/>
          <w:sz w:val="20"/>
        </w:rPr>
        <w:t> </w:t>
      </w:r>
      <w:r>
        <w:rPr>
          <w:sz w:val="20"/>
        </w:rPr>
        <w:t>základ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stanovení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4"/>
          <w:sz w:val="20"/>
        </w:rPr>
        <w:t> </w:t>
      </w:r>
      <w:r>
        <w:rPr>
          <w:sz w:val="20"/>
        </w:rPr>
        <w:t>Ustanovení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tím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</w:t>
      </w:r>
      <w:r>
        <w:rPr>
          <w:spacing w:val="80"/>
          <w:sz w:val="20"/>
        </w:rPr>
        <w:t>  </w:t>
      </w:r>
      <w:r>
        <w:rPr>
          <w:sz w:val="20"/>
        </w:rPr>
        <w:t>dle</w:t>
      </w:r>
      <w:r>
        <w:rPr>
          <w:spacing w:val="80"/>
          <w:sz w:val="20"/>
        </w:rPr>
        <w:t>  </w:t>
      </w:r>
      <w:r>
        <w:rPr>
          <w:sz w:val="20"/>
        </w:rPr>
        <w:t>Fondem</w:t>
      </w:r>
      <w:r>
        <w:rPr>
          <w:spacing w:val="79"/>
          <w:sz w:val="20"/>
        </w:rPr>
        <w:t>  </w:t>
      </w:r>
      <w:r>
        <w:rPr>
          <w:sz w:val="20"/>
        </w:rPr>
        <w:t>akceptovaného</w:t>
      </w:r>
      <w:r>
        <w:rPr>
          <w:spacing w:val="80"/>
          <w:sz w:val="20"/>
        </w:rPr>
        <w:t>  </w:t>
      </w:r>
      <w:r>
        <w:rPr>
          <w:sz w:val="20"/>
        </w:rPr>
        <w:t>finančně</w:t>
      </w:r>
      <w:r>
        <w:rPr>
          <w:spacing w:val="80"/>
          <w:sz w:val="20"/>
        </w:rPr>
        <w:t>  </w:t>
      </w:r>
      <w:r>
        <w:rPr>
          <w:sz w:val="20"/>
        </w:rPr>
        <w:t>platebního</w:t>
      </w:r>
      <w:r>
        <w:rPr>
          <w:spacing w:val="80"/>
          <w:sz w:val="20"/>
        </w:rPr>
        <w:t>  </w:t>
      </w:r>
      <w:r>
        <w:rPr>
          <w:sz w:val="20"/>
        </w:rPr>
        <w:t>kalendáře</w:t>
      </w:r>
      <w:r>
        <w:rPr>
          <w:spacing w:val="80"/>
          <w:sz w:val="20"/>
        </w:rPr>
        <w:t>  </w:t>
      </w:r>
      <w:r>
        <w:rPr>
          <w:sz w:val="20"/>
        </w:rPr>
        <w:t>v AIS</w:t>
      </w:r>
      <w:r>
        <w:rPr>
          <w:spacing w:val="80"/>
          <w:sz w:val="20"/>
        </w:rPr>
        <w:t>  </w:t>
      </w:r>
      <w:r>
        <w:rPr>
          <w:sz w:val="20"/>
        </w:rPr>
        <w:t>SFŽP</w:t>
      </w:r>
      <w:r>
        <w:rPr>
          <w:spacing w:val="80"/>
          <w:sz w:val="20"/>
        </w:rPr>
        <w:t>  </w:t>
      </w:r>
      <w:r>
        <w:rPr>
          <w:sz w:val="20"/>
        </w:rPr>
        <w:t>ČR a na základě žádosti o</w:t>
      </w:r>
      <w:r>
        <w:rPr>
          <w:spacing w:val="-1"/>
          <w:sz w:val="20"/>
        </w:rPr>
        <w:t> </w:t>
      </w:r>
      <w:r>
        <w:rPr>
          <w:sz w:val="20"/>
        </w:rPr>
        <w:t>uvolnění finančních prostředků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uvolnění</w:t>
      </w:r>
      <w:r>
        <w:rPr>
          <w:spacing w:val="-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 a</w:t>
      </w:r>
      <w:r>
        <w:rPr>
          <w:spacing w:val="-1"/>
          <w:sz w:val="20"/>
        </w:rPr>
        <w:t> </w:t>
      </w:r>
      <w:r>
        <w:rPr>
          <w:sz w:val="20"/>
        </w:rPr>
        <w:t>předložením</w:t>
      </w:r>
      <w:r>
        <w:rPr>
          <w:spacing w:val="-2"/>
          <w:sz w:val="20"/>
        </w:rPr>
        <w:t> </w:t>
      </w:r>
      <w:r>
        <w:rPr>
          <w:sz w:val="20"/>
        </w:rPr>
        <w:t>kopií</w:t>
      </w:r>
      <w:r>
        <w:rPr>
          <w:spacing w:val="-1"/>
          <w:sz w:val="20"/>
        </w:rPr>
        <w:t> </w:t>
      </w:r>
      <w:r>
        <w:rPr>
          <w:sz w:val="20"/>
        </w:rPr>
        <w:t>faktur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mj.</w:t>
      </w:r>
      <w:r>
        <w:rPr>
          <w:spacing w:val="-1"/>
          <w:sz w:val="20"/>
        </w:rPr>
        <w:t> </w:t>
      </w:r>
      <w:r>
        <w:rPr>
          <w:sz w:val="20"/>
        </w:rPr>
        <w:t>potvrzuje,</w:t>
      </w:r>
      <w:r>
        <w:rPr>
          <w:spacing w:val="-1"/>
          <w:sz w:val="20"/>
        </w:rPr>
        <w:t> </w:t>
      </w:r>
      <w:r>
        <w:rPr>
          <w:sz w:val="20"/>
        </w:rPr>
        <w:t>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7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3" w:after="0"/>
        <w:ind w:left="52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20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47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51" w:top="1060" w:bottom="1660" w:left="1460" w:right="1020"/>
          <w:cols w:num="2" w:equalWidth="0">
            <w:col w:w="2127" w:space="62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3"/>
          <w:sz w:val="20"/>
        </w:rPr>
        <w:t> </w:t>
      </w:r>
      <w:r>
        <w:rPr>
          <w:sz w:val="20"/>
        </w:rPr>
        <w:t>odsouhlaseného</w:t>
      </w:r>
      <w:r>
        <w:rPr>
          <w:spacing w:val="66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923" w:right="121" w:firstLine="0"/>
      </w:pPr>
      <w:r>
        <w:rPr/>
        <w:t>„Badatelské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relaxační</w:t>
      </w:r>
      <w:r>
        <w:rPr>
          <w:spacing w:val="40"/>
        </w:rPr>
        <w:t> </w:t>
      </w:r>
      <w:r>
        <w:rPr/>
        <w:t>centrum</w:t>
      </w:r>
      <w:r>
        <w:rPr>
          <w:spacing w:val="40"/>
        </w:rPr>
        <w:t> </w:t>
      </w:r>
      <w:r>
        <w:rPr/>
        <w:t>Voňavé</w:t>
      </w:r>
      <w:r>
        <w:rPr>
          <w:spacing w:val="40"/>
        </w:rPr>
        <w:t> </w:t>
      </w:r>
      <w:r>
        <w:rPr/>
        <w:t>zahrady“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dne</w:t>
      </w:r>
      <w:r>
        <w:rPr>
          <w:spacing w:val="40"/>
        </w:rPr>
        <w:t> </w:t>
      </w:r>
      <w:r>
        <w:rPr/>
        <w:t>4.</w:t>
      </w:r>
      <w:r>
        <w:rPr>
          <w:spacing w:val="40"/>
        </w:rPr>
        <w:t> </w:t>
      </w:r>
      <w:r>
        <w:rPr/>
        <w:t>5.</w:t>
      </w:r>
      <w:r>
        <w:rPr>
          <w:spacing w:val="40"/>
        </w:rPr>
        <w:t> </w:t>
      </w:r>
      <w:r>
        <w:rPr/>
        <w:t>2020,</w:t>
      </w:r>
      <w:r>
        <w:rPr>
          <w:spacing w:val="40"/>
        </w:rPr>
        <w:t> </w:t>
      </w:r>
      <w:r>
        <w:rPr/>
        <w:t>včetně</w:t>
      </w:r>
      <w:r>
        <w:rPr>
          <w:spacing w:val="40"/>
        </w:rPr>
        <w:t> </w:t>
      </w:r>
      <w:r>
        <w:rPr/>
        <w:t>případných</w:t>
      </w:r>
      <w:r>
        <w:rPr>
          <w:spacing w:val="40"/>
        </w:rPr>
        <w:t> </w:t>
      </w:r>
      <w:r>
        <w:rPr/>
        <w:t>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20" w:hanging="286"/>
        <w:jc w:val="both"/>
        <w:rPr>
          <w:sz w:val="20"/>
        </w:rPr>
      </w:pPr>
      <w:r>
        <w:rPr>
          <w:sz w:val="20"/>
        </w:rPr>
        <w:t>v období od 9/2022 do 12/2022 pořídil předměty uvedené v aktualizovaném rozpočtu projektu ze dne 9. 3. 2023 a vysadil minimálně jeden stanovištně vhodný strom, přičemž se zavazuje zajistit následnou péči o 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80"/>
          <w:sz w:val="20"/>
        </w:rPr>
        <w:t> </w:t>
      </w:r>
      <w:r>
        <w:rPr>
          <w:sz w:val="20"/>
        </w:rPr>
        <w:t>a údržby realizovaného opatření a provádění kontroly podle písm. b) odrážky páté) po dobu 3</w:t>
      </w:r>
      <w:r>
        <w:rPr>
          <w:spacing w:val="-2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923" w:right="108" w:firstLine="0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8"/>
          <w:sz w:val="20"/>
        </w:rPr>
        <w:t> </w:t>
      </w:r>
      <w:r>
        <w:rPr>
          <w:sz w:val="20"/>
        </w:rPr>
        <w:t>veřejnost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8"/>
          <w:sz w:val="20"/>
        </w:rPr>
        <w:t> </w:t>
      </w:r>
      <w:r>
        <w:rPr>
          <w:sz w:val="20"/>
        </w:rPr>
        <w:t>fázích</w:t>
      </w:r>
      <w:r>
        <w:rPr>
          <w:spacing w:val="-8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8"/>
          <w:sz w:val="20"/>
        </w:rPr>
        <w:t> </w:t>
      </w:r>
      <w:r>
        <w:rPr>
          <w:sz w:val="20"/>
        </w:rPr>
        <w:t>plánování,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projektu)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8"/>
          <w:sz w:val="20"/>
        </w:rPr>
        <w:t> </w:t>
      </w:r>
      <w:r>
        <w:rPr>
          <w:sz w:val="20"/>
        </w:rPr>
        <w:t>to relevantní, splní povinnost podle čl. 10 písm. k) 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zakázek, stanovená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Směrnici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2"/>
          <w:sz w:val="20"/>
        </w:rPr>
        <w:t> </w:t>
      </w:r>
      <w:r>
        <w:rPr>
          <w:sz w:val="20"/>
        </w:rPr>
        <w:t>příloh) 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5"/>
          <w:sz w:val="20"/>
        </w:rPr>
        <w:t> </w:t>
      </w:r>
      <w:r>
        <w:rPr>
          <w:sz w:val="20"/>
        </w:rPr>
        <w:t>na </w:t>
      </w:r>
      <w:hyperlink r:id="rId6">
        <w:r>
          <w:rPr>
            <w:sz w:val="20"/>
          </w:rPr>
          <w:t>www.sfzp.cz,</w:t>
        </w:r>
      </w:hyperlink>
      <w:r>
        <w:rPr>
          <w:spacing w:val="-5"/>
          <w:sz w:val="20"/>
        </w:rPr>
        <w:t> </w:t>
      </w:r>
      <w:r>
        <w:rPr>
          <w:sz w:val="20"/>
        </w:rPr>
        <w:t>sekce</w:t>
      </w:r>
      <w:r>
        <w:rPr>
          <w:spacing w:val="-5"/>
          <w:sz w:val="20"/>
        </w:rPr>
        <w:t> </w:t>
      </w:r>
      <w:r>
        <w:rPr>
          <w:sz w:val="20"/>
        </w:rPr>
        <w:t>Národní</w:t>
      </w:r>
      <w:r>
        <w:rPr>
          <w:spacing w:val="-2"/>
          <w:sz w:val="20"/>
        </w:rPr>
        <w:t> </w:t>
      </w:r>
      <w:r>
        <w:rPr>
          <w:sz w:val="20"/>
        </w:rPr>
        <w:t>program</w:t>
      </w:r>
      <w:r>
        <w:rPr>
          <w:spacing w:val="-5"/>
          <w:sz w:val="20"/>
        </w:rPr>
        <w:t> </w:t>
      </w:r>
      <w:r>
        <w:rPr>
          <w:sz w:val="20"/>
        </w:rPr>
        <w:t>Životní</w:t>
      </w:r>
      <w:r>
        <w:rPr>
          <w:spacing w:val="-5"/>
          <w:sz w:val="20"/>
        </w:rPr>
        <w:t> </w:t>
      </w:r>
      <w:r>
        <w:rPr>
          <w:sz w:val="20"/>
        </w:rPr>
        <w:t>prostředí –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programu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– odkaz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zakázek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OPŽP</w:t>
      </w:r>
      <w:r>
        <w:rPr>
          <w:spacing w:val="-11"/>
          <w:sz w:val="20"/>
        </w:rPr>
        <w:t> </w:t>
      </w:r>
      <w:r>
        <w:rPr>
          <w:sz w:val="20"/>
        </w:rPr>
        <w:t>2014-2020,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8"/>
          <w:sz w:val="20"/>
        </w:rPr>
        <w:t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 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>
          <w:spacing w:val="-5"/>
        </w:rPr>
        <w:t>V.</w:t>
      </w:r>
    </w:p>
    <w:p>
      <w:pPr>
        <w:pStyle w:val="Heading2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první,</w:t>
      </w:r>
      <w:r>
        <w:rPr>
          <w:spacing w:val="40"/>
          <w:sz w:val="20"/>
        </w:rPr>
        <w:t> </w:t>
      </w:r>
      <w:r>
        <w:rPr>
          <w:sz w:val="20"/>
        </w:rPr>
        <w:t>druhou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třetí</w:t>
      </w:r>
      <w:r>
        <w:rPr>
          <w:spacing w:val="40"/>
          <w:sz w:val="20"/>
        </w:rPr>
        <w:t> </w:t>
      </w:r>
      <w:r>
        <w:rPr>
          <w:sz w:val="20"/>
        </w:rPr>
        <w:t>odrážkou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3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ind w:left="3277"/>
      </w:pPr>
      <w:r>
        <w:rPr>
          <w:spacing w:val="-5"/>
        </w:rPr>
        <w:t>VI.</w:t>
      </w:r>
    </w:p>
    <w:p>
      <w:pPr>
        <w:pStyle w:val="Heading2"/>
        <w:spacing w:before="1"/>
        <w:ind w:left="327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2 až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tehdy,</w:t>
      </w:r>
      <w:r>
        <w:rPr>
          <w:spacing w:val="-3"/>
          <w:sz w:val="20"/>
        </w:rPr>
        <w:t> </w:t>
      </w:r>
      <w:r>
        <w:rPr>
          <w:sz w:val="20"/>
        </w:rPr>
        <w:t>kdy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 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32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 w:before="1"/>
        <w:ind w:left="242" w:firstLine="0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spacing w:before="73"/>
        <w:ind w:left="242" w:firstLine="0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 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 bodu</w:t>
      </w:r>
      <w:r>
        <w:rPr>
          <w:spacing w:val="-3"/>
          <w:sz w:val="20"/>
        </w:rPr>
        <w:t> </w:t>
      </w:r>
      <w:r>
        <w:rPr>
          <w:sz w:val="20"/>
        </w:rPr>
        <w:t>2)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zakázek/veřejných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souhrnně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„veřejné</w:t>
      </w:r>
      <w:r>
        <w:rPr>
          <w:spacing w:val="-4"/>
          <w:sz w:val="20"/>
        </w:rPr>
        <w:t> </w:t>
      </w:r>
      <w:r>
        <w:rPr>
          <w:sz w:val="20"/>
        </w:rPr>
        <w:t>zakázky“), zejména v</w:t>
      </w:r>
      <w:r>
        <w:rPr>
          <w:spacing w:val="-2"/>
          <w:sz w:val="20"/>
        </w:rPr>
        <w:t> </w:t>
      </w:r>
      <w:r>
        <w:rPr>
          <w:sz w:val="20"/>
        </w:rPr>
        <w:t>nedodržení postupu podle zákona č. 134/2016 Sb., o zadávání veřejných zakázek, ve znění účinném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době zahájení zadávacího řízení, případně</w:t>
      </w:r>
      <w:r>
        <w:rPr>
          <w:spacing w:val="-1"/>
          <w:sz w:val="20"/>
        </w:rPr>
        <w:t> </w:t>
      </w:r>
      <w:r>
        <w:rPr>
          <w:sz w:val="20"/>
        </w:rPr>
        <w:t>zákona č. 137/2006 Sb., o</w:t>
      </w:r>
      <w:r>
        <w:rPr>
          <w:spacing w:val="-1"/>
          <w:sz w:val="20"/>
        </w:rPr>
        <w:t> </w:t>
      </w:r>
      <w:r>
        <w:rPr>
          <w:sz w:val="20"/>
        </w:rPr>
        <w:t>veřejných zakázkách, ve znění účinném v době zahájení zadávacího řízení (dále souhrnně jen „zákon“) a/nebo nedodržení postupu</w:t>
      </w:r>
      <w:r>
        <w:rPr>
          <w:spacing w:val="-13"/>
          <w:sz w:val="20"/>
        </w:rPr>
        <w:t> </w:t>
      </w:r>
      <w:r>
        <w:rPr>
          <w:sz w:val="20"/>
        </w:rPr>
        <w:t>stanoveného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3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účinném v</w:t>
      </w:r>
      <w:r>
        <w:rPr>
          <w:spacing w:val="-2"/>
          <w:sz w:val="20"/>
        </w:rPr>
        <w:t> </w:t>
      </w:r>
      <w:r>
        <w:rPr>
          <w:sz w:val="20"/>
        </w:rPr>
        <w:t>době zahájení výběrového/zadávacího řízení (dále jen „Pokyny OPŽP“), případně v dokumentu Zadávání veřejných zakázek v OPŽP 2014 – 2020, ve znění účinném v době zahájení výběrového/zadávacího řízení (dále jen „Zadávání VZ v 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 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7"/>
          <w:sz w:val="20"/>
        </w:rPr>
        <w:t> </w:t>
      </w:r>
      <w:r>
        <w:rPr>
          <w:sz w:val="20"/>
        </w:rPr>
        <w:t>identifikovaného</w:t>
      </w:r>
      <w:r>
        <w:rPr>
          <w:spacing w:val="-7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oprava</w:t>
      </w:r>
      <w:r>
        <w:rPr>
          <w:spacing w:val="-6"/>
          <w:sz w:val="20"/>
        </w:rPr>
        <w:t> </w:t>
      </w:r>
      <w:r>
        <w:rPr>
          <w:sz w:val="20"/>
        </w:rPr>
        <w:t>stanovena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viz</w:t>
      </w:r>
      <w:r>
        <w:rPr>
          <w:spacing w:val="-6"/>
          <w:sz w:val="20"/>
        </w:rPr>
        <w:t> </w:t>
      </w:r>
      <w:r>
        <w:rPr>
          <w:sz w:val="20"/>
        </w:rPr>
        <w:t>tabulka</w:t>
      </w:r>
      <w:r>
        <w:rPr>
          <w:spacing w:val="-8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 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veřejné</w:t>
      </w:r>
      <w:r>
        <w:rPr>
          <w:spacing w:val="-9"/>
          <w:sz w:val="20"/>
        </w:rPr>
        <w:t> </w:t>
      </w:r>
      <w:r>
        <w:rPr>
          <w:sz w:val="20"/>
        </w:rPr>
        <w:t>zakázky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identifikováno</w:t>
      </w:r>
      <w:r>
        <w:rPr>
          <w:spacing w:val="-3"/>
          <w:sz w:val="20"/>
        </w:rPr>
        <w:t> </w:t>
      </w:r>
      <w:r>
        <w:rPr>
          <w:sz w:val="20"/>
        </w:rPr>
        <w:t>více</w:t>
      </w:r>
      <w:r>
        <w:rPr>
          <w:spacing w:val="-9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 </w:t>
      </w:r>
      <w:r>
        <w:rPr>
          <w:spacing w:val="-2"/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 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</w:t>
      </w:r>
      <w:r>
        <w:rPr>
          <w:spacing w:val="-2"/>
          <w:sz w:val="20"/>
        </w:rPr>
        <w:t> </w:t>
      </w:r>
      <w:r>
        <w:rPr>
          <w:sz w:val="20"/>
        </w:rPr>
        <w:t>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4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 tabulce níže, bude stanovena finanční oprava dle zásady 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pacing w:val="-2"/>
                <w:sz w:val="20"/>
              </w:rPr>
              <w:t>požadovaného </w:t>
            </w: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zahájení </w:t>
            </w:r>
            <w:r>
              <w:rPr>
                <w:spacing w:val="-2"/>
                <w:sz w:val="20"/>
              </w:rPr>
              <w:t>zadávacího/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zakázku, aniž by zahájil zadávací 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4" w:lineRule="auto" w:before="25"/>
              <w:ind w:right="129"/>
              <w:rPr>
                <w:sz w:val="20"/>
              </w:rPr>
            </w:pPr>
            <w:r>
              <w:rPr>
                <w:sz w:val="20"/>
              </w:rPr>
              <w:t>výběrové řízení v souladu s Pokyny 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z w:val="20"/>
              </w:rPr>
              <w:t> míra uveřejnění, která umožnila</w:t>
            </w:r>
          </w:p>
          <w:p>
            <w:pPr>
              <w:pStyle w:val="TableParagraph"/>
              <w:spacing w:line="264" w:lineRule="auto" w:before="0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 přístup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6"/>
              <w:ind w:right="344"/>
              <w:rPr>
                <w:sz w:val="20"/>
              </w:rPr>
            </w:pPr>
            <w:r>
              <w:rPr>
                <w:sz w:val="20"/>
              </w:rPr>
              <w:t>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rozdělil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snížení předpokládané hodnoty 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 v Pokynech OPŽP, 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z w:val="20"/>
              </w:rPr>
              <w:t> míra uveřejnění, která 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 přístup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 délky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 stanovil lhůtu pro podání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tak, že jejich délka</w:t>
            </w:r>
          </w:p>
          <w:p>
            <w:pPr>
              <w:pStyle w:val="TableParagraph"/>
              <w:spacing w:line="261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4"/>
                <w:sz w:val="20"/>
              </w:rPr>
              <w:t> vyšší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 </w:t>
            </w:r>
            <w:r>
              <w:rPr>
                <w:spacing w:val="-2"/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 </w:t>
            </w:r>
            <w:r>
              <w:rPr>
                <w:spacing w:val="-2"/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závažnosti porušení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 </w:t>
            </w:r>
            <w:r>
              <w:rPr>
                <w:spacing w:val="-2"/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Nedostatečná doba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volně, přímo a úplně dostupná,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mohou potenciální dodavatelé opatřit, je příliš krátká a vytváří</w:t>
            </w:r>
          </w:p>
          <w:p>
            <w:pPr>
              <w:pStyle w:val="TableParagraph"/>
              <w:spacing w:line="264" w:lineRule="auto" w:before="0"/>
              <w:ind w:right="166"/>
              <w:rPr>
                <w:sz w:val="20"/>
              </w:rPr>
            </w:pPr>
            <w:r>
              <w:rPr>
                <w:sz w:val="20"/>
              </w:rPr>
              <w:t>neodůvodněnou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překážku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50 % stanovené 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60 % stanovené 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délka lhůty pro doručení nabídek</w:t>
            </w:r>
          </w:p>
          <w:p>
            <w:pPr>
              <w:pStyle w:val="TableParagraph"/>
              <w:spacing w:line="261" w:lineRule="auto" w:before="1"/>
              <w:ind w:left="105" w:right="182"/>
              <w:rPr>
                <w:sz w:val="20"/>
              </w:rPr>
            </w:pPr>
            <w:r>
              <w:rPr>
                <w:sz w:val="20"/>
              </w:rPr>
              <w:t>alespoň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1" w:top="1120" w:bottom="191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4" w:lineRule="auto" w:before="1"/>
              <w:ind w:right="18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 předběžných nabídek nebo žádostí</w:t>
            </w:r>
          </w:p>
          <w:p>
            <w:pPr>
              <w:pStyle w:val="TableParagraph"/>
              <w:spacing w:line="264" w:lineRule="auto" w:before="0"/>
              <w:ind w:right="436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OPŽP, příp. v dokumentu Zadávání VZ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závažnosti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 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right="621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12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řízení požadavky na kvalifikaci,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porušení a v případě, že</w:t>
            </w:r>
          </w:p>
          <w:p>
            <w:pPr>
              <w:pStyle w:val="TableParagraph"/>
              <w:spacing w:line="261" w:lineRule="auto" w:before="0"/>
              <w:ind w:left="105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byly uvedené, avšak 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right="621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129"/>
              <w:rPr>
                <w:sz w:val="20"/>
              </w:rPr>
            </w:pPr>
            <w:r>
              <w:rPr>
                <w:sz w:val="20"/>
              </w:rPr>
              <w:t>o zahájení výběrového/zadávacího řízení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dokumentaci pravidla pro hodnocení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porušení a v případě, že pravidla 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uvedené, avšak nedostatečně 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3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6"/>
              <w:ind w:right="12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 požadavky bezprostředně nesouvisely s předmětem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20" w:bottom="245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hodnocení nabídek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129"/>
              <w:rPr>
                <w:sz w:val="20"/>
              </w:rPr>
            </w:pPr>
            <w:r>
              <w:rPr>
                <w:sz w:val="20"/>
              </w:rPr>
              <w:t>Zadavatel stanovil diskriminační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případů, kdy hodnotící kritéria nevyjadřují vztah užitné hodnoty a ceny, resp. kvalitativní, environmentální nebo sociální hlediska 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jiných podmínek účasti</w:t>
            </w:r>
          </w:p>
          <w:p>
            <w:pPr>
              <w:pStyle w:val="TableParagraph"/>
              <w:spacing w:line="264" w:lineRule="auto" w:before="1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z w:val="20"/>
              </w:rPr>
              <w:t> zákonem 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účasti, zejména technické podmínky,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jiným způsobem v rozporu se</w:t>
            </w:r>
          </w:p>
          <w:p>
            <w:pPr>
              <w:pStyle w:val="TableParagraph"/>
              <w:spacing w:line="264" w:lineRule="auto" w:before="3"/>
              <w:ind w:right="16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147"/>
              <w:rPr>
                <w:sz w:val="20"/>
              </w:rPr>
            </w:pPr>
            <w:r>
              <w:rPr>
                <w:sz w:val="20"/>
              </w:rPr>
              <w:t>25 %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vyšší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z finančního objemu 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532"/>
              <w:rPr>
                <w:sz w:val="20"/>
              </w:rPr>
            </w:pPr>
            <w:r>
              <w:rPr>
                <w:sz w:val="20"/>
              </w:rPr>
              <w:t>10 % v případě značkové 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míře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532"/>
              <w:rPr>
                <w:sz w:val="20"/>
              </w:rPr>
            </w:pPr>
            <w:r>
              <w:rPr>
                <w:sz w:val="20"/>
              </w:rPr>
              <w:t>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32"/>
              <w:rPr>
                <w:sz w:val="20"/>
              </w:rPr>
            </w:pPr>
            <w:r>
              <w:rPr>
                <w:spacing w:val="-2"/>
                <w:sz w:val="20"/>
              </w:rPr>
              <w:t>Nedostatečné </w:t>
            </w: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Zadavatel nevymezil předmět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18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při zadávání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nedodržel stanovené zadávací podmínky, zejména</w:t>
            </w:r>
          </w:p>
          <w:p>
            <w:pPr>
              <w:pStyle w:val="TableParagraph"/>
              <w:spacing w:line="264" w:lineRule="auto" w:before="0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hodnocení, obchodní podmínky 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2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8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16"/>
              <w:rPr>
                <w:sz w:val="20"/>
              </w:rPr>
            </w:pPr>
            <w:r>
              <w:rPr>
                <w:sz w:val="20"/>
              </w:rPr>
              <w:t>základních zásad 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nebo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zásady zadávání veřejných zakázek při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nabídek, včetně případů, kdy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nabídce,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dodatečné změny nabídky nebo nezajistil</w:t>
            </w:r>
          </w:p>
          <w:p>
            <w:pPr>
              <w:pStyle w:val="TableParagraph"/>
              <w:spacing w:line="264" w:lineRule="auto" w:before="1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nebo hodnocení 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vyřazení 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důvodu mimořádně nízké nabídkové ceny, aniž by požádal 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7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265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určitého </w:t>
            </w: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podání nabídek nebo žádosti pro účast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129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některým dodavatelům informace, které neposkytl 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některé dodavatelé jiným než výše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Příslušný soud nebo jiný 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pravomocně rozhodl, že při zadávání veřejné zakázky došlo ke střetu zájmů,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soud pravomocně rozhodl, že byl při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55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změna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2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8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smlouvy na veřejnou zakázku v rozporu se</w:t>
            </w:r>
          </w:p>
          <w:p>
            <w:pPr>
              <w:pStyle w:val="TableParagraph"/>
              <w:spacing w:line="264" w:lineRule="auto" w:before="1"/>
              <w:ind w:right="16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line="264" w:lineRule="auto" w:before="27"/>
              <w:ind w:left="105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6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zúžení rozsahu plnění veřejné zakázky</w:t>
            </w:r>
          </w:p>
          <w:p>
            <w:pPr>
              <w:pStyle w:val="TableParagraph"/>
              <w:spacing w:line="264" w:lineRule="auto" w:before="0"/>
              <w:ind w:right="166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dokumentem Zadávání VZ v OPŽP, přičemž toto zúžení mohlo ovlivnit výběr </w:t>
            </w: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 zúžení rozsahu plnění</w:t>
            </w:r>
          </w:p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182"/>
              <w:rPr>
                <w:sz w:val="20"/>
              </w:rPr>
            </w:pPr>
            <w:r>
              <w:rPr>
                <w:sz w:val="20"/>
              </w:rPr>
              <w:t>100 % částky, o kterou byla snížena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zakázku, jejímž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dodatečné stavební práce, služby nebo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 smlouvy na veřejnou zakázku vedoucí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stavebních prací, služeb nebo dodávek, aniž by pro to byly splněny podmínky dle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příp. dokumentu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100 % hodnoty dodatečných 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služeb, pokud jejich celková hodnota nepřesahuje 50 %</w:t>
            </w:r>
          </w:p>
          <w:p>
            <w:pPr>
              <w:pStyle w:val="TableParagraph"/>
              <w:spacing w:line="264" w:lineRule="auto" w:before="1"/>
              <w:ind w:left="105" w:right="6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a zároveň nedosahuje finančních limitů pro nadlimitní 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výše uvedeného porušení, 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 ověření souladu jeho postupu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 </w:t>
            </w:r>
            <w:r>
              <w:rPr>
                <w:spacing w:val="-4"/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100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type w:val="continuous"/>
      <w:pgSz w:w="12240" w:h="15840"/>
      <w:pgMar w:header="0" w:footer="1451" w:top="112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0993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3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right="111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2023-09-11T13:10:12Z</dcterms:created>
  <dcterms:modified xsi:type="dcterms:W3CDTF">2023-09-11T13:10:12Z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