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D56" w:rsidRPr="00E41D56" w:rsidRDefault="00E41D56" w:rsidP="00877BF7">
      <w:pPr>
        <w:autoSpaceDE w:val="0"/>
        <w:autoSpaceDN w:val="0"/>
        <w:adjustRightInd w:val="0"/>
        <w:jc w:val="right"/>
        <w:outlineLvl w:val="0"/>
        <w:rPr>
          <w:rFonts w:ascii="Tahoma" w:hAnsi="Tahoma" w:cs="Tahoma"/>
          <w:b/>
        </w:rPr>
      </w:pPr>
      <w:r>
        <w:rPr>
          <w:rFonts w:ascii="Tahoma" w:hAnsi="Tahoma" w:cs="Tahoma"/>
          <w:b/>
        </w:rPr>
        <w:t>RÚ:  110.2016010</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DF2116" w:rsidRPr="00DF2116" w:rsidRDefault="00DF2116" w:rsidP="00DF2116">
      <w:pPr>
        <w:rPr>
          <w:rFonts w:ascii="Tahoma" w:hAnsi="Tahoma" w:cs="Tahoma"/>
          <w:b/>
          <w:sz w:val="20"/>
          <w:szCs w:val="22"/>
        </w:rPr>
      </w:pPr>
      <w:r w:rsidRPr="00DF2116">
        <w:rPr>
          <w:rFonts w:ascii="Tahoma" w:hAnsi="Tahoma" w:cs="Tahoma"/>
          <w:b/>
          <w:sz w:val="20"/>
          <w:szCs w:val="22"/>
        </w:rPr>
        <w:t xml:space="preserve">PHOENIX lékárenský velkoobchod, a.s. </w:t>
      </w:r>
    </w:p>
    <w:p w:rsidR="00DF2116" w:rsidRPr="0071796D" w:rsidRDefault="00DF2116" w:rsidP="00DF2116">
      <w:pPr>
        <w:rPr>
          <w:rFonts w:ascii="Tahoma" w:hAnsi="Tahoma" w:cs="Tahoma"/>
          <w:sz w:val="20"/>
          <w:szCs w:val="20"/>
          <w:shd w:val="clear" w:color="auto" w:fill="FFFF00"/>
        </w:rPr>
      </w:pPr>
      <w:r w:rsidRPr="0071796D">
        <w:rPr>
          <w:rFonts w:ascii="Tahoma" w:hAnsi="Tahoma" w:cs="Tahoma"/>
          <w:sz w:val="20"/>
          <w:szCs w:val="20"/>
        </w:rPr>
        <w:t>Zápis v OR:</w:t>
      </w:r>
      <w:r>
        <w:rPr>
          <w:rFonts w:ascii="Tahoma" w:hAnsi="Tahoma" w:cs="Tahoma"/>
          <w:sz w:val="20"/>
          <w:szCs w:val="20"/>
        </w:rPr>
        <w:tab/>
      </w:r>
      <w:r>
        <w:rPr>
          <w:rFonts w:ascii="Tahoma" w:hAnsi="Tahoma" w:cs="Tahoma"/>
          <w:sz w:val="20"/>
          <w:szCs w:val="20"/>
        </w:rPr>
        <w:tab/>
        <w:t>Městský soud v Praze, oddíl B, vložka 4316</w:t>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K pérovně 945/7, Praha 10 – Hostivař, PSČ: 102 00</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45359326</w:t>
      </w:r>
      <w:r w:rsidRPr="0071796D">
        <w:rPr>
          <w:rStyle w:val="platne1"/>
          <w:rFonts w:ascii="Tahoma" w:hAnsi="Tahoma" w:cs="Tahoma"/>
          <w:sz w:val="20"/>
          <w:szCs w:val="20"/>
        </w:rPr>
        <w:tab/>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DIČ:</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CZ45359326</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 xml:space="preserve">Bankovní spojení: </w:t>
      </w:r>
      <w:r>
        <w:rPr>
          <w:rStyle w:val="platne1"/>
          <w:rFonts w:ascii="Tahoma" w:hAnsi="Tahoma" w:cs="Tahoma"/>
          <w:sz w:val="20"/>
          <w:szCs w:val="20"/>
        </w:rPr>
        <w:tab/>
        <w:t>ČESKÁ SPOŘITELNA, a.s.</w:t>
      </w:r>
    </w:p>
    <w:p w:rsidR="00E41D56" w:rsidRDefault="00DF2116" w:rsidP="00DF2116">
      <w:pPr>
        <w:rPr>
          <w:rFonts w:ascii="Arial" w:hAnsi="Arial" w:cs="Arial"/>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E41D56" w:rsidRPr="0066463F">
        <w:rPr>
          <w:rFonts w:ascii="Arial" w:hAnsi="Arial" w:cs="Arial"/>
          <w:sz w:val="20"/>
          <w:szCs w:val="20"/>
        </w:rPr>
        <w:t>▒▒▒▒▒▒▒▒▒▒▒▒▒</w:t>
      </w:r>
    </w:p>
    <w:p w:rsidR="00DF2116" w:rsidRPr="0071796D" w:rsidRDefault="00DF2116" w:rsidP="00DF2116">
      <w:pPr>
        <w:rPr>
          <w:rFonts w:ascii="Tahoma" w:hAnsi="Tahoma" w:cs="Tahoma"/>
          <w:sz w:val="20"/>
          <w:szCs w:val="20"/>
          <w:shd w:val="clear" w:color="auto" w:fill="FFFF00"/>
        </w:rPr>
      </w:pPr>
      <w:r w:rsidRPr="0071796D">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MUDr. Michaela Steklá, prokuristka</w:t>
      </w:r>
    </w:p>
    <w:p w:rsidR="00DF2116" w:rsidRPr="0071796D" w:rsidRDefault="00DF2116" w:rsidP="00DF2116">
      <w:pPr>
        <w:rPr>
          <w:rStyle w:val="platne1"/>
          <w:rFonts w:ascii="Tahoma" w:hAnsi="Tahoma" w:cs="Tahoma"/>
          <w:sz w:val="20"/>
          <w:szCs w:val="20"/>
        </w:rPr>
      </w:pPr>
      <w:r w:rsidRPr="0071796D">
        <w:rPr>
          <w:rStyle w:val="platne1"/>
          <w:rFonts w:ascii="Tahoma" w:hAnsi="Tahoma" w:cs="Tahoma"/>
          <w:sz w:val="20"/>
          <w:szCs w:val="20"/>
        </w:rPr>
        <w:t>Kontaktní osoba:</w:t>
      </w:r>
      <w:r>
        <w:rPr>
          <w:rStyle w:val="platne1"/>
          <w:rFonts w:ascii="Tahoma" w:hAnsi="Tahoma" w:cs="Tahoma"/>
          <w:sz w:val="20"/>
          <w:szCs w:val="20"/>
        </w:rPr>
        <w:tab/>
      </w:r>
      <w:r w:rsidR="00E41D56" w:rsidRPr="0066463F">
        <w:rPr>
          <w:rFonts w:ascii="Arial" w:hAnsi="Arial" w:cs="Arial"/>
          <w:sz w:val="20"/>
          <w:szCs w:val="20"/>
        </w:rPr>
        <w:t>▒▒▒▒▒▒▒▒▒▒▒▒▒</w:t>
      </w:r>
    </w:p>
    <w:p w:rsidR="00DF2116" w:rsidRPr="0071796D" w:rsidRDefault="00DF2116" w:rsidP="00DF2116">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E41D56" w:rsidRPr="0066463F">
        <w:rPr>
          <w:rFonts w:ascii="Arial" w:hAnsi="Arial" w:cs="Arial"/>
          <w:sz w:val="20"/>
          <w:szCs w:val="20"/>
        </w:rPr>
        <w:t>▒▒▒▒▒▒▒▒▒▒▒▒▒</w:t>
      </w:r>
    </w:p>
    <w:p w:rsidR="00E41D56" w:rsidRDefault="00DF2116" w:rsidP="00E41D56">
      <w:pPr>
        <w:shd w:val="clear" w:color="auto" w:fill="FFFFFF" w:themeFill="background1"/>
        <w:rPr>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Pr>
          <w:rStyle w:val="platne1"/>
          <w:rFonts w:ascii="Tahoma" w:hAnsi="Tahoma" w:cs="Tahoma"/>
          <w:sz w:val="20"/>
          <w:szCs w:val="20"/>
        </w:rPr>
        <w:tab/>
      </w:r>
      <w:r w:rsidR="00E41D56" w:rsidRPr="0066463F">
        <w:rPr>
          <w:rFonts w:ascii="Arial" w:hAnsi="Arial" w:cs="Arial"/>
          <w:sz w:val="20"/>
          <w:szCs w:val="20"/>
        </w:rPr>
        <w:t>▒▒▒▒▒▒▒▒▒▒▒▒▒</w:t>
      </w:r>
      <w:r w:rsidR="00E41D56" w:rsidRPr="0071796D">
        <w:rPr>
          <w:rFonts w:ascii="Tahoma" w:hAnsi="Tahoma" w:cs="Tahoma"/>
          <w:sz w:val="20"/>
          <w:szCs w:val="20"/>
        </w:rPr>
        <w:t xml:space="preserve"> </w:t>
      </w:r>
    </w:p>
    <w:p w:rsidR="00634921" w:rsidRPr="0071796D" w:rsidRDefault="00634921" w:rsidP="00E41D56">
      <w:pPr>
        <w:shd w:val="clear" w:color="auto" w:fill="FFFFFF" w:themeFill="background1"/>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E41D56" w:rsidRDefault="00634921" w:rsidP="00634921">
      <w:pPr>
        <w:rPr>
          <w:rFonts w:ascii="Arial" w:hAnsi="Arial" w:cs="Arial"/>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E41D56"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w:t>
      </w:r>
      <w:r w:rsidR="00A76A2D">
        <w:rPr>
          <w:rFonts w:ascii="Tahoma" w:hAnsi="Tahoma" w:cs="Tahoma"/>
          <w:sz w:val="20"/>
          <w:szCs w:val="20"/>
        </w:rPr>
        <w:t xml:space="preserve"> „smlouva</w:t>
      </w:r>
      <w:r w:rsidR="00B11CE7" w:rsidRPr="0071796D">
        <w:rPr>
          <w:rFonts w:ascii="Tahoma" w:hAnsi="Tahoma" w:cs="Tahoma"/>
          <w:sz w:val="20"/>
          <w:szCs w:val="20"/>
        </w:rPr>
        <w:t>“)</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Biologická léčba I</w:t>
      </w:r>
      <w:r w:rsidR="00952F00">
        <w:rPr>
          <w:rFonts w:ascii="Tahoma" w:hAnsi="Tahoma" w:cs="Tahoma"/>
          <w:sz w:val="20"/>
          <w:szCs w:val="20"/>
        </w:rPr>
        <w:t>I</w:t>
      </w:r>
      <w:r w:rsidR="00754CCD">
        <w:rPr>
          <w:rFonts w:ascii="Tahoma" w:hAnsi="Tahoma" w:cs="Tahoma"/>
          <w:sz w:val="20"/>
          <w:szCs w:val="20"/>
        </w:rPr>
        <w:t xml:space="preserve">I – </w:t>
      </w:r>
      <w:proofErr w:type="spellStart"/>
      <w:r w:rsidR="00952F00">
        <w:rPr>
          <w:rFonts w:ascii="Tahoma" w:hAnsi="Tahoma" w:cs="Tahoma"/>
          <w:sz w:val="20"/>
          <w:szCs w:val="20"/>
        </w:rPr>
        <w:t>biosimilares</w:t>
      </w:r>
      <w:proofErr w:type="spellEnd"/>
      <w:r w:rsidRPr="00173C3B">
        <w:rPr>
          <w:rFonts w:ascii="Tahoma" w:hAnsi="Tahoma" w:cs="Tahoma"/>
          <w:sz w:val="20"/>
          <w:szCs w:val="20"/>
        </w:rPr>
        <w:t>“</w:t>
      </w:r>
      <w:r w:rsidR="00A76A2D">
        <w:rPr>
          <w:rFonts w:ascii="Tahoma" w:hAnsi="Tahoma" w:cs="Tahoma"/>
          <w:sz w:val="20"/>
          <w:szCs w:val="20"/>
        </w:rPr>
        <w:t>,</w:t>
      </w:r>
      <w:r w:rsidR="005D129A">
        <w:rPr>
          <w:rFonts w:ascii="Tahoma" w:hAnsi="Tahoma" w:cs="Tahoma"/>
          <w:sz w:val="20"/>
          <w:szCs w:val="20"/>
        </w:rPr>
        <w:t xml:space="preserve"> část </w:t>
      </w:r>
      <w:r w:rsidR="00517494">
        <w:rPr>
          <w:rFonts w:ascii="Tahoma" w:hAnsi="Tahoma" w:cs="Tahoma"/>
          <w:sz w:val="20"/>
          <w:szCs w:val="20"/>
        </w:rPr>
        <w:t>B</w:t>
      </w:r>
      <w:r w:rsidRPr="00173C3B">
        <w:rPr>
          <w:rFonts w:ascii="Tahoma" w:hAnsi="Tahoma" w:cs="Tahoma"/>
          <w:sz w:val="20"/>
          <w:szCs w:val="20"/>
        </w:rPr>
        <w:t>, ev. č. zakázky ve Věstníku veřejných zakázek:</w:t>
      </w:r>
      <w:r w:rsidR="0064218D" w:rsidRPr="00173C3B">
        <w:rPr>
          <w:rFonts w:ascii="Tahoma" w:hAnsi="Tahoma" w:cs="Tahoma"/>
          <w:sz w:val="20"/>
          <w:szCs w:val="20"/>
        </w:rPr>
        <w:t xml:space="preserve"> </w:t>
      </w:r>
      <w:r w:rsidR="00952F00">
        <w:rPr>
          <w:rFonts w:ascii="Arial" w:hAnsi="Arial" w:cs="Arial"/>
          <w:bCs/>
          <w:sz w:val="18"/>
          <w:szCs w:val="18"/>
        </w:rPr>
        <w:t>635126</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B85856"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Kupující pořídil zboží od třetí osoby, včetně nákladů souvisejících s tímto pořízením.</w:t>
      </w:r>
    </w:p>
    <w:p w:rsidR="00B85856" w:rsidRDefault="00B85856" w:rsidP="00E1212F">
      <w:pPr>
        <w:autoSpaceDE w:val="0"/>
        <w:autoSpaceDN w:val="0"/>
        <w:adjustRightInd w:val="0"/>
        <w:jc w:val="both"/>
        <w:rPr>
          <w:rFonts w:ascii="Tahoma" w:hAnsi="Tahoma" w:cs="Tahoma"/>
          <w:sz w:val="20"/>
          <w:szCs w:val="20"/>
        </w:rPr>
      </w:pPr>
    </w:p>
    <w:p w:rsidR="00B85856" w:rsidRDefault="00B85856" w:rsidP="00E1212F">
      <w:pPr>
        <w:autoSpaceDE w:val="0"/>
        <w:autoSpaceDN w:val="0"/>
        <w:adjustRightInd w:val="0"/>
        <w:jc w:val="both"/>
        <w:rPr>
          <w:rFonts w:ascii="Tahoma" w:hAnsi="Tahoma" w:cs="Tahoma"/>
          <w:sz w:val="20"/>
          <w:szCs w:val="20"/>
        </w:rPr>
      </w:pPr>
    </w:p>
    <w:p w:rsidR="00E41D56" w:rsidRDefault="00E41D56" w:rsidP="00E1212F">
      <w:pPr>
        <w:autoSpaceDE w:val="0"/>
        <w:autoSpaceDN w:val="0"/>
        <w:adjustRightInd w:val="0"/>
        <w:jc w:val="both"/>
        <w:rPr>
          <w:rFonts w:ascii="Tahoma" w:hAnsi="Tahoma" w:cs="Tahoma"/>
          <w:sz w:val="20"/>
          <w:szCs w:val="20"/>
        </w:rPr>
      </w:pPr>
    </w:p>
    <w:p w:rsidR="00624870" w:rsidRPr="0071796D" w:rsidRDefault="00D910A3" w:rsidP="00E1212F">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2237FB" w:rsidRPr="0071796D" w:rsidRDefault="002237FB"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CD1D34">
        <w:rPr>
          <w:rFonts w:ascii="Tahoma" w:hAnsi="Tahoma" w:cs="Tahoma"/>
          <w:b/>
          <w:sz w:val="20"/>
          <w:szCs w:val="20"/>
        </w:rPr>
        <w:t xml:space="preserve">5 </w:t>
      </w:r>
      <w:r>
        <w:rPr>
          <w:rFonts w:ascii="Tahoma" w:hAnsi="Tahoma" w:cs="Tahoma"/>
          <w:sz w:val="20"/>
          <w:szCs w:val="20"/>
        </w:rPr>
        <w:t xml:space="preserve">pracovních dnů ode dne převzetí zboží. </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2) Skryté vady, kterými se rozumí vady vzniklé rozbitím, prázdná balení v originálních baleních či kartónech atd., je Kupující oprávněn reklamovat u Prodávajícího ve lhůtě do</w:t>
      </w:r>
      <w:r w:rsidRPr="00CD1D34">
        <w:rPr>
          <w:rFonts w:ascii="Tahoma" w:hAnsi="Tahoma" w:cs="Tahoma"/>
          <w:b/>
          <w:sz w:val="20"/>
          <w:szCs w:val="20"/>
        </w:rPr>
        <w:t xml:space="preserve"> 5</w:t>
      </w:r>
      <w:r>
        <w:rPr>
          <w:rFonts w:ascii="Tahoma" w:hAnsi="Tahoma" w:cs="Tahoma"/>
          <w:sz w:val="20"/>
          <w:szCs w:val="20"/>
        </w:rPr>
        <w:t xml:space="preserve"> pracovních dnů od převzetí zboží.</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637964" w:rsidRDefault="00637964" w:rsidP="00637964">
      <w:pPr>
        <w:autoSpaceDE w:val="0"/>
        <w:autoSpaceDN w:val="0"/>
        <w:adjustRightInd w:val="0"/>
        <w:jc w:val="both"/>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637964" w:rsidRDefault="00637964" w:rsidP="00637964">
      <w:pPr>
        <w:autoSpaceDE w:val="0"/>
        <w:autoSpaceDN w:val="0"/>
        <w:adjustRightInd w:val="0"/>
        <w:rPr>
          <w:rFonts w:ascii="Tahoma" w:hAnsi="Tahoma" w:cs="Tahoma"/>
          <w:sz w:val="20"/>
          <w:szCs w:val="20"/>
        </w:rPr>
      </w:pPr>
    </w:p>
    <w:p w:rsidR="00637964" w:rsidRDefault="00637964" w:rsidP="00637964">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w:t>
      </w:r>
      <w:proofErr w:type="gramStart"/>
      <w:r w:rsidR="007017F6" w:rsidRPr="000E7681">
        <w:rPr>
          <w:rFonts w:ascii="Tahoma" w:hAnsi="Tahoma" w:cs="Tahoma"/>
          <w:sz w:val="20"/>
          <w:szCs w:val="20"/>
        </w:rPr>
        <w:t>této</w:t>
      </w:r>
      <w:proofErr w:type="gramEnd"/>
      <w:r w:rsidR="007017F6" w:rsidRPr="000E7681">
        <w:rPr>
          <w:rFonts w:ascii="Tahoma" w:hAnsi="Tahoma" w:cs="Tahoma"/>
          <w:sz w:val="20"/>
          <w:szCs w:val="20"/>
        </w:rPr>
        <w:t xml:space="preserve">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w:t>
      </w:r>
      <w:proofErr w:type="gramStart"/>
      <w:r w:rsidRPr="000E7681">
        <w:rPr>
          <w:rFonts w:ascii="Tahoma" w:hAnsi="Tahoma" w:cs="Tahoma"/>
          <w:sz w:val="20"/>
          <w:szCs w:val="20"/>
        </w:rPr>
        <w:t>této</w:t>
      </w:r>
      <w:proofErr w:type="gramEnd"/>
      <w:r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A76A2D" w:rsidP="00331C98">
      <w:pPr>
        <w:rPr>
          <w:rFonts w:ascii="Tahoma" w:hAnsi="Tahoma" w:cs="Tahoma"/>
          <w:sz w:val="20"/>
          <w:szCs w:val="20"/>
        </w:rPr>
      </w:pPr>
      <w:r>
        <w:rPr>
          <w:rFonts w:ascii="Tahoma" w:hAnsi="Tahoma" w:cs="Tahoma"/>
          <w:sz w:val="20"/>
          <w:szCs w:val="20"/>
        </w:rPr>
        <w:t>V Praze</w:t>
      </w:r>
      <w:r w:rsidR="00877BF7" w:rsidRPr="0071796D">
        <w:rPr>
          <w:rFonts w:ascii="Tahoma" w:hAnsi="Tahoma" w:cs="Tahoma"/>
          <w:sz w:val="20"/>
          <w:szCs w:val="20"/>
        </w:rPr>
        <w:t xml:space="preserve"> dne</w:t>
      </w:r>
      <w:r w:rsidR="00331C98">
        <w:rPr>
          <w:rFonts w:ascii="Tahoma" w:hAnsi="Tahoma" w:cs="Tahoma"/>
          <w:sz w:val="20"/>
          <w:szCs w:val="20"/>
        </w:rPr>
        <w:t xml:space="preserve"> </w:t>
      </w:r>
      <w:r>
        <w:rPr>
          <w:rFonts w:ascii="Tahoma" w:hAnsi="Tahoma" w:cs="Tahoma"/>
          <w:sz w:val="20"/>
          <w:szCs w:val="20"/>
        </w:rPr>
        <w:tab/>
      </w:r>
      <w:r w:rsidR="00E41D56">
        <w:rPr>
          <w:rFonts w:ascii="Tahoma" w:hAnsi="Tahoma" w:cs="Tahoma"/>
          <w:sz w:val="20"/>
          <w:szCs w:val="20"/>
        </w:rPr>
        <w:t>30.8.2016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            V</w:t>
      </w:r>
      <w:r>
        <w:rPr>
          <w:rFonts w:ascii="Tahoma" w:hAnsi="Tahoma" w:cs="Tahoma"/>
          <w:sz w:val="20"/>
          <w:szCs w:val="20"/>
        </w:rPr>
        <w:t xml:space="preserve"> Praze </w:t>
      </w:r>
      <w:r w:rsidR="00877BF7" w:rsidRPr="0071796D">
        <w:rPr>
          <w:rFonts w:ascii="Tahoma" w:hAnsi="Tahoma" w:cs="Tahoma"/>
          <w:sz w:val="20"/>
          <w:szCs w:val="20"/>
        </w:rPr>
        <w:t>dne</w:t>
      </w:r>
      <w:r>
        <w:rPr>
          <w:rFonts w:ascii="Tahoma" w:hAnsi="Tahoma" w:cs="Tahoma"/>
          <w:sz w:val="20"/>
          <w:szCs w:val="20"/>
        </w:rPr>
        <w:t xml:space="preserve"> </w:t>
      </w:r>
      <w:r w:rsidR="00E41D56">
        <w:rPr>
          <w:rFonts w:ascii="Tahoma" w:hAnsi="Tahoma" w:cs="Tahoma"/>
          <w:sz w:val="20"/>
          <w:szCs w:val="20"/>
        </w:rPr>
        <w:t xml:space="preserve">  7.9.2016</w:t>
      </w:r>
      <w:bookmarkStart w:id="0" w:name="_GoBack"/>
      <w:bookmarkEnd w:id="0"/>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B53252" w:rsidRDefault="00B53252" w:rsidP="00877BF7">
      <w:pPr>
        <w:autoSpaceDE w:val="0"/>
        <w:autoSpaceDN w:val="0"/>
        <w:adjustRightInd w:val="0"/>
        <w:rPr>
          <w:rFonts w:ascii="Tahoma" w:hAnsi="Tahoma" w:cs="Tahoma"/>
          <w:sz w:val="20"/>
          <w:szCs w:val="20"/>
        </w:rPr>
      </w:pP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B53252" w:rsidRDefault="00A76A2D" w:rsidP="00B11CE7">
      <w:pPr>
        <w:autoSpaceDE w:val="0"/>
        <w:autoSpaceDN w:val="0"/>
        <w:adjustRightInd w:val="0"/>
        <w:rPr>
          <w:rFonts w:ascii="Tahoma" w:hAnsi="Tahoma" w:cs="Tahoma"/>
          <w:sz w:val="20"/>
          <w:szCs w:val="20"/>
        </w:rPr>
      </w:pPr>
      <w:r>
        <w:rPr>
          <w:rFonts w:ascii="Tahoma" w:hAnsi="Tahoma" w:cs="Tahoma"/>
          <w:sz w:val="20"/>
          <w:szCs w:val="20"/>
        </w:rPr>
        <w:t>MUDr. Michaela Steklá, prokuristka</w:t>
      </w:r>
      <w:r w:rsidR="00B53252">
        <w:rPr>
          <w:rFonts w:ascii="Tahoma" w:hAnsi="Tahoma" w:cs="Tahoma"/>
          <w:sz w:val="20"/>
          <w:szCs w:val="20"/>
        </w:rPr>
        <w:tab/>
      </w:r>
      <w:r w:rsidR="00B53252">
        <w:rPr>
          <w:rFonts w:ascii="Tahoma" w:hAnsi="Tahoma" w:cs="Tahoma"/>
          <w:sz w:val="20"/>
          <w:szCs w:val="20"/>
        </w:rPr>
        <w:tab/>
      </w:r>
      <w:r w:rsidR="00B53252">
        <w:rPr>
          <w:rFonts w:ascii="Tahoma" w:hAnsi="Tahoma" w:cs="Tahoma"/>
          <w:sz w:val="20"/>
          <w:szCs w:val="20"/>
        </w:rPr>
        <w:tab/>
      </w:r>
      <w:r w:rsidR="00B53252" w:rsidRPr="0071796D">
        <w:rPr>
          <w:rStyle w:val="platne1"/>
          <w:rFonts w:ascii="Tahoma" w:hAnsi="Tahoma" w:cs="Tahoma"/>
          <w:sz w:val="20"/>
          <w:szCs w:val="20"/>
        </w:rPr>
        <w:t>Prof. MUDr. Karel Pavelka, DrSc.,</w:t>
      </w:r>
    </w:p>
    <w:p w:rsidR="0064218D" w:rsidRDefault="00B53252" w:rsidP="00B11CE7">
      <w:pPr>
        <w:autoSpaceDE w:val="0"/>
        <w:autoSpaceDN w:val="0"/>
        <w:adjustRightInd w:val="0"/>
        <w:rPr>
          <w:rStyle w:val="platne1"/>
          <w:rFonts w:ascii="Tahoma" w:hAnsi="Tahoma" w:cs="Tahoma"/>
          <w:sz w:val="20"/>
          <w:szCs w:val="20"/>
        </w:rPr>
      </w:pPr>
      <w:r>
        <w:rPr>
          <w:rFonts w:ascii="Tahoma" w:hAnsi="Tahoma" w:cs="Tahoma"/>
          <w:sz w:val="20"/>
          <w:szCs w:val="20"/>
        </w:rPr>
        <w:t>PHOENIX lékárenský velkoobchod, a.s.</w:t>
      </w:r>
      <w:r w:rsidR="00877BF7" w:rsidRPr="0071796D">
        <w:rPr>
          <w:rFonts w:ascii="Tahoma" w:hAnsi="Tahoma" w:cs="Tahoma"/>
          <w:sz w:val="20"/>
          <w:szCs w:val="20"/>
        </w:rPr>
        <w:t xml:space="preserve">            </w:t>
      </w:r>
      <w:r w:rsidR="00331C98">
        <w:rPr>
          <w:rFonts w:ascii="Tahoma" w:hAnsi="Tahoma" w:cs="Tahoma"/>
          <w:sz w:val="20"/>
          <w:szCs w:val="20"/>
        </w:rP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r w:rsidR="00B11CE7" w:rsidRPr="0071796D">
        <w:rPr>
          <w:rStyle w:val="platne1"/>
          <w:rFonts w:ascii="Tahoma" w:hAnsi="Tahoma" w:cs="Tahoma"/>
          <w:sz w:val="20"/>
          <w:szCs w:val="20"/>
        </w:rPr>
        <w:t xml:space="preserve">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B53252" w:rsidRDefault="00B53252" w:rsidP="00A76A2D">
      <w:pPr>
        <w:jc w:val="both"/>
        <w:rPr>
          <w:rFonts w:ascii="Tahoma" w:hAnsi="Tahoma" w:cs="Tahoma"/>
          <w:sz w:val="20"/>
          <w:szCs w:val="20"/>
        </w:rPr>
      </w:pPr>
    </w:p>
    <w:p w:rsidR="00A76A2D" w:rsidRDefault="00A76A2D" w:rsidP="00A76A2D">
      <w:pPr>
        <w:jc w:val="both"/>
        <w:rPr>
          <w:rFonts w:ascii="Tahoma" w:hAnsi="Tahoma" w:cs="Tahoma"/>
          <w:sz w:val="20"/>
          <w:szCs w:val="20"/>
        </w:rPr>
      </w:pPr>
      <w:r>
        <w:rPr>
          <w:rFonts w:ascii="Tahoma" w:hAnsi="Tahoma" w:cs="Tahoma"/>
          <w:sz w:val="20"/>
          <w:szCs w:val="20"/>
        </w:rPr>
        <w:t>.................................</w:t>
      </w:r>
    </w:p>
    <w:p w:rsidR="00A76A2D" w:rsidRDefault="00A76A2D" w:rsidP="00A76A2D">
      <w:pPr>
        <w:jc w:val="both"/>
        <w:rPr>
          <w:rFonts w:ascii="Tahoma" w:hAnsi="Tahoma" w:cs="Tahoma"/>
          <w:sz w:val="20"/>
          <w:szCs w:val="20"/>
        </w:rPr>
      </w:pPr>
      <w:r>
        <w:rPr>
          <w:rFonts w:ascii="Tahoma" w:hAnsi="Tahoma" w:cs="Tahoma"/>
          <w:sz w:val="20"/>
          <w:szCs w:val="20"/>
        </w:rPr>
        <w:t>Interně schválil:</w:t>
      </w:r>
    </w:p>
    <w:p w:rsidR="00A76A2D" w:rsidRDefault="00A76A2D" w:rsidP="00A76A2D">
      <w:pPr>
        <w:jc w:val="both"/>
        <w:rPr>
          <w:rFonts w:ascii="Tahoma" w:hAnsi="Tahoma" w:cs="Tahoma"/>
          <w:sz w:val="20"/>
          <w:szCs w:val="20"/>
        </w:rPr>
      </w:pPr>
      <w:r>
        <w:rPr>
          <w:rFonts w:ascii="Tahoma" w:hAnsi="Tahoma" w:cs="Tahoma"/>
          <w:sz w:val="20"/>
          <w:szCs w:val="20"/>
        </w:rPr>
        <w:t>Petr Hora, prokurista</w:t>
      </w: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p>
    <w:p w:rsidR="00A76A2D" w:rsidRDefault="00A76A2D" w:rsidP="00A76A2D">
      <w:pPr>
        <w:jc w:val="both"/>
        <w:rPr>
          <w:rFonts w:ascii="Tahoma" w:hAnsi="Tahoma" w:cs="Tahoma"/>
          <w:sz w:val="20"/>
          <w:szCs w:val="20"/>
        </w:rPr>
      </w:pPr>
      <w:r>
        <w:rPr>
          <w:rFonts w:ascii="Tahoma" w:hAnsi="Tahoma" w:cs="Tahoma"/>
          <w:sz w:val="20"/>
          <w:szCs w:val="20"/>
        </w:rPr>
        <w:t>...................................</w:t>
      </w:r>
    </w:p>
    <w:p w:rsidR="00A76A2D" w:rsidRDefault="00A76A2D" w:rsidP="00A76A2D">
      <w:pPr>
        <w:jc w:val="both"/>
        <w:rPr>
          <w:rFonts w:ascii="Tahoma" w:hAnsi="Tahoma" w:cs="Tahoma"/>
          <w:sz w:val="20"/>
          <w:szCs w:val="20"/>
        </w:rPr>
      </w:pPr>
      <w:r>
        <w:rPr>
          <w:rFonts w:ascii="Tahoma" w:hAnsi="Tahoma" w:cs="Tahoma"/>
          <w:sz w:val="20"/>
          <w:szCs w:val="20"/>
        </w:rPr>
        <w:t xml:space="preserve">Za právní odd. </w:t>
      </w:r>
      <w:proofErr w:type="gramStart"/>
      <w:r>
        <w:rPr>
          <w:rFonts w:ascii="Tahoma" w:hAnsi="Tahoma" w:cs="Tahoma"/>
          <w:sz w:val="20"/>
          <w:szCs w:val="20"/>
        </w:rPr>
        <w:t>schválil</w:t>
      </w:r>
      <w:proofErr w:type="gramEnd"/>
      <w:r>
        <w:rPr>
          <w:rFonts w:ascii="Tahoma" w:hAnsi="Tahoma" w:cs="Tahoma"/>
          <w:sz w:val="20"/>
          <w:szCs w:val="20"/>
        </w:rPr>
        <w:t xml:space="preserve">: </w:t>
      </w:r>
    </w:p>
    <w:p w:rsidR="00331C98" w:rsidRDefault="00A76A2D" w:rsidP="00331C98">
      <w:pPr>
        <w:jc w:val="both"/>
        <w:rPr>
          <w:rFonts w:ascii="Tahoma" w:hAnsi="Tahoma" w:cs="Tahoma"/>
          <w:sz w:val="20"/>
          <w:szCs w:val="20"/>
        </w:rPr>
      </w:pPr>
      <w:r>
        <w:rPr>
          <w:rFonts w:ascii="Tahoma" w:hAnsi="Tahoma" w:cs="Tahoma"/>
          <w:sz w:val="20"/>
          <w:szCs w:val="20"/>
        </w:rPr>
        <w:t>Mgr. Jaromír Saska</w:t>
      </w:r>
    </w:p>
    <w:sectPr w:rsid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8C6" w:rsidRDefault="005978C6" w:rsidP="00360EAC">
      <w:r>
        <w:separator/>
      </w:r>
    </w:p>
  </w:endnote>
  <w:endnote w:type="continuationSeparator" w:id="0">
    <w:p w:rsidR="005978C6" w:rsidRDefault="005978C6" w:rsidP="0036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8C6" w:rsidRDefault="005978C6" w:rsidP="00360EAC">
      <w:r>
        <w:separator/>
      </w:r>
    </w:p>
  </w:footnote>
  <w:footnote w:type="continuationSeparator" w:id="0">
    <w:p w:rsidR="005978C6" w:rsidRDefault="005978C6" w:rsidP="0036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EAC" w:rsidRDefault="00360EAC" w:rsidP="00360EAC">
    <w:pPr>
      <w:pStyle w:val="Zhlav"/>
      <w:jc w:val="center"/>
    </w:pPr>
    <w:r w:rsidRPr="00173C3B">
      <w:rPr>
        <w:rFonts w:ascii="Tahoma" w:hAnsi="Tahoma" w:cs="Tahoma"/>
        <w:sz w:val="20"/>
        <w:szCs w:val="20"/>
      </w:rPr>
      <w:t>Biologická léčba I</w:t>
    </w:r>
    <w:r>
      <w:rPr>
        <w:rFonts w:ascii="Tahoma" w:hAnsi="Tahoma" w:cs="Tahoma"/>
        <w:sz w:val="20"/>
        <w:szCs w:val="20"/>
      </w:rPr>
      <w:t xml:space="preserve">II – </w:t>
    </w:r>
    <w:proofErr w:type="spellStart"/>
    <w:r>
      <w:rPr>
        <w:rFonts w:ascii="Tahoma" w:hAnsi="Tahoma" w:cs="Tahoma"/>
        <w:sz w:val="20"/>
        <w:szCs w:val="20"/>
      </w:rPr>
      <w:t>biosimilares</w:t>
    </w:r>
    <w:proofErr w:type="spellEnd"/>
  </w:p>
  <w:p w:rsidR="00360EAC" w:rsidRDefault="00360E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7681"/>
    <w:rsid w:val="001366AE"/>
    <w:rsid w:val="0016081D"/>
    <w:rsid w:val="00173C3B"/>
    <w:rsid w:val="00183670"/>
    <w:rsid w:val="00191DCC"/>
    <w:rsid w:val="001C162D"/>
    <w:rsid w:val="001C194F"/>
    <w:rsid w:val="001C4ED1"/>
    <w:rsid w:val="001D006A"/>
    <w:rsid w:val="001E6AEA"/>
    <w:rsid w:val="002237FB"/>
    <w:rsid w:val="0025591A"/>
    <w:rsid w:val="002713A2"/>
    <w:rsid w:val="00277DEA"/>
    <w:rsid w:val="00295505"/>
    <w:rsid w:val="003031B8"/>
    <w:rsid w:val="003035E2"/>
    <w:rsid w:val="00331C98"/>
    <w:rsid w:val="00360EAC"/>
    <w:rsid w:val="00366B67"/>
    <w:rsid w:val="003C05E3"/>
    <w:rsid w:val="003C43F9"/>
    <w:rsid w:val="003E02B1"/>
    <w:rsid w:val="003F590F"/>
    <w:rsid w:val="00422EED"/>
    <w:rsid w:val="00424404"/>
    <w:rsid w:val="00436C49"/>
    <w:rsid w:val="0046167A"/>
    <w:rsid w:val="00461E8D"/>
    <w:rsid w:val="004C3EB3"/>
    <w:rsid w:val="004D2CB6"/>
    <w:rsid w:val="00503E75"/>
    <w:rsid w:val="00517494"/>
    <w:rsid w:val="005219AC"/>
    <w:rsid w:val="00523765"/>
    <w:rsid w:val="005267F5"/>
    <w:rsid w:val="00527F46"/>
    <w:rsid w:val="0055320A"/>
    <w:rsid w:val="00562227"/>
    <w:rsid w:val="00571528"/>
    <w:rsid w:val="00573F8F"/>
    <w:rsid w:val="005829B4"/>
    <w:rsid w:val="00583818"/>
    <w:rsid w:val="005978C6"/>
    <w:rsid w:val="005B1F18"/>
    <w:rsid w:val="005D062E"/>
    <w:rsid w:val="005D129A"/>
    <w:rsid w:val="005F2F5C"/>
    <w:rsid w:val="005F4093"/>
    <w:rsid w:val="00615D9F"/>
    <w:rsid w:val="00624870"/>
    <w:rsid w:val="00634921"/>
    <w:rsid w:val="00637964"/>
    <w:rsid w:val="00637A53"/>
    <w:rsid w:val="0064218D"/>
    <w:rsid w:val="006534EB"/>
    <w:rsid w:val="00654B35"/>
    <w:rsid w:val="0069179B"/>
    <w:rsid w:val="0069245D"/>
    <w:rsid w:val="007017F6"/>
    <w:rsid w:val="0071796D"/>
    <w:rsid w:val="0072045B"/>
    <w:rsid w:val="00727113"/>
    <w:rsid w:val="00747DC3"/>
    <w:rsid w:val="00754CCD"/>
    <w:rsid w:val="007B01D5"/>
    <w:rsid w:val="007C02B3"/>
    <w:rsid w:val="007C4306"/>
    <w:rsid w:val="007F0237"/>
    <w:rsid w:val="008279BB"/>
    <w:rsid w:val="00837493"/>
    <w:rsid w:val="00841505"/>
    <w:rsid w:val="00844FB6"/>
    <w:rsid w:val="00877BF7"/>
    <w:rsid w:val="00880DF6"/>
    <w:rsid w:val="008A0011"/>
    <w:rsid w:val="008B04C3"/>
    <w:rsid w:val="008C03FD"/>
    <w:rsid w:val="008C7B9F"/>
    <w:rsid w:val="008E0DF7"/>
    <w:rsid w:val="009054F2"/>
    <w:rsid w:val="009141AC"/>
    <w:rsid w:val="00933F46"/>
    <w:rsid w:val="00945798"/>
    <w:rsid w:val="00952F00"/>
    <w:rsid w:val="009A3BC2"/>
    <w:rsid w:val="009C09E2"/>
    <w:rsid w:val="009F45A1"/>
    <w:rsid w:val="00A51B55"/>
    <w:rsid w:val="00A66076"/>
    <w:rsid w:val="00A7254A"/>
    <w:rsid w:val="00A76A2D"/>
    <w:rsid w:val="00A92E38"/>
    <w:rsid w:val="00AA7590"/>
    <w:rsid w:val="00AA7857"/>
    <w:rsid w:val="00AF57FC"/>
    <w:rsid w:val="00B052E3"/>
    <w:rsid w:val="00B11CE7"/>
    <w:rsid w:val="00B205FE"/>
    <w:rsid w:val="00B2292F"/>
    <w:rsid w:val="00B33DFF"/>
    <w:rsid w:val="00B53252"/>
    <w:rsid w:val="00B541E2"/>
    <w:rsid w:val="00B62DB8"/>
    <w:rsid w:val="00B74983"/>
    <w:rsid w:val="00B7504D"/>
    <w:rsid w:val="00B85856"/>
    <w:rsid w:val="00B904C4"/>
    <w:rsid w:val="00BC3EC1"/>
    <w:rsid w:val="00BD1AC8"/>
    <w:rsid w:val="00BE214C"/>
    <w:rsid w:val="00C20826"/>
    <w:rsid w:val="00C248EA"/>
    <w:rsid w:val="00C408B8"/>
    <w:rsid w:val="00C423F6"/>
    <w:rsid w:val="00C53C83"/>
    <w:rsid w:val="00C85067"/>
    <w:rsid w:val="00C95054"/>
    <w:rsid w:val="00CB3CD3"/>
    <w:rsid w:val="00CC7EB8"/>
    <w:rsid w:val="00CD0148"/>
    <w:rsid w:val="00CD1D34"/>
    <w:rsid w:val="00CD334B"/>
    <w:rsid w:val="00D007CB"/>
    <w:rsid w:val="00D00D04"/>
    <w:rsid w:val="00D21EEE"/>
    <w:rsid w:val="00D40612"/>
    <w:rsid w:val="00D42353"/>
    <w:rsid w:val="00D5127C"/>
    <w:rsid w:val="00D66CD1"/>
    <w:rsid w:val="00D910A3"/>
    <w:rsid w:val="00DC1D62"/>
    <w:rsid w:val="00DC5769"/>
    <w:rsid w:val="00DE161A"/>
    <w:rsid w:val="00DF2116"/>
    <w:rsid w:val="00E02526"/>
    <w:rsid w:val="00E1212F"/>
    <w:rsid w:val="00E146D1"/>
    <w:rsid w:val="00E17A01"/>
    <w:rsid w:val="00E313F2"/>
    <w:rsid w:val="00E33FD1"/>
    <w:rsid w:val="00E41D56"/>
    <w:rsid w:val="00E61494"/>
    <w:rsid w:val="00E75DC1"/>
    <w:rsid w:val="00EA1EF8"/>
    <w:rsid w:val="00EF7051"/>
    <w:rsid w:val="00F25B0D"/>
    <w:rsid w:val="00F27A5F"/>
    <w:rsid w:val="00F4488A"/>
    <w:rsid w:val="00F80A14"/>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60EAC"/>
    <w:pPr>
      <w:tabs>
        <w:tab w:val="center" w:pos="4536"/>
        <w:tab w:val="right" w:pos="9072"/>
      </w:tabs>
    </w:pPr>
  </w:style>
  <w:style w:type="character" w:customStyle="1" w:styleId="ZhlavChar">
    <w:name w:val="Záhlaví Char"/>
    <w:basedOn w:val="Standardnpsmoodstavce"/>
    <w:link w:val="Zhlav"/>
    <w:uiPriority w:val="99"/>
    <w:rsid w:val="003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60EAC"/>
    <w:pPr>
      <w:tabs>
        <w:tab w:val="center" w:pos="4536"/>
        <w:tab w:val="right" w:pos="9072"/>
      </w:tabs>
    </w:pPr>
  </w:style>
  <w:style w:type="character" w:customStyle="1" w:styleId="ZpatChar">
    <w:name w:val="Zápatí Char"/>
    <w:basedOn w:val="Standardnpsmoodstavce"/>
    <w:link w:val="Zpat"/>
    <w:uiPriority w:val="99"/>
    <w:rsid w:val="00360EAC"/>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360EAC"/>
    <w:pPr>
      <w:tabs>
        <w:tab w:val="center" w:pos="4536"/>
        <w:tab w:val="right" w:pos="9072"/>
      </w:tabs>
    </w:pPr>
  </w:style>
  <w:style w:type="character" w:customStyle="1" w:styleId="ZhlavChar">
    <w:name w:val="Záhlaví Char"/>
    <w:basedOn w:val="Standardnpsmoodstavce"/>
    <w:link w:val="Zhlav"/>
    <w:uiPriority w:val="99"/>
    <w:rsid w:val="00360EA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60EAC"/>
    <w:pPr>
      <w:tabs>
        <w:tab w:val="center" w:pos="4536"/>
        <w:tab w:val="right" w:pos="9072"/>
      </w:tabs>
    </w:pPr>
  </w:style>
  <w:style w:type="character" w:customStyle="1" w:styleId="ZpatChar">
    <w:name w:val="Zápatí Char"/>
    <w:basedOn w:val="Standardnpsmoodstavce"/>
    <w:link w:val="Zpat"/>
    <w:uiPriority w:val="99"/>
    <w:rsid w:val="00360EA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F2849-8CF9-4131-A433-F5E315B96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2324</Words>
  <Characters>13717</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2016-06-28T12:23:00Z</cp:lastPrinted>
  <dcterms:created xsi:type="dcterms:W3CDTF">2016-09-14T07:26:00Z</dcterms:created>
  <dcterms:modified xsi:type="dcterms:W3CDTF">2016-09-14T07:30:00Z</dcterms:modified>
</cp:coreProperties>
</file>