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40E57B8D" w:rsidR="00777BA4" w:rsidRPr="00D746EC" w:rsidRDefault="00D6412C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13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230EF126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7D6FC4B8" w14:textId="0133AB9F" w:rsidR="007E71C9" w:rsidRPr="006F6FF5" w:rsidRDefault="008357AC" w:rsidP="006F6FF5">
            <w:pPr>
              <w:pStyle w:val="Odstavecseseznamem"/>
              <w:numPr>
                <w:ilvl w:val="0"/>
                <w:numId w:val="21"/>
              </w:num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ZL13 – </w:t>
            </w:r>
            <w:r w:rsidRPr="008357AC">
              <w:rPr>
                <w:rFonts w:ascii="Arial CE" w:hAnsi="Arial CE"/>
                <w:sz w:val="16"/>
                <w:szCs w:val="16"/>
              </w:rPr>
              <w:t>Odečet zpevněných ploch</w:t>
            </w:r>
            <w:r>
              <w:rPr>
                <w:rFonts w:ascii="Arial CE" w:hAnsi="Arial CE"/>
                <w:sz w:val="16"/>
                <w:szCs w:val="16"/>
              </w:rPr>
              <w:t xml:space="preserve"> (nefakturované položky)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6829DDBA" w:rsidR="00777BA4" w:rsidRPr="00D746EC" w:rsidRDefault="00777BA4" w:rsidP="00FF097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4302310E" w14:textId="08D50587" w:rsidR="00A81662" w:rsidRDefault="00A81662" w:rsidP="00FF0979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D6412C">
              <w:rPr>
                <w:rFonts w:ascii="Arial CE" w:hAnsi="Arial CE"/>
                <w:sz w:val="16"/>
                <w:szCs w:val="16"/>
              </w:rPr>
              <w:t xml:space="preserve">Po zaměření skutečně realizovaných ploch bylo zjištěno, že se jedná o menší rozsah, </w:t>
            </w:r>
            <w:r w:rsidR="007342F8">
              <w:rPr>
                <w:rFonts w:ascii="Arial CE" w:hAnsi="Arial CE"/>
                <w:sz w:val="16"/>
                <w:szCs w:val="16"/>
              </w:rPr>
              <w:t>který byl realizován v předchozí etapě výstavby Rekreačního přístavu Veselí nad Moravou</w:t>
            </w:r>
            <w:r w:rsidR="00D6412C">
              <w:rPr>
                <w:rFonts w:ascii="Arial CE" w:hAnsi="Arial CE"/>
                <w:sz w:val="16"/>
                <w:szCs w:val="16"/>
              </w:rPr>
              <w:t xml:space="preserve">. Proto </w:t>
            </w:r>
            <w:r w:rsidR="00910D67">
              <w:rPr>
                <w:rFonts w:ascii="Arial CE" w:hAnsi="Arial CE"/>
                <w:sz w:val="16"/>
                <w:szCs w:val="16"/>
              </w:rPr>
              <w:t xml:space="preserve">tyto plochy nebudou fakturovány </w:t>
            </w:r>
            <w:proofErr w:type="gramStart"/>
            <w:r w:rsidR="005115DC">
              <w:rPr>
                <w:rFonts w:ascii="Arial CE" w:hAnsi="Arial CE"/>
                <w:sz w:val="16"/>
                <w:szCs w:val="16"/>
              </w:rPr>
              <w:t>z</w:t>
            </w:r>
            <w:proofErr w:type="gramEnd"/>
            <w:r w:rsidR="00910D67">
              <w:rPr>
                <w:rFonts w:ascii="Arial CE" w:hAnsi="Arial CE"/>
                <w:sz w:val="16"/>
                <w:szCs w:val="16"/>
              </w:rPr>
              <w:t xml:space="preserve"> </w:t>
            </w:r>
            <w:proofErr w:type="spellStart"/>
            <w:r w:rsidR="00910D67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412C">
              <w:rPr>
                <w:rFonts w:ascii="Arial CE" w:hAnsi="Arial CE"/>
                <w:sz w:val="16"/>
                <w:szCs w:val="16"/>
              </w:rPr>
              <w:t>.</w:t>
            </w:r>
            <w:r w:rsidR="007342F8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A083966" w14:textId="288EFB43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104A00E6" w14:textId="02113CF1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6A5BA4AB" w14:textId="58C91A06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35F84A39" w14:textId="77777777" w:rsidR="009A2A28" w:rsidRDefault="009A2A28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  <w:p w14:paraId="13CCD69C" w14:textId="49DD1F2F" w:rsidR="00FF0979" w:rsidRPr="00D746EC" w:rsidRDefault="00FF0979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9F72E9">
        <w:trPr>
          <w:trHeight w:val="280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479" w14:textId="77777777" w:rsidR="00777BA4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  <w:p w14:paraId="4E5FBCDC" w14:textId="77777777" w:rsidR="00FF0979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  <w:p w14:paraId="10E0F180" w14:textId="67AC0C46" w:rsidR="00FF0979" w:rsidRPr="00D746EC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1D20F5DC" w:rsidR="00CB6862" w:rsidRPr="00D746EC" w:rsidRDefault="006F6FF5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-48.857,00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4401C867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AA568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,</w:t>
            </w:r>
            <w:r w:rsidR="006D3FE3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3E0BFC94" w:rsidR="00CB6862" w:rsidRPr="00D746EC" w:rsidRDefault="006F6FF5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-48.857,00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1AA4160B" w:rsidR="00777BA4" w:rsidRPr="00D746EC" w:rsidRDefault="002367C0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FF0979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FF0979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4B7C93C2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3F11E80" w14:textId="77777777" w:rsidR="00777BA4" w:rsidRPr="00D746EC" w:rsidRDefault="00777BA4" w:rsidP="00FF0979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CDD688A" w14:textId="32B3A2A8" w:rsidR="00FF0979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</w:t>
            </w:r>
            <w:r w:rsidR="00AA5689">
              <w:rPr>
                <w:rFonts w:ascii="Calibri" w:hAnsi="Calibri" w:cs="Calibri"/>
                <w:i/>
                <w:iCs/>
                <w:sz w:val="22"/>
                <w:szCs w:val="22"/>
              </w:rPr>
              <w:t>Jde o méněpráce</w:t>
            </w:r>
            <w:r w:rsidR="00D6412C">
              <w:rPr>
                <w:rFonts w:ascii="Calibri" w:hAnsi="Calibri" w:cs="Calibri"/>
                <w:i/>
                <w:iCs/>
                <w:sz w:val="22"/>
                <w:szCs w:val="22"/>
              </w:rPr>
              <w:t>. Plochy uvažované v rozpočtu už byly realizovány v rámci předchozí etapy</w:t>
            </w:r>
            <w:r w:rsidR="00694F4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Rekreačního přístavu Veselí nad Moravou</w:t>
            </w:r>
            <w:r w:rsidR="00D6412C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1536CAEF" w14:textId="51420598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3DFC25AF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6C09DF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6C09DF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675B73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673F214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334750C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675B73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7BEC8D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4CF5CB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675B73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3D0C294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6D94AA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675B73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1698BE0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27132749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6CFF9D60" w:rsidR="00777BA4" w:rsidRPr="00D746EC" w:rsidRDefault="006F6F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-59.116,97</w:t>
            </w:r>
            <w:r w:rsidR="00FF0979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383010D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7CBF94BE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3D4F1E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2CA0CE7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5CBA3AA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57376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6817F0DA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6F69F036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213F156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Pr="0002730B" w:rsidRDefault="00C27F35" w:rsidP="00A57AEA"/>
    <w:p w14:paraId="78269096" w14:textId="4E314100" w:rsidR="00675B73" w:rsidRDefault="00675B73">
      <w:r>
        <w:br w:type="page"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91"/>
      </w:tblGrid>
      <w:tr w:rsidR="00675B73" w:rsidRPr="00675B73" w14:paraId="7C40473B" w14:textId="77777777" w:rsidTr="00675B73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296CE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675B73" w:rsidRPr="00675B73" w14:paraId="7200E35F" w14:textId="77777777" w:rsidTr="00675B73">
        <w:trPr>
          <w:trHeight w:val="72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8F99FF0" w14:textId="77777777" w:rsidR="00675B73" w:rsidRPr="00675B73" w:rsidRDefault="00675B73" w:rsidP="00675B73">
            <w:pPr>
              <w:ind w:firstLineChars="100" w:firstLine="240"/>
              <w:rPr>
                <w:rFonts w:ascii="Arial CE" w:eastAsia="Times New Roman" w:hAnsi="Arial CE" w:cs="Arial CE"/>
              </w:rPr>
            </w:pPr>
            <w:r w:rsidRPr="00675B73">
              <w:rPr>
                <w:rFonts w:ascii="Arial CE" w:eastAsia="Times New Roman" w:hAnsi="Arial CE" w:cs="Arial CE"/>
              </w:rPr>
              <w:t>Stavba: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B799D9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0" w:name="RANGE!D2"/>
            <w:r w:rsidRPr="00675B73">
              <w:rPr>
                <w:rFonts w:ascii="Arial CE" w:eastAsia="Times New Roman" w:hAnsi="Arial CE" w:cs="Arial CE"/>
                <w:b/>
                <w:bCs/>
              </w:rPr>
              <w:t>2221_3</w:t>
            </w:r>
            <w:bookmarkEnd w:id="0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3A091A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1" w:name="RANGE!E2"/>
            <w:r w:rsidRPr="00675B73">
              <w:rPr>
                <w:rFonts w:ascii="Arial CE" w:eastAsia="Times New Roman" w:hAnsi="Arial CE" w:cs="Arial CE"/>
                <w:b/>
                <w:bCs/>
              </w:rPr>
              <w:t xml:space="preserve">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b/>
                <w:bCs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b/>
                <w:bCs/>
              </w:rPr>
              <w:t xml:space="preserve"> budova - nefakturované položky</w:t>
            </w:r>
            <w:bookmarkEnd w:id="1"/>
          </w:p>
        </w:tc>
      </w:tr>
      <w:tr w:rsidR="00675B73" w:rsidRPr="00675B73" w14:paraId="23DB18C9" w14:textId="77777777" w:rsidTr="00675B73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71FB1C5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05F3889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ACBE14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2221_3</w:t>
            </w:r>
            <w:bookmarkEnd w:id="2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2A8DFAC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3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budova - nefakturované položky</w:t>
            </w:r>
            <w:bookmarkEnd w:id="3"/>
          </w:p>
        </w:tc>
      </w:tr>
      <w:tr w:rsidR="00675B73" w:rsidRPr="00675B73" w14:paraId="447D6010" w14:textId="77777777" w:rsidTr="00675B7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752A519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8946DE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4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ZL13</w:t>
            </w:r>
            <w:bookmarkEnd w:id="4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6148E4C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Odečet zpevněných ploch</w:t>
            </w:r>
            <w:bookmarkEnd w:id="5"/>
          </w:p>
        </w:tc>
      </w:tr>
      <w:tr w:rsidR="00675B73" w:rsidRPr="00675B73" w14:paraId="1DC8B087" w14:textId="77777777" w:rsidTr="00675B73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2161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385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Ředitelství vodních cest ČR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357A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F8687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67981801</w:t>
            </w:r>
            <w:bookmarkEnd w:id="7"/>
          </w:p>
        </w:tc>
      </w:tr>
      <w:tr w:rsidR="00675B73" w:rsidRPr="00675B73" w14:paraId="3F53CA79" w14:textId="77777777" w:rsidTr="00675B7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E976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131C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D85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nábř. L. Svobody 1222/12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39CD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45027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I6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CZ67981801</w:t>
            </w:r>
            <w:bookmarkEnd w:id="9"/>
          </w:p>
        </w:tc>
      </w:tr>
      <w:tr w:rsidR="00675B73" w:rsidRPr="00675B73" w14:paraId="5F1CE6D6" w14:textId="77777777" w:rsidTr="00675B7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69CA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61816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FC8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11015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3910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Praha 1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914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6BE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09E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4076D680" w14:textId="77777777" w:rsidTr="00675B73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815F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0D5A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Moravská stavební </w:t>
            </w:r>
            <w:proofErr w:type="gramStart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unie - MSU</w:t>
            </w:r>
            <w:proofErr w:type="gramEnd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08A4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1585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48529303</w:t>
            </w:r>
            <w:bookmarkEnd w:id="19"/>
          </w:p>
        </w:tc>
      </w:tr>
      <w:tr w:rsidR="00675B73" w:rsidRPr="00675B73" w14:paraId="7101CF17" w14:textId="77777777" w:rsidTr="00675B7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BEB3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9678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515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Jižní náměstí 7/7, Dolní Heršpice, 619 00 Brno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1E9E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C6D1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I12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CZ48529303</w:t>
            </w:r>
            <w:bookmarkEnd w:id="21"/>
          </w:p>
        </w:tc>
      </w:tr>
      <w:tr w:rsidR="00675B73" w:rsidRPr="00675B73" w14:paraId="0D06EDFB" w14:textId="77777777" w:rsidTr="00675B7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86FC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16576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E39B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A66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7D23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83E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123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6698CFB5" w14:textId="77777777" w:rsidTr="00675B73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E469A8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4A1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479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53E7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90A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E276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9B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FF4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30507429" w14:textId="77777777" w:rsidTr="00675B73">
        <w:trPr>
          <w:trHeight w:val="64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4446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8EC0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7DAA" w14:textId="77777777" w:rsidR="00675B73" w:rsidRPr="00675B73" w:rsidRDefault="00675B73" w:rsidP="00675B7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DAA5" w14:textId="77777777" w:rsidR="00675B73" w:rsidRPr="00675B73" w:rsidRDefault="00675B73" w:rsidP="00675B7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8B765" w14:textId="77777777" w:rsidR="00675B73" w:rsidRPr="00675B73" w:rsidRDefault="00675B73" w:rsidP="00675B7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675B73" w:rsidRPr="00675B73" w14:paraId="5C3861CD" w14:textId="77777777" w:rsidTr="00675B7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13E7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9319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FB82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C120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BB45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D52D52" w14:textId="0E4110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675B73" w:rsidRPr="00675B73" w14:paraId="5DC9EE71" w14:textId="77777777" w:rsidTr="00675B7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EC75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82F6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04A3A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86E8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06B96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8C5C9F" w14:textId="71215A0D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675B73" w:rsidRPr="00675B73" w14:paraId="2C54C964" w14:textId="77777777" w:rsidTr="00675B7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451D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12EC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C0F1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9351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64DE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965558" w14:textId="2788A71A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675B73" w:rsidRPr="00675B73" w14:paraId="49F88A1C" w14:textId="77777777" w:rsidTr="00675B7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D28D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412A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CF37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A1446" w14:textId="407F4605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675B73" w:rsidRPr="00675B73" w14:paraId="34F691C6" w14:textId="77777777" w:rsidTr="00675B7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355A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AE18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6D84" w14:textId="77777777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32D89" w14:textId="6DAE02C8" w:rsidR="00675B73" w:rsidRPr="00675B73" w:rsidRDefault="00675B73" w:rsidP="00675B7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675B73" w:rsidRPr="00675B73" w14:paraId="53647D1C" w14:textId="77777777" w:rsidTr="00675B7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AD3" w14:textId="77777777" w:rsidR="00675B73" w:rsidRPr="00675B73" w:rsidRDefault="00675B73" w:rsidP="00675B7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CEF3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6022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EBF4" w14:textId="77777777" w:rsidR="00675B73" w:rsidRPr="00675B73" w:rsidRDefault="00675B73" w:rsidP="00675B7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D76A" w14:textId="77777777" w:rsidR="00675B73" w:rsidRPr="00675B73" w:rsidRDefault="00675B73" w:rsidP="00675B7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68ED4E" w14:textId="47ADB21C" w:rsidR="00675B73" w:rsidRPr="00675B73" w:rsidRDefault="00675B73" w:rsidP="00675B7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675B73" w:rsidRPr="00675B73" w14:paraId="1F505A6E" w14:textId="77777777" w:rsidTr="00675B73">
        <w:trPr>
          <w:trHeight w:val="66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88B7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9C3BF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6C7A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941F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4D3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392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4E2A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5F591A58" w14:textId="77777777" w:rsidTr="00675B7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F823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1502C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92AE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1103B" w14:textId="6D96B4F6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53F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675B73" w:rsidRPr="00675B73" w14:paraId="13F2E522" w14:textId="77777777" w:rsidTr="00675B73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7AFB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EE74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C08AD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CC48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AD486" w14:textId="49A92492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07D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675B73" w:rsidRPr="00675B73" w14:paraId="5D5E4D32" w14:textId="77777777" w:rsidTr="00675B7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0B36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409DB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5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FE56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BF2BF" w14:textId="78ECE1C2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6A7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675B73" w:rsidRPr="00675B73" w14:paraId="07EB2E4B" w14:textId="77777777" w:rsidTr="00675B7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466D0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8DF6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F41D8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C39F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6A7E5" w14:textId="329DBED2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BCB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675B73" w:rsidRPr="00675B73" w14:paraId="0EAE97AA" w14:textId="77777777" w:rsidTr="00675B7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B21C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C539" w14:textId="77777777" w:rsidR="00675B73" w:rsidRPr="00675B73" w:rsidRDefault="00675B73" w:rsidP="00675B7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E882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A40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BAD1" w14:textId="68AE5521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E42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675B73" w:rsidRPr="00675B73" w14:paraId="54F31F78" w14:textId="77777777" w:rsidTr="00675B73">
        <w:trPr>
          <w:trHeight w:val="555"/>
        </w:trPr>
        <w:tc>
          <w:tcPr>
            <w:tcW w:w="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AFD07C8" w14:textId="77777777" w:rsidR="00675B73" w:rsidRPr="00675B73" w:rsidRDefault="00675B73" w:rsidP="00675B73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</w:rPr>
              <w:t>Cena celkem s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3820783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50B1D4A3" w14:textId="0304C0D6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137638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8" w:name="RANGE!J29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8"/>
          </w:p>
        </w:tc>
      </w:tr>
      <w:tr w:rsidR="00675B73" w:rsidRPr="00675B73" w14:paraId="451A751F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31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9152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50C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2F5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F1E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969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01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9F9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0E96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39C1A796" w14:textId="77777777" w:rsidTr="00675B73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DE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95AD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D475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763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439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0C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64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EC5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BCA5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16363949" w14:textId="77777777" w:rsidTr="00675B73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E52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AEE9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FE26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E823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FD54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16EE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9A48F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AE4B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B6D0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3C786B14" w14:textId="77777777" w:rsidTr="00675B73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25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2BD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4DFD2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4E8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00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A6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B7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D0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B6AAF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03D7614C" w14:textId="77777777" w:rsidTr="00675B73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E4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81E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66C7B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D34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90F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19A3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G34"/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7B12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675B73" w:rsidRPr="00675B73" w14:paraId="0E73A823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88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F59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1CFB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0CE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FFC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586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A65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07775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698B6CD0" w14:textId="77777777" w:rsidTr="00675B73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F80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89F3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D12B8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7F50A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E20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FC1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828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3BA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6D1A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675B73" w:rsidRPr="00675B73" w14:paraId="3B7EE3D5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6C2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193B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7D495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4466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E906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1A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12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0FA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3EB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5D3ECB03" w14:textId="77777777" w:rsidTr="00675B73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247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Popis stavby: 2221_3 - 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675B73" w:rsidRPr="00675B73" w14:paraId="6FB5D86A" w14:textId="77777777" w:rsidTr="00675B73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D8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Popis objektu: 2221_3 - 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675B73" w:rsidRPr="00675B73" w14:paraId="645EF623" w14:textId="77777777" w:rsidTr="00675B73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07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Popis rozpočtu: </w:t>
            </w:r>
            <w:proofErr w:type="gram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ZL13 - Odečet</w:t>
            </w:r>
            <w:proofErr w:type="gram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 zpevněných ploch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FBA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387E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92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66C38185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80E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74AD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BE2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C06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E0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389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F34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B84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7A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53F644EB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93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FA39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31760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4A055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A4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7FB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17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B9B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BB89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21970E13" w14:textId="77777777" w:rsidTr="00675B73">
        <w:trPr>
          <w:trHeight w:val="31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68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</w:rPr>
              <w:t>Rekapitulace dílů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7C6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CF04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47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6006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8F6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E3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78E6AB06" w14:textId="77777777" w:rsidTr="00675B7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6AF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31DE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9C068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1672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3E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87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D9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C85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EA4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7E5C4DA1" w14:textId="77777777" w:rsidTr="00675B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43BF007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A741748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2ADFDB8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7EB7082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E47FDF3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AE61B23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ABC89D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3BD9AB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01A5C86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675B73" w:rsidRPr="00675B73" w14:paraId="7D7C054C" w14:textId="77777777" w:rsidTr="00675B7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083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7AB4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Komunikace pozemní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511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89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1AA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8367" w14:textId="68669028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C5A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85,8</w:t>
            </w:r>
          </w:p>
        </w:tc>
      </w:tr>
      <w:tr w:rsidR="00675B73" w:rsidRPr="00675B73" w14:paraId="5742D716" w14:textId="77777777" w:rsidTr="00675B7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377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7CD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Ostatní konstrukce a práce, bourání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E1A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8E8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ED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6E09" w14:textId="41B53423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FBC7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14,2</w:t>
            </w:r>
          </w:p>
        </w:tc>
      </w:tr>
      <w:tr w:rsidR="00675B73" w:rsidRPr="00675B73" w14:paraId="1EF87F3C" w14:textId="77777777" w:rsidTr="00675B73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A42400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A9E5E7A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89B285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366758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CB7AE89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DAF863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1BD2B5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6134CBDF" w14:textId="5F9DF8E1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17E2259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75B73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</w:tbl>
    <w:p w14:paraId="529780BB" w14:textId="24CC69BA" w:rsidR="00675B73" w:rsidRDefault="00675B73">
      <w:r>
        <w:br w:type="page"/>
      </w:r>
    </w:p>
    <w:tbl>
      <w:tblPr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68"/>
        <w:gridCol w:w="3482"/>
        <w:gridCol w:w="521"/>
        <w:gridCol w:w="1261"/>
        <w:gridCol w:w="1204"/>
        <w:gridCol w:w="1257"/>
      </w:tblGrid>
      <w:tr w:rsidR="00675B73" w:rsidRPr="00675B73" w14:paraId="01FCEC5B" w14:textId="77777777" w:rsidTr="00675B73">
        <w:trPr>
          <w:trHeight w:val="31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917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675B73" w:rsidRPr="00675B73" w14:paraId="514C838F" w14:textId="77777777" w:rsidTr="00675B73">
        <w:trPr>
          <w:trHeight w:val="5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226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4807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2221_3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074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675B73" w:rsidRPr="00675B73" w14:paraId="181E497E" w14:textId="77777777" w:rsidTr="00675B73">
        <w:trPr>
          <w:trHeight w:val="50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63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5041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2221_3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8EB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675B73" w:rsidRPr="00675B73" w14:paraId="7103EC58" w14:textId="77777777" w:rsidTr="00675B73">
        <w:trPr>
          <w:trHeight w:val="50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CF62B08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ADDBDF3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ZL13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57CD10A2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Odečet zpevněných ploch</w:t>
            </w:r>
          </w:p>
        </w:tc>
      </w:tr>
      <w:tr w:rsidR="00675B73" w:rsidRPr="00675B73" w14:paraId="6DD0799B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F7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731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B4D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ACE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C4C" w14:textId="77777777" w:rsidR="00675B73" w:rsidRPr="00675B73" w:rsidRDefault="00675B73" w:rsidP="00675B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D09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8E3" w14:textId="77777777" w:rsidR="00675B73" w:rsidRPr="00675B73" w:rsidRDefault="00675B73" w:rsidP="00675B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0F2E5C10" w14:textId="77777777" w:rsidTr="00675B73">
        <w:trPr>
          <w:trHeight w:val="7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D62D2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8EFA60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27FA2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B5B796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50DF8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79BA59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92D6FFE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675B73" w:rsidRPr="00675B73" w14:paraId="1105CC5D" w14:textId="77777777" w:rsidTr="00675B73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08E7DCD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7CC67C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ED778E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Komunikace pozemní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465D62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79512B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6A2BACEB" w14:textId="6C2B8C82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2895AC75" w14:textId="76D889CE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675B73" w:rsidRPr="00675B73" w14:paraId="33D66A4A" w14:textId="77777777" w:rsidTr="00675B73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7DC6AE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3BD23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591411111R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BFC22A9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Kladení dlažby z mozaiky jednobarevné komunikací pro pěší lože z kameniva, vč. dodávky materiálu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CA53FB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04B2EE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-61,00000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5A5119C5" w14:textId="4F4EB901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7514" w14:textId="5DBA4DFD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675B73" w:rsidRPr="00675B73" w14:paraId="2476C3A6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739F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7354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2BD2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Poznámka k položce:</w:t>
            </w:r>
          </w:p>
        </w:tc>
      </w:tr>
      <w:tr w:rsidR="00675B73" w:rsidRPr="00675B73" w14:paraId="55BA8866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7F28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2926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8E50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viz TZ </w:t>
            </w:r>
            <w:proofErr w:type="spell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př.č</w:t>
            </w:r>
            <w:proofErr w:type="spell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. D.1.</w:t>
            </w:r>
            <w:proofErr w:type="gram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1a</w:t>
            </w:r>
            <w:proofErr w:type="gram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 a </w:t>
            </w:r>
            <w:proofErr w:type="spell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v.č</w:t>
            </w:r>
            <w:proofErr w:type="spell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. D.1.1.b-02.1 až 4</w:t>
            </w:r>
          </w:p>
        </w:tc>
      </w:tr>
      <w:tr w:rsidR="00675B73" w:rsidRPr="00675B73" w14:paraId="5EEB48DB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9C46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26DD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A275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- Kladení dlažby z mozaiky jednobarevné komunikací pro pěší lože z </w:t>
            </w:r>
            <w:proofErr w:type="gram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kameniva - 118m2</w:t>
            </w:r>
            <w:proofErr w:type="gramEnd"/>
          </w:p>
        </w:tc>
      </w:tr>
      <w:tr w:rsidR="00675B73" w:rsidRPr="00675B73" w14:paraId="0D94792B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D80C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F9B6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7B2D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- kostka dlažební mozaika žula 4/6 šedá - 123,9m2</w:t>
            </w:r>
          </w:p>
        </w:tc>
      </w:tr>
      <w:tr w:rsidR="00675B73" w:rsidRPr="00675B73" w14:paraId="28B0806A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1800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8660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EA90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- Podklad </w:t>
            </w:r>
            <w:proofErr w:type="gram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ze</w:t>
            </w:r>
            <w:proofErr w:type="gram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 štěrkodrtě ŠD </w:t>
            </w:r>
            <w:proofErr w:type="spell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tl</w:t>
            </w:r>
            <w:proofErr w:type="spell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 200 mm fr 0-32mm - 118m2</w:t>
            </w:r>
          </w:p>
        </w:tc>
      </w:tr>
      <w:tr w:rsidR="00675B73" w:rsidRPr="00675B73" w14:paraId="4790D673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1DC7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28C4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E05E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SoD</w:t>
            </w:r>
            <w:proofErr w:type="spell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:</w:t>
            </w:r>
            <w:proofErr w:type="gram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-118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1EB0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03AE" w14:textId="77777777" w:rsidR="00675B73" w:rsidRPr="00675B73" w:rsidRDefault="00675B73" w:rsidP="00675B7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-118,00000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F777" w14:textId="77777777" w:rsidR="00675B73" w:rsidRPr="00675B73" w:rsidRDefault="00675B73" w:rsidP="00675B7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4E20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08139C3C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FD5CB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8252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58C1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proofErr w:type="gramStart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skutečnost :</w:t>
            </w:r>
            <w:proofErr w:type="gram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E390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0A78" w14:textId="77777777" w:rsidR="00675B73" w:rsidRPr="00675B73" w:rsidRDefault="00675B73" w:rsidP="00675B7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57,00000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5A82" w14:textId="77777777" w:rsidR="00675B73" w:rsidRPr="00675B73" w:rsidRDefault="00675B73" w:rsidP="00675B7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20EA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6883B2F9" w14:textId="77777777" w:rsidTr="00675B73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35D5A7F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65BCE3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0C28F4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konstrukce a práce, bourání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8C0656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4DBE816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675B7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73635B79" w14:textId="457FD117" w:rsidR="00675B73" w:rsidRPr="00675B73" w:rsidRDefault="00675B73" w:rsidP="00675B7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45B915BC" w14:textId="1A1C29E4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675B73" w:rsidRPr="00675B73" w14:paraId="1F601D5E" w14:textId="77777777" w:rsidTr="00675B73">
        <w:trPr>
          <w:trHeight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75E6F5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29F915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91613100R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A455753" w14:textId="77777777" w:rsidR="00675B73" w:rsidRPr="00675B73" w:rsidRDefault="00675B73" w:rsidP="00675B7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Lemování chodníku z pásového plechu 100/</w:t>
            </w:r>
            <w:proofErr w:type="gramStart"/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6mm</w:t>
            </w:r>
            <w:proofErr w:type="gramEnd"/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 xml:space="preserve"> do zavlhlé betonové směsi S12/15, vč. dodávky materiálu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33C393" w14:textId="77777777" w:rsidR="00675B73" w:rsidRPr="00675B73" w:rsidRDefault="00675B73" w:rsidP="00675B7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E2AF9F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sz w:val="16"/>
                <w:szCs w:val="16"/>
              </w:rPr>
              <w:t>-13,90000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08786312" w14:textId="3A239700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6A35" w14:textId="53854136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675B73" w:rsidRPr="00675B73" w14:paraId="6DC0013D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55C5" w14:textId="77777777" w:rsidR="00675B73" w:rsidRPr="00675B73" w:rsidRDefault="00675B73" w:rsidP="00675B7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505E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EBE9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Poznámka k položce:</w:t>
            </w:r>
          </w:p>
        </w:tc>
      </w:tr>
      <w:tr w:rsidR="00675B73" w:rsidRPr="00675B73" w14:paraId="6F20FD0F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78D1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ED46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804E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viz TZ </w:t>
            </w:r>
            <w:proofErr w:type="spell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př.č</w:t>
            </w:r>
            <w:proofErr w:type="spell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. D.1.</w:t>
            </w:r>
            <w:proofErr w:type="gram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1a</w:t>
            </w:r>
            <w:proofErr w:type="gram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 xml:space="preserve"> a </w:t>
            </w:r>
            <w:proofErr w:type="spellStart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v.č</w:t>
            </w:r>
            <w:proofErr w:type="spellEnd"/>
            <w:r w:rsidRPr="00675B73"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  <w:t>. D.1.1.b-02.1 až 4</w:t>
            </w:r>
          </w:p>
        </w:tc>
      </w:tr>
      <w:tr w:rsidR="00675B73" w:rsidRPr="00675B73" w14:paraId="02A0CC43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28A6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606B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A2DE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SoD</w:t>
            </w:r>
            <w:proofErr w:type="spell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:</w:t>
            </w:r>
            <w:proofErr w:type="gram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-58,9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E8C1" w14:textId="77777777" w:rsidR="00675B73" w:rsidRPr="00675B73" w:rsidRDefault="00675B73" w:rsidP="00675B7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003D" w14:textId="77777777" w:rsidR="00675B73" w:rsidRPr="00675B73" w:rsidRDefault="00675B73" w:rsidP="00675B7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-58,90000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12FA" w14:textId="77777777" w:rsidR="00675B73" w:rsidRPr="00675B73" w:rsidRDefault="00675B73" w:rsidP="00675B7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F375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675B73" w:rsidRPr="00675B73" w14:paraId="6AC1FEA9" w14:textId="77777777" w:rsidTr="00675B73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EA72" w14:textId="77777777" w:rsidR="00675B73" w:rsidRPr="00675B73" w:rsidRDefault="00675B73" w:rsidP="00675B7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1BE4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C9C8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proofErr w:type="gramStart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skutečnost :</w:t>
            </w:r>
            <w:proofErr w:type="gramEnd"/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A9DE" w14:textId="77777777" w:rsidR="00675B73" w:rsidRPr="00675B73" w:rsidRDefault="00675B73" w:rsidP="00675B7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6392" w14:textId="77777777" w:rsidR="00675B73" w:rsidRPr="00675B73" w:rsidRDefault="00675B73" w:rsidP="00675B7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675B7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45,00000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9B2C" w14:textId="77777777" w:rsidR="00675B73" w:rsidRPr="00675B73" w:rsidRDefault="00675B73" w:rsidP="00675B7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DD9A" w14:textId="77777777" w:rsidR="00675B73" w:rsidRPr="00675B73" w:rsidRDefault="00675B73" w:rsidP="00675B7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00C070" w14:textId="77777777" w:rsidR="00305DCD" w:rsidRDefault="00305DCD"/>
    <w:sectPr w:rsidR="00305DCD" w:rsidSect="00675B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336C" w14:textId="77777777" w:rsidR="00464492" w:rsidRDefault="00464492" w:rsidP="00E61D7C">
      <w:r>
        <w:separator/>
      </w:r>
    </w:p>
  </w:endnote>
  <w:endnote w:type="continuationSeparator" w:id="0">
    <w:p w14:paraId="4DF51BCB" w14:textId="77777777" w:rsidR="00464492" w:rsidRDefault="00464492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8DFD" w14:textId="77777777" w:rsidR="00464492" w:rsidRDefault="00464492" w:rsidP="00E61D7C">
      <w:r>
        <w:separator/>
      </w:r>
    </w:p>
  </w:footnote>
  <w:footnote w:type="continuationSeparator" w:id="0">
    <w:p w14:paraId="113EF2AF" w14:textId="77777777" w:rsidR="00464492" w:rsidRDefault="00464492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8915726"/>
    <w:multiLevelType w:val="hybridMultilevel"/>
    <w:tmpl w:val="5638083C"/>
    <w:lvl w:ilvl="0" w:tplc="72F24040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2"/>
  </w:num>
  <w:num w:numId="2" w16cid:durableId="1699504327">
    <w:abstractNumId w:val="18"/>
  </w:num>
  <w:num w:numId="3" w16cid:durableId="120419151">
    <w:abstractNumId w:val="16"/>
  </w:num>
  <w:num w:numId="4" w16cid:durableId="152835488">
    <w:abstractNumId w:val="20"/>
  </w:num>
  <w:num w:numId="5" w16cid:durableId="1999530247">
    <w:abstractNumId w:val="14"/>
  </w:num>
  <w:num w:numId="6" w16cid:durableId="1867985440">
    <w:abstractNumId w:val="8"/>
  </w:num>
  <w:num w:numId="7" w16cid:durableId="1248611033">
    <w:abstractNumId w:val="19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4"/>
  </w:num>
  <w:num w:numId="11" w16cid:durableId="952443183">
    <w:abstractNumId w:val="11"/>
  </w:num>
  <w:num w:numId="12" w16cid:durableId="712929176">
    <w:abstractNumId w:val="13"/>
  </w:num>
  <w:num w:numId="13" w16cid:durableId="273633528">
    <w:abstractNumId w:val="17"/>
  </w:num>
  <w:num w:numId="14" w16cid:durableId="723139018">
    <w:abstractNumId w:val="23"/>
  </w:num>
  <w:num w:numId="15" w16cid:durableId="1112363072">
    <w:abstractNumId w:val="7"/>
  </w:num>
  <w:num w:numId="16" w16cid:durableId="1098873070">
    <w:abstractNumId w:val="9"/>
  </w:num>
  <w:num w:numId="17" w16cid:durableId="1480926922">
    <w:abstractNumId w:val="25"/>
  </w:num>
  <w:num w:numId="18" w16cid:durableId="471294082">
    <w:abstractNumId w:val="15"/>
  </w:num>
  <w:num w:numId="19" w16cid:durableId="2076664707">
    <w:abstractNumId w:val="12"/>
  </w:num>
  <w:num w:numId="20" w16cid:durableId="1543246971">
    <w:abstractNumId w:val="21"/>
  </w:num>
  <w:num w:numId="21" w16cid:durableId="100316266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3502"/>
    <w:rsid w:val="000A24A8"/>
    <w:rsid w:val="000A68BE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2266F"/>
    <w:rsid w:val="001269AD"/>
    <w:rsid w:val="00163845"/>
    <w:rsid w:val="001903EC"/>
    <w:rsid w:val="00196672"/>
    <w:rsid w:val="001A1CD4"/>
    <w:rsid w:val="001D497B"/>
    <w:rsid w:val="001E2B3F"/>
    <w:rsid w:val="001E36EC"/>
    <w:rsid w:val="001E6F90"/>
    <w:rsid w:val="001F0DC6"/>
    <w:rsid w:val="001F3476"/>
    <w:rsid w:val="00223849"/>
    <w:rsid w:val="002359E4"/>
    <w:rsid w:val="002367C0"/>
    <w:rsid w:val="002577AD"/>
    <w:rsid w:val="0028448D"/>
    <w:rsid w:val="002E40BE"/>
    <w:rsid w:val="00305DCD"/>
    <w:rsid w:val="00340905"/>
    <w:rsid w:val="0035505F"/>
    <w:rsid w:val="00365E8C"/>
    <w:rsid w:val="003764DC"/>
    <w:rsid w:val="00384F0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266F5"/>
    <w:rsid w:val="00464492"/>
    <w:rsid w:val="00466624"/>
    <w:rsid w:val="00473110"/>
    <w:rsid w:val="00477759"/>
    <w:rsid w:val="00482AB6"/>
    <w:rsid w:val="004832F4"/>
    <w:rsid w:val="004840F8"/>
    <w:rsid w:val="0049154D"/>
    <w:rsid w:val="00493D99"/>
    <w:rsid w:val="004B6616"/>
    <w:rsid w:val="004F5EF8"/>
    <w:rsid w:val="00502067"/>
    <w:rsid w:val="005115DC"/>
    <w:rsid w:val="00511B1C"/>
    <w:rsid w:val="00515F49"/>
    <w:rsid w:val="005277DE"/>
    <w:rsid w:val="005424C1"/>
    <w:rsid w:val="00546133"/>
    <w:rsid w:val="00564FB1"/>
    <w:rsid w:val="00566A55"/>
    <w:rsid w:val="00587B4C"/>
    <w:rsid w:val="005A0F85"/>
    <w:rsid w:val="005A2FE7"/>
    <w:rsid w:val="005B397F"/>
    <w:rsid w:val="005C2B80"/>
    <w:rsid w:val="005F201F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75B73"/>
    <w:rsid w:val="00691A2F"/>
    <w:rsid w:val="00694F4B"/>
    <w:rsid w:val="00697727"/>
    <w:rsid w:val="006A1D70"/>
    <w:rsid w:val="006C09DF"/>
    <w:rsid w:val="006D3FE3"/>
    <w:rsid w:val="006F6FF5"/>
    <w:rsid w:val="007131DE"/>
    <w:rsid w:val="00714C84"/>
    <w:rsid w:val="00731BC6"/>
    <w:rsid w:val="007342F8"/>
    <w:rsid w:val="00735CA6"/>
    <w:rsid w:val="00741BA7"/>
    <w:rsid w:val="00743DED"/>
    <w:rsid w:val="00765E31"/>
    <w:rsid w:val="00777BA4"/>
    <w:rsid w:val="0078202C"/>
    <w:rsid w:val="0079704A"/>
    <w:rsid w:val="007C3EF4"/>
    <w:rsid w:val="007D0633"/>
    <w:rsid w:val="007D4250"/>
    <w:rsid w:val="007D67E6"/>
    <w:rsid w:val="007D75E7"/>
    <w:rsid w:val="007E1348"/>
    <w:rsid w:val="007E21EB"/>
    <w:rsid w:val="007E4DED"/>
    <w:rsid w:val="007E71C9"/>
    <w:rsid w:val="008027BB"/>
    <w:rsid w:val="00826FA9"/>
    <w:rsid w:val="008357AC"/>
    <w:rsid w:val="00843573"/>
    <w:rsid w:val="00845E97"/>
    <w:rsid w:val="00853579"/>
    <w:rsid w:val="00853CB5"/>
    <w:rsid w:val="008557B2"/>
    <w:rsid w:val="008700ED"/>
    <w:rsid w:val="00884B82"/>
    <w:rsid w:val="008930B2"/>
    <w:rsid w:val="008B39DF"/>
    <w:rsid w:val="008B3FD1"/>
    <w:rsid w:val="008C754B"/>
    <w:rsid w:val="008D0737"/>
    <w:rsid w:val="00910D67"/>
    <w:rsid w:val="009209EC"/>
    <w:rsid w:val="00951063"/>
    <w:rsid w:val="0096331D"/>
    <w:rsid w:val="009A2A28"/>
    <w:rsid w:val="009A408B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A5689"/>
    <w:rsid w:val="00AC493C"/>
    <w:rsid w:val="00AD1AE1"/>
    <w:rsid w:val="00AD33AE"/>
    <w:rsid w:val="00AE61B8"/>
    <w:rsid w:val="00AE6FC0"/>
    <w:rsid w:val="00AF09A9"/>
    <w:rsid w:val="00B10B1F"/>
    <w:rsid w:val="00B642E3"/>
    <w:rsid w:val="00B66639"/>
    <w:rsid w:val="00B806D2"/>
    <w:rsid w:val="00BA2FE4"/>
    <w:rsid w:val="00BC6F04"/>
    <w:rsid w:val="00BD5193"/>
    <w:rsid w:val="00BD6F17"/>
    <w:rsid w:val="00BD7912"/>
    <w:rsid w:val="00BE1F20"/>
    <w:rsid w:val="00BF0CB0"/>
    <w:rsid w:val="00BF17AD"/>
    <w:rsid w:val="00C005C5"/>
    <w:rsid w:val="00C2293A"/>
    <w:rsid w:val="00C27F35"/>
    <w:rsid w:val="00C44289"/>
    <w:rsid w:val="00C47EA2"/>
    <w:rsid w:val="00C6080D"/>
    <w:rsid w:val="00C6473E"/>
    <w:rsid w:val="00C838FE"/>
    <w:rsid w:val="00C83D05"/>
    <w:rsid w:val="00C85A39"/>
    <w:rsid w:val="00C873D7"/>
    <w:rsid w:val="00CA48D0"/>
    <w:rsid w:val="00CA518A"/>
    <w:rsid w:val="00CA6DB3"/>
    <w:rsid w:val="00CB2052"/>
    <w:rsid w:val="00CB6862"/>
    <w:rsid w:val="00CE3261"/>
    <w:rsid w:val="00CF70D2"/>
    <w:rsid w:val="00D3611B"/>
    <w:rsid w:val="00D50FAA"/>
    <w:rsid w:val="00D6412C"/>
    <w:rsid w:val="00D65240"/>
    <w:rsid w:val="00D72857"/>
    <w:rsid w:val="00D75098"/>
    <w:rsid w:val="00D92705"/>
    <w:rsid w:val="00DB2748"/>
    <w:rsid w:val="00DD331C"/>
    <w:rsid w:val="00DD3819"/>
    <w:rsid w:val="00DE190E"/>
    <w:rsid w:val="00E17BE5"/>
    <w:rsid w:val="00E24255"/>
    <w:rsid w:val="00E42029"/>
    <w:rsid w:val="00E52818"/>
    <w:rsid w:val="00E61D7C"/>
    <w:rsid w:val="00E62F79"/>
    <w:rsid w:val="00E668B3"/>
    <w:rsid w:val="00E73184"/>
    <w:rsid w:val="00ED3794"/>
    <w:rsid w:val="00EE75E1"/>
    <w:rsid w:val="00EF7673"/>
    <w:rsid w:val="00F22280"/>
    <w:rsid w:val="00F507E0"/>
    <w:rsid w:val="00F51595"/>
    <w:rsid w:val="00F6091E"/>
    <w:rsid w:val="00F6280F"/>
    <w:rsid w:val="00F81EF0"/>
    <w:rsid w:val="00F92B8F"/>
    <w:rsid w:val="00FA318E"/>
    <w:rsid w:val="00FA522E"/>
    <w:rsid w:val="00FA6E79"/>
    <w:rsid w:val="00FB3EF7"/>
    <w:rsid w:val="00FE2C2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099A-6A7C-4294-BF8A-0C5ADFA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2023-09-08T06:05:00Z</dcterms:created>
  <dcterms:modified xsi:type="dcterms:W3CDTF">2023-09-08T06:05:00Z</dcterms:modified>
</cp:coreProperties>
</file>