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7DD4" w14:textId="77777777" w:rsidR="006C2E3B"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w:t>
      </w:r>
    </w:p>
    <w:p w14:paraId="7A89DB5C" w14:textId="4CB9D544"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m pro průmyslový </w:t>
      </w:r>
      <w:proofErr w:type="gramStart"/>
      <w:r w:rsidRPr="00E9090D">
        <w:rPr>
          <w:rFonts w:ascii="Times New Roman" w:eastAsia="Times New Roman" w:hAnsi="Times New Roman" w:cs="Times New Roman"/>
          <w:b/>
          <w:bCs/>
          <w:sz w:val="20"/>
          <w:szCs w:val="20"/>
          <w:lang w:eastAsia="cs-CZ"/>
        </w:rPr>
        <w:t>3D</w:t>
      </w:r>
      <w:proofErr w:type="gramEnd"/>
      <w:r w:rsidRPr="00E9090D">
        <w:rPr>
          <w:rFonts w:ascii="Times New Roman" w:eastAsia="Times New Roman" w:hAnsi="Times New Roman" w:cs="Times New Roman"/>
          <w:b/>
          <w:bCs/>
          <w:sz w:val="20"/>
          <w:szCs w:val="20"/>
          <w:lang w:eastAsia="cs-CZ"/>
        </w:rPr>
        <w:t xml:space="preserve">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76C0BDB5"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BF3B46">
        <w:rPr>
          <w:rFonts w:ascii="Times New Roman" w:eastAsia="Times New Roman" w:hAnsi="Times New Roman" w:cs="Times New Roman"/>
          <w:b/>
          <w:sz w:val="20"/>
          <w:szCs w:val="20"/>
          <w:lang w:eastAsia="cs-CZ"/>
        </w:rPr>
        <w:t>„</w:t>
      </w:r>
      <w:r w:rsidR="00BF3B46" w:rsidRPr="00BF3B46">
        <w:rPr>
          <w:rFonts w:ascii="Times New Roman" w:eastAsia="Times New Roman" w:hAnsi="Times New Roman" w:cs="Times New Roman"/>
          <w:b/>
          <w:sz w:val="20"/>
          <w:szCs w:val="20"/>
          <w:lang w:eastAsia="cs-CZ"/>
        </w:rPr>
        <w:t>Vývoj inovativních 3D tiskových filamentů pro využití v</w:t>
      </w:r>
      <w:r w:rsidR="00BF3B46">
        <w:rPr>
          <w:rFonts w:ascii="Times New Roman" w:eastAsia="Times New Roman" w:hAnsi="Times New Roman" w:cs="Times New Roman"/>
          <w:b/>
          <w:sz w:val="20"/>
          <w:szCs w:val="20"/>
          <w:lang w:eastAsia="cs-CZ"/>
        </w:rPr>
        <w:t> </w:t>
      </w:r>
      <w:r w:rsidR="00BF3B46" w:rsidRPr="00BF3B46">
        <w:rPr>
          <w:rFonts w:ascii="Times New Roman" w:eastAsia="Times New Roman" w:hAnsi="Times New Roman" w:cs="Times New Roman"/>
          <w:b/>
          <w:sz w:val="20"/>
          <w:szCs w:val="20"/>
          <w:lang w:eastAsia="cs-CZ"/>
        </w:rPr>
        <w:t>průmyslu</w:t>
      </w:r>
      <w:r w:rsidR="00BF3B46">
        <w:rPr>
          <w:rFonts w:ascii="Times New Roman" w:eastAsia="Times New Roman" w:hAnsi="Times New Roman" w:cs="Times New Roman"/>
          <w:b/>
          <w:sz w:val="20"/>
          <w:szCs w:val="20"/>
          <w:lang w:eastAsia="cs-CZ"/>
        </w:rPr>
        <w:t>“, identifikační kód DP</w:t>
      </w:r>
      <w:r w:rsidR="00443023">
        <w:rPr>
          <w:rFonts w:ascii="Times New Roman" w:eastAsia="Times New Roman" w:hAnsi="Times New Roman" w:cs="Times New Roman"/>
          <w:b/>
          <w:sz w:val="20"/>
          <w:szCs w:val="20"/>
          <w:lang w:eastAsia="cs-CZ"/>
        </w:rPr>
        <w:t>:</w:t>
      </w:r>
      <w:r w:rsidR="00BF3B46">
        <w:rPr>
          <w:rFonts w:ascii="Times New Roman" w:eastAsia="Times New Roman" w:hAnsi="Times New Roman" w:cs="Times New Roman"/>
          <w:b/>
          <w:sz w:val="20"/>
          <w:szCs w:val="20"/>
          <w:lang w:eastAsia="cs-CZ"/>
        </w:rPr>
        <w:t xml:space="preserve"> TN02000033/</w:t>
      </w:r>
      <w:r w:rsidR="00072096">
        <w:rPr>
          <w:rFonts w:ascii="Times New Roman" w:eastAsia="Times New Roman" w:hAnsi="Times New Roman" w:cs="Times New Roman"/>
          <w:b/>
          <w:sz w:val="20"/>
          <w:szCs w:val="20"/>
          <w:lang w:eastAsia="cs-CZ"/>
        </w:rPr>
        <w:t>0</w:t>
      </w:r>
      <w:r w:rsidR="00BF3B46">
        <w:rPr>
          <w:rFonts w:ascii="Times New Roman" w:eastAsia="Times New Roman" w:hAnsi="Times New Roman" w:cs="Times New Roman"/>
          <w:b/>
          <w:sz w:val="20"/>
          <w:szCs w:val="20"/>
          <w:lang w:eastAsia="cs-CZ"/>
        </w:rPr>
        <w:t>1</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61478A55" w14:textId="77777777" w:rsidR="00EC7F19" w:rsidRPr="00E9090D" w:rsidRDefault="00E9090D" w:rsidP="00EC7F19">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r>
      <w:r w:rsidR="00EC7F19" w:rsidRPr="00E9090D">
        <w:rPr>
          <w:rFonts w:ascii="Times New Roman" w:eastAsia="Times New Roman" w:hAnsi="Times New Roman" w:cs="Times New Roman"/>
          <w:b/>
          <w:bCs/>
          <w:sz w:val="20"/>
          <w:szCs w:val="20"/>
          <w:lang w:eastAsia="cs-CZ"/>
        </w:rPr>
        <w:t>Technická univerzita v Liberci</w:t>
      </w:r>
      <w:r w:rsidR="00EC7F19" w:rsidRPr="00E9090D">
        <w:rPr>
          <w:rFonts w:ascii="Times New Roman" w:eastAsia="Times New Roman" w:hAnsi="Times New Roman" w:cs="Times New Roman"/>
          <w:b/>
          <w:bCs/>
          <w:sz w:val="20"/>
          <w:szCs w:val="20"/>
          <w:lang w:eastAsia="cs-CZ"/>
        </w:rPr>
        <w:tab/>
      </w:r>
    </w:p>
    <w:p w14:paraId="1092CFCD" w14:textId="77777777"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B3A94AE" w14:textId="77777777"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4166D3AB" w14:textId="77777777"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20D315B9" w14:textId="77777777"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5CF52270" w14:textId="0112A77F"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4337006C" w14:textId="7056189F" w:rsidR="00EC7F19" w:rsidRPr="00E9090D" w:rsidRDefault="00EC7F19" w:rsidP="00EC7F1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p>
    <w:p w14:paraId="301811FE" w14:textId="07B16CE7" w:rsidR="00EC7F19" w:rsidRPr="00E9090D" w:rsidRDefault="00EC7F19" w:rsidP="00EC7F1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 za Projekt</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p>
    <w:p w14:paraId="56FB2326" w14:textId="4857F5F7" w:rsidR="00E9090D" w:rsidRPr="00697B7A" w:rsidRDefault="00EC7F19" w:rsidP="00D07305">
      <w:pPr>
        <w:autoSpaceDE w:val="0"/>
        <w:autoSpaceDN w:val="0"/>
        <w:spacing w:after="0" w:line="240" w:lineRule="auto"/>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
          <w:sz w:val="20"/>
          <w:szCs w:val="20"/>
          <w:lang w:eastAsia="cs-CZ"/>
        </w:rPr>
        <w:tab/>
      </w:r>
      <w:r w:rsidRPr="00D07305">
        <w:rPr>
          <w:rFonts w:ascii="Times New Roman" w:eastAsia="Times New Roman" w:hAnsi="Times New Roman" w:cs="Times New Roman"/>
          <w:bCs/>
          <w:sz w:val="20"/>
          <w:szCs w:val="20"/>
          <w:lang w:eastAsia="cs-CZ"/>
        </w:rPr>
        <w:t xml:space="preserve">Odpovědná osoba za Dílčí projekt: </w:t>
      </w:r>
      <w:proofErr w:type="spellStart"/>
      <w:r w:rsidR="005C0C1A">
        <w:rPr>
          <w:rFonts w:ascii="Times New Roman" w:eastAsia="Times New Roman" w:hAnsi="Times New Roman" w:cs="Times New Roman"/>
          <w:sz w:val="20"/>
          <w:szCs w:val="20"/>
          <w:lang w:eastAsia="cs-CZ"/>
        </w:rPr>
        <w:t>xxx</w:t>
      </w:r>
      <w:proofErr w:type="spellEnd"/>
    </w:p>
    <w:p w14:paraId="7B804DA8" w14:textId="5A038C42"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EC7F19">
        <w:rPr>
          <w:rFonts w:ascii="Times New Roman" w:eastAsia="Times New Roman" w:hAnsi="Times New Roman" w:cs="Times New Roman"/>
          <w:sz w:val="20"/>
          <w:szCs w:val="20"/>
          <w:lang w:eastAsia="cs-CZ"/>
        </w:rPr>
        <w:t xml:space="preserve"> a „</w:t>
      </w:r>
      <w:r w:rsidR="00EC7F19" w:rsidRPr="00D07305">
        <w:rPr>
          <w:rFonts w:ascii="Times New Roman" w:eastAsia="Times New Roman" w:hAnsi="Times New Roman" w:cs="Times New Roman"/>
          <w:b/>
          <w:bCs/>
          <w:sz w:val="20"/>
          <w:szCs w:val="20"/>
          <w:lang w:eastAsia="cs-CZ"/>
        </w:rPr>
        <w:t>Účastník Dílčího projektu 6</w:t>
      </w:r>
      <w:r w:rsidR="00EC7F19">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45FEC7D3"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5BF4E34" w14:textId="77777777" w:rsidR="00EC7F19" w:rsidRPr="00E9090D" w:rsidRDefault="00003930" w:rsidP="00EC7F1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EC7F19" w:rsidRPr="00FA7156">
        <w:rPr>
          <w:rFonts w:ascii="Times New Roman" w:eastAsia="Times New Roman" w:hAnsi="Times New Roman" w:cs="Times New Roman"/>
          <w:b/>
          <w:sz w:val="20"/>
          <w:szCs w:val="20"/>
          <w:lang w:eastAsia="cs-CZ"/>
        </w:rPr>
        <w:t xml:space="preserve">Prusa </w:t>
      </w:r>
      <w:proofErr w:type="spellStart"/>
      <w:r w:rsidR="00EC7F19" w:rsidRPr="00FA7156">
        <w:rPr>
          <w:rFonts w:ascii="Times New Roman" w:eastAsia="Times New Roman" w:hAnsi="Times New Roman" w:cs="Times New Roman"/>
          <w:b/>
          <w:sz w:val="20"/>
          <w:szCs w:val="20"/>
          <w:lang w:eastAsia="cs-CZ"/>
        </w:rPr>
        <w:t>Polymers</w:t>
      </w:r>
      <w:proofErr w:type="spellEnd"/>
      <w:r w:rsidR="00EC7F19" w:rsidRPr="00FA7156">
        <w:rPr>
          <w:rFonts w:ascii="Times New Roman" w:eastAsia="Times New Roman" w:hAnsi="Times New Roman" w:cs="Times New Roman"/>
          <w:b/>
          <w:sz w:val="20"/>
          <w:szCs w:val="20"/>
          <w:lang w:eastAsia="cs-CZ"/>
        </w:rPr>
        <w:t xml:space="preserve"> a.s.</w:t>
      </w:r>
    </w:p>
    <w:p w14:paraId="6727D663" w14:textId="77777777" w:rsidR="00EC7F19" w:rsidRPr="00E9090D" w:rsidRDefault="00EC7F19" w:rsidP="00EC7F1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876821">
        <w:rPr>
          <w:rFonts w:ascii="Times New Roman" w:eastAsia="Times New Roman" w:hAnsi="Times New Roman" w:cs="Times New Roman"/>
          <w:sz w:val="20"/>
          <w:szCs w:val="20"/>
          <w:lang w:eastAsia="cs-CZ"/>
        </w:rPr>
        <w:t>Partyzánská 188/7a, Holešovice, 170 00 Praha 7</w:t>
      </w:r>
    </w:p>
    <w:p w14:paraId="7E588853" w14:textId="77777777" w:rsidR="00EC7F19" w:rsidRPr="00E9090D" w:rsidRDefault="00EC7F19" w:rsidP="00EC7F1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876821">
        <w:rPr>
          <w:rFonts w:ascii="Times New Roman" w:eastAsia="Times New Roman" w:hAnsi="Times New Roman" w:cs="Times New Roman"/>
          <w:sz w:val="20"/>
          <w:szCs w:val="20"/>
          <w:lang w:eastAsia="cs-CZ"/>
        </w:rPr>
        <w:t>06593615</w:t>
      </w:r>
    </w:p>
    <w:p w14:paraId="2572DBBA" w14:textId="77777777" w:rsidR="00EC7F19" w:rsidRPr="00E9090D" w:rsidRDefault="00EC7F19" w:rsidP="00EC7F1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876821">
        <w:rPr>
          <w:rFonts w:ascii="Times New Roman" w:eastAsia="Times New Roman" w:hAnsi="Times New Roman" w:cs="Times New Roman"/>
          <w:sz w:val="20"/>
          <w:szCs w:val="20"/>
          <w:lang w:eastAsia="cs-CZ"/>
        </w:rPr>
        <w:t>CZ06593615</w:t>
      </w:r>
    </w:p>
    <w:p w14:paraId="426446E9" w14:textId="77777777" w:rsidR="00EC7F19" w:rsidRPr="00E9090D" w:rsidRDefault="00EC7F19" w:rsidP="00EC7F1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Pr>
          <w:rFonts w:ascii="Times New Roman" w:eastAsia="Times New Roman" w:hAnsi="Times New Roman" w:cs="Times New Roman"/>
          <w:sz w:val="20"/>
          <w:szCs w:val="20"/>
          <w:lang w:eastAsia="cs-CZ"/>
        </w:rPr>
        <w:t>Josefem Průšou</w:t>
      </w:r>
    </w:p>
    <w:p w14:paraId="1C013868" w14:textId="77777777" w:rsidR="00EC7F19" w:rsidRPr="00BF3B46" w:rsidRDefault="00EC7F19" w:rsidP="00EC7F19">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Pr="00876821">
        <w:rPr>
          <w:rFonts w:ascii="Times New Roman" w:eastAsia="Times New Roman" w:hAnsi="Times New Roman" w:cs="Times New Roman"/>
          <w:sz w:val="20"/>
          <w:szCs w:val="20"/>
          <w:lang w:eastAsia="cs-CZ"/>
        </w:rPr>
        <w:t>B 22991</w:t>
      </w:r>
    </w:p>
    <w:p w14:paraId="75DDA680" w14:textId="42F8CACB" w:rsidR="00EC7F19" w:rsidRPr="00E9090D" w:rsidRDefault="00EC7F19" w:rsidP="00EC7F1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53496998" w14:textId="0D8EA150" w:rsidR="00EC7F19" w:rsidRPr="00E9090D" w:rsidRDefault="00EC7F19" w:rsidP="00EC7F1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p>
    <w:p w14:paraId="4264D80A" w14:textId="0DF72CDE" w:rsidR="00EC7F19" w:rsidRPr="00E9090D" w:rsidRDefault="00EC7F19" w:rsidP="00EC7F1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p>
    <w:p w14:paraId="35A5087F" w14:textId="61E656FD" w:rsidR="00E9090D" w:rsidRPr="00E9090D" w:rsidRDefault="00EC7F19"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sidDel="00EC7F19">
        <w:rPr>
          <w:rFonts w:ascii="Times New Roman" w:eastAsia="Times New Roman" w:hAnsi="Times New Roman" w:cs="Times New Roman"/>
          <w:b/>
          <w:bCs/>
          <w:sz w:val="20"/>
          <w:szCs w:val="20"/>
          <w:lang w:eastAsia="cs-CZ"/>
        </w:rPr>
        <w:t xml:space="preserve"> </w:t>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častník Dílčího projektu 1</w:t>
      </w:r>
      <w:r w:rsidR="00E9090D"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56CEE6E" w14:textId="732E037C"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14956CE" w14:textId="12179EB4"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0E31BE">
        <w:rPr>
          <w:rFonts w:ascii="Times New Roman" w:eastAsia="Times New Roman" w:hAnsi="Times New Roman" w:cs="Times New Roman"/>
          <w:b/>
          <w:sz w:val="20"/>
          <w:szCs w:val="20"/>
          <w:lang w:eastAsia="cs-CZ"/>
        </w:rPr>
        <w:t>Škoda Auto</w:t>
      </w:r>
      <w:r w:rsidR="00876821" w:rsidRPr="00876821">
        <w:rPr>
          <w:rFonts w:ascii="Times New Roman" w:eastAsia="Times New Roman" w:hAnsi="Times New Roman" w:cs="Times New Roman"/>
          <w:b/>
          <w:sz w:val="20"/>
          <w:szCs w:val="20"/>
          <w:lang w:eastAsia="cs-CZ"/>
        </w:rPr>
        <w:t xml:space="preserve"> a.s.</w:t>
      </w:r>
    </w:p>
    <w:p w14:paraId="7593D002" w14:textId="38F1E17E"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876821" w:rsidRPr="00876821">
        <w:rPr>
          <w:rFonts w:ascii="Times New Roman" w:eastAsia="Times New Roman" w:hAnsi="Times New Roman" w:cs="Times New Roman"/>
          <w:sz w:val="20"/>
          <w:szCs w:val="20"/>
          <w:lang w:eastAsia="cs-CZ"/>
        </w:rPr>
        <w:t>tř. Václava Klementa 869, 293 01 Mladá Boleslav</w:t>
      </w:r>
    </w:p>
    <w:p w14:paraId="429FDF41" w14:textId="74AFC832"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876821" w:rsidRPr="00876821">
        <w:rPr>
          <w:rFonts w:ascii="Times New Roman" w:eastAsia="Times New Roman" w:hAnsi="Times New Roman" w:cs="Times New Roman"/>
          <w:sz w:val="20"/>
          <w:szCs w:val="20"/>
          <w:lang w:eastAsia="cs-CZ"/>
        </w:rPr>
        <w:t>00177041</w:t>
      </w:r>
    </w:p>
    <w:p w14:paraId="0A448FAB" w14:textId="64A38B8A"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876821" w:rsidRPr="00876821">
        <w:rPr>
          <w:rFonts w:ascii="Times New Roman" w:eastAsia="Times New Roman" w:hAnsi="Times New Roman" w:cs="Times New Roman"/>
          <w:sz w:val="20"/>
          <w:szCs w:val="20"/>
          <w:lang w:eastAsia="cs-CZ"/>
        </w:rPr>
        <w:t>CZ00177041</w:t>
      </w:r>
    </w:p>
    <w:p w14:paraId="03483870" w14:textId="4DB29435"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085AC9" w:rsidRPr="00297197">
        <w:rPr>
          <w:rFonts w:ascii="Times New Roman" w:eastAsia="Times New Roman" w:hAnsi="Times New Roman" w:cs="Times New Roman"/>
          <w:sz w:val="20"/>
          <w:szCs w:val="20"/>
          <w:lang w:eastAsia="cs-CZ"/>
        </w:rPr>
        <w:t xml:space="preserve">Ing. Jiří </w:t>
      </w:r>
      <w:proofErr w:type="spellStart"/>
      <w:r w:rsidR="00085AC9" w:rsidRPr="00297197">
        <w:rPr>
          <w:rFonts w:ascii="Times New Roman" w:eastAsia="Times New Roman" w:hAnsi="Times New Roman" w:cs="Times New Roman"/>
          <w:sz w:val="20"/>
          <w:szCs w:val="20"/>
          <w:lang w:eastAsia="cs-CZ"/>
        </w:rPr>
        <w:t>Drbout</w:t>
      </w:r>
      <w:proofErr w:type="spellEnd"/>
      <w:r w:rsidR="00085AC9">
        <w:rPr>
          <w:rFonts w:ascii="Times New Roman" w:eastAsia="Times New Roman" w:hAnsi="Times New Roman" w:cs="Times New Roman"/>
          <w:sz w:val="20"/>
          <w:szCs w:val="20"/>
          <w:lang w:eastAsia="cs-CZ"/>
        </w:rPr>
        <w:t xml:space="preserve">, </w:t>
      </w:r>
      <w:r w:rsidR="00085AC9" w:rsidRPr="00297197">
        <w:rPr>
          <w:rFonts w:ascii="Times New Roman" w:eastAsia="Times New Roman" w:hAnsi="Times New Roman" w:cs="Times New Roman"/>
          <w:sz w:val="20"/>
          <w:szCs w:val="20"/>
          <w:lang w:eastAsia="cs-CZ"/>
        </w:rPr>
        <w:t xml:space="preserve">Vedoucí plánování značky (PP) </w:t>
      </w:r>
      <w:r w:rsidR="00085AC9">
        <w:rPr>
          <w:rFonts w:ascii="Times New Roman" w:eastAsia="Times New Roman" w:hAnsi="Times New Roman" w:cs="Times New Roman"/>
          <w:sz w:val="20"/>
          <w:szCs w:val="20"/>
          <w:lang w:eastAsia="cs-CZ"/>
        </w:rPr>
        <w:t xml:space="preserve"> a </w:t>
      </w:r>
      <w:r w:rsidR="00085AC9" w:rsidRPr="00297197">
        <w:rPr>
          <w:rFonts w:ascii="Times New Roman" w:eastAsia="Times New Roman" w:hAnsi="Times New Roman" w:cs="Times New Roman"/>
          <w:sz w:val="20"/>
          <w:szCs w:val="20"/>
          <w:lang w:eastAsia="cs-CZ"/>
        </w:rPr>
        <w:t xml:space="preserve">Ing. Jan </w:t>
      </w:r>
      <w:proofErr w:type="spellStart"/>
      <w:r w:rsidR="00085AC9" w:rsidRPr="00297197">
        <w:rPr>
          <w:rFonts w:ascii="Times New Roman" w:eastAsia="Times New Roman" w:hAnsi="Times New Roman" w:cs="Times New Roman"/>
          <w:sz w:val="20"/>
          <w:szCs w:val="20"/>
          <w:lang w:eastAsia="cs-CZ"/>
        </w:rPr>
        <w:t>Bečvařík</w:t>
      </w:r>
      <w:proofErr w:type="spellEnd"/>
      <w:r w:rsidR="00085AC9" w:rsidRPr="00297197">
        <w:rPr>
          <w:rFonts w:ascii="Times New Roman" w:eastAsia="Times New Roman" w:hAnsi="Times New Roman" w:cs="Times New Roman"/>
          <w:sz w:val="20"/>
          <w:szCs w:val="20"/>
          <w:lang w:eastAsia="cs-CZ"/>
        </w:rPr>
        <w:t>, MBA</w:t>
      </w:r>
      <w:r w:rsidR="00085AC9">
        <w:rPr>
          <w:rFonts w:ascii="Times New Roman" w:eastAsia="Times New Roman" w:hAnsi="Times New Roman" w:cs="Times New Roman"/>
          <w:sz w:val="20"/>
          <w:szCs w:val="20"/>
          <w:lang w:eastAsia="cs-CZ"/>
        </w:rPr>
        <w:t xml:space="preserve">, </w:t>
      </w:r>
      <w:r w:rsidR="00085AC9" w:rsidRPr="00297197">
        <w:rPr>
          <w:rFonts w:ascii="Times New Roman" w:eastAsia="Times New Roman" w:hAnsi="Times New Roman" w:cs="Times New Roman"/>
          <w:sz w:val="20"/>
          <w:szCs w:val="20"/>
          <w:lang w:eastAsia="cs-CZ"/>
        </w:rPr>
        <w:t>Vedoucí plánování a koordinace (ES)</w:t>
      </w:r>
    </w:p>
    <w:p w14:paraId="04A9E5B3" w14:textId="5C3A7625"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9B7418">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sidR="009B7418">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9B7418">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9B7418" w:rsidRPr="009B7418">
        <w:rPr>
          <w:rFonts w:ascii="Times New Roman" w:eastAsia="Times New Roman" w:hAnsi="Times New Roman" w:cs="Times New Roman"/>
          <w:sz w:val="20"/>
          <w:szCs w:val="20"/>
          <w:lang w:eastAsia="cs-CZ"/>
        </w:rPr>
        <w:t>B 332</w:t>
      </w:r>
    </w:p>
    <w:p w14:paraId="04DDC2AC" w14:textId="634064A6"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4A820542" w14:textId="3586367D"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p>
    <w:p w14:paraId="2CAF0F1A" w14:textId="538B0891" w:rsidR="00034149" w:rsidRDefault="00E9090D" w:rsidP="000341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r w:rsidR="00034149" w:rsidRPr="00E9090D">
        <w:rPr>
          <w:rFonts w:ascii="Times New Roman" w:eastAsia="Times New Roman" w:hAnsi="Times New Roman" w:cs="Times New Roman"/>
          <w:sz w:val="20"/>
          <w:szCs w:val="20"/>
          <w:lang w:eastAsia="cs-CZ"/>
        </w:rPr>
        <w:t xml:space="preserve"> </w:t>
      </w:r>
    </w:p>
    <w:p w14:paraId="0D44768B" w14:textId="72BBE0E1" w:rsidR="00E9090D" w:rsidRPr="00E9090D" w:rsidRDefault="00E9090D" w:rsidP="00034149">
      <w:pPr>
        <w:autoSpaceDE w:val="0"/>
        <w:autoSpaceDN w:val="0"/>
        <w:spacing w:after="0" w:line="240" w:lineRule="auto"/>
        <w:ind w:firstLine="708"/>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2</w:t>
      </w:r>
      <w:r w:rsidRPr="00E9090D">
        <w:rPr>
          <w:rFonts w:ascii="Times New Roman" w:eastAsia="Times New Roman" w:hAnsi="Times New Roman" w:cs="Times New Roman"/>
          <w:b/>
          <w:bCs/>
          <w:sz w:val="20"/>
          <w:szCs w:val="20"/>
          <w:lang w:eastAsia="cs-CZ"/>
        </w:rPr>
        <w:t>“)</w:t>
      </w:r>
    </w:p>
    <w:p w14:paraId="16846048" w14:textId="2664FE0A"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7950276" w14:textId="5838248D" w:rsidR="009B7418" w:rsidRPr="00E4421B"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lastRenderedPageBreak/>
        <w:t>a</w:t>
      </w:r>
    </w:p>
    <w:p w14:paraId="6A8C385D" w14:textId="77777777" w:rsidR="009B7418" w:rsidRPr="00E9090D" w:rsidRDefault="009B7418" w:rsidP="009B7418">
      <w:pPr>
        <w:autoSpaceDE w:val="0"/>
        <w:autoSpaceDN w:val="0"/>
        <w:spacing w:after="0" w:line="240" w:lineRule="auto"/>
        <w:jc w:val="both"/>
        <w:rPr>
          <w:rFonts w:ascii="Times New Roman" w:eastAsia="Times New Roman" w:hAnsi="Times New Roman" w:cs="Times New Roman"/>
          <w:sz w:val="20"/>
          <w:szCs w:val="20"/>
          <w:lang w:eastAsia="cs-CZ"/>
        </w:rPr>
      </w:pPr>
    </w:p>
    <w:p w14:paraId="205B3D46" w14:textId="1AD37BB1" w:rsidR="009B7418" w:rsidRPr="00E9090D" w:rsidRDefault="009B7418" w:rsidP="009B7418">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sidRPr="009B7418">
        <w:rPr>
          <w:rFonts w:ascii="Times New Roman" w:eastAsia="Times New Roman" w:hAnsi="Times New Roman" w:cs="Times New Roman"/>
          <w:b/>
          <w:bCs/>
          <w:sz w:val="20"/>
          <w:szCs w:val="20"/>
          <w:lang w:eastAsia="cs-CZ"/>
        </w:rPr>
        <w:t>ŠKODA AUTO VYSOKÁ ŠKOLA o.p.s.</w:t>
      </w:r>
    </w:p>
    <w:p w14:paraId="674A7913" w14:textId="3480C475"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9B7418">
        <w:rPr>
          <w:rFonts w:ascii="Times New Roman" w:eastAsia="Times New Roman" w:hAnsi="Times New Roman" w:cs="Times New Roman"/>
          <w:sz w:val="20"/>
          <w:szCs w:val="20"/>
          <w:lang w:eastAsia="cs-CZ"/>
        </w:rPr>
        <w:t xml:space="preserve">Na </w:t>
      </w:r>
      <w:proofErr w:type="spellStart"/>
      <w:r w:rsidRPr="009B7418">
        <w:rPr>
          <w:rFonts w:ascii="Times New Roman" w:eastAsia="Times New Roman" w:hAnsi="Times New Roman" w:cs="Times New Roman"/>
          <w:sz w:val="20"/>
          <w:szCs w:val="20"/>
          <w:lang w:eastAsia="cs-CZ"/>
        </w:rPr>
        <w:t>Karmeli</w:t>
      </w:r>
      <w:proofErr w:type="spellEnd"/>
      <w:r w:rsidRPr="009B7418">
        <w:rPr>
          <w:rFonts w:ascii="Times New Roman" w:eastAsia="Times New Roman" w:hAnsi="Times New Roman" w:cs="Times New Roman"/>
          <w:sz w:val="20"/>
          <w:szCs w:val="20"/>
          <w:lang w:eastAsia="cs-CZ"/>
        </w:rPr>
        <w:t xml:space="preserve"> 1457, 293 01 Mladá Boleslav</w:t>
      </w:r>
    </w:p>
    <w:p w14:paraId="2F13B528" w14:textId="1B82F11C"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29142890</w:t>
      </w:r>
    </w:p>
    <w:p w14:paraId="22197E8C" w14:textId="0B0A9285"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CZ29142890</w:t>
      </w:r>
    </w:p>
    <w:p w14:paraId="4718917B" w14:textId="3451C72F"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9B7418">
        <w:rPr>
          <w:rFonts w:ascii="Times New Roman" w:eastAsia="Times New Roman" w:hAnsi="Times New Roman" w:cs="Times New Roman"/>
          <w:bCs/>
          <w:sz w:val="20"/>
          <w:szCs w:val="20"/>
          <w:lang w:eastAsia="cs-CZ"/>
        </w:rPr>
        <w:t>doc. Ing. Pavel Mertlík, CSc.</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1492069C" w14:textId="3445E28C"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118218A5" w14:textId="49D0E8DB" w:rsidR="00034149" w:rsidRDefault="009B7418" w:rsidP="009B741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r w:rsidR="00034149" w:rsidRPr="00E9090D">
        <w:rPr>
          <w:rFonts w:ascii="Times New Roman" w:eastAsia="Times New Roman" w:hAnsi="Times New Roman" w:cs="Times New Roman"/>
          <w:sz w:val="20"/>
          <w:szCs w:val="20"/>
          <w:lang w:eastAsia="cs-CZ"/>
        </w:rPr>
        <w:t xml:space="preserve"> </w:t>
      </w:r>
    </w:p>
    <w:p w14:paraId="42629028" w14:textId="730A2CA0" w:rsidR="009B7418" w:rsidRPr="00E9090D" w:rsidRDefault="009B7418" w:rsidP="009B741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p>
    <w:p w14:paraId="5A412572" w14:textId="2840F8E6" w:rsidR="009B7418"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5F995B88" w14:textId="11BB27E9" w:rsidR="009B7418"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349ECB34" w14:textId="77777777"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3255344" w14:textId="22265C91" w:rsidR="009B7418" w:rsidRPr="00E9090D" w:rsidRDefault="009B7418" w:rsidP="009B7418">
      <w:pPr>
        <w:autoSpaceDE w:val="0"/>
        <w:autoSpaceDN w:val="0"/>
        <w:spacing w:after="0" w:line="240" w:lineRule="auto"/>
        <w:jc w:val="both"/>
        <w:rPr>
          <w:rFonts w:ascii="Times New Roman" w:eastAsia="Times New Roman" w:hAnsi="Times New Roman" w:cs="Times New Roman"/>
          <w:sz w:val="20"/>
          <w:szCs w:val="20"/>
          <w:lang w:eastAsia="cs-CZ"/>
        </w:rPr>
      </w:pPr>
    </w:p>
    <w:p w14:paraId="49F805A2" w14:textId="08C7DBB7" w:rsidR="009B7418" w:rsidRPr="00E9090D" w:rsidRDefault="009B7418" w:rsidP="009B7418">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sidRPr="009B7418">
        <w:rPr>
          <w:rFonts w:ascii="Times New Roman" w:eastAsia="Times New Roman" w:hAnsi="Times New Roman" w:cs="Times New Roman"/>
          <w:b/>
          <w:bCs/>
          <w:sz w:val="20"/>
          <w:szCs w:val="20"/>
          <w:lang w:eastAsia="cs-CZ"/>
        </w:rPr>
        <w:t>Vysoké učení technické v Brně</w:t>
      </w:r>
    </w:p>
    <w:p w14:paraId="4AFCFEF4" w14:textId="7267B381"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Antonínská 548/1, 602 00 Brno</w:t>
      </w:r>
    </w:p>
    <w:p w14:paraId="66CDC515" w14:textId="7F7CFF6B"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00216305</w:t>
      </w:r>
    </w:p>
    <w:p w14:paraId="7F0EACCA" w14:textId="13DD65FE"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CZ00216305</w:t>
      </w:r>
    </w:p>
    <w:p w14:paraId="7107AC61" w14:textId="30C629DB"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006E290C" w:rsidRPr="006E290C">
        <w:rPr>
          <w:rFonts w:ascii="Times New Roman" w:eastAsia="Times New Roman" w:hAnsi="Times New Roman" w:cs="Times New Roman"/>
          <w:bCs/>
          <w:sz w:val="20"/>
          <w:szCs w:val="20"/>
          <w:lang w:eastAsia="cs-CZ"/>
        </w:rPr>
        <w:t>doc. Ing. Ladislav Janíček, Ph.D., MBA, LL.M.</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4E6CEDC3" w14:textId="4FA8C283"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43EA3AAA" w14:textId="2ADDA361" w:rsidR="009B7418" w:rsidRPr="00E9090D" w:rsidRDefault="009B7418" w:rsidP="009B741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p>
    <w:p w14:paraId="0BD96A05" w14:textId="0C1E89A5" w:rsidR="009B7418" w:rsidRPr="00DA7548" w:rsidRDefault="009B7418" w:rsidP="00DA7548">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p>
    <w:p w14:paraId="2EC508A0" w14:textId="5624C77D" w:rsidR="009B7418"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4</w:t>
      </w:r>
      <w:r w:rsidRPr="00E9090D">
        <w:rPr>
          <w:rFonts w:ascii="Times New Roman" w:eastAsia="Times New Roman" w:hAnsi="Times New Roman" w:cs="Times New Roman"/>
          <w:b/>
          <w:bCs/>
          <w:sz w:val="20"/>
          <w:szCs w:val="20"/>
          <w:lang w:eastAsia="cs-CZ"/>
        </w:rPr>
        <w:t>“)</w:t>
      </w:r>
    </w:p>
    <w:p w14:paraId="5C05EB90" w14:textId="7AEC28CD" w:rsidR="009B7418"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3AE41592" w14:textId="77777777"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B7BE735" w14:textId="3D192C7E" w:rsidR="009B7418" w:rsidRPr="00E9090D" w:rsidRDefault="009B7418" w:rsidP="009B7418">
      <w:pPr>
        <w:autoSpaceDE w:val="0"/>
        <w:autoSpaceDN w:val="0"/>
        <w:spacing w:after="0" w:line="240" w:lineRule="auto"/>
        <w:jc w:val="both"/>
        <w:rPr>
          <w:rFonts w:ascii="Times New Roman" w:eastAsia="Times New Roman" w:hAnsi="Times New Roman" w:cs="Times New Roman"/>
          <w:sz w:val="20"/>
          <w:szCs w:val="20"/>
          <w:lang w:eastAsia="cs-CZ"/>
        </w:rPr>
      </w:pPr>
    </w:p>
    <w:p w14:paraId="0B61D0FF" w14:textId="623FB908" w:rsidR="009B7418" w:rsidRPr="00E9090D" w:rsidRDefault="009B7418" w:rsidP="009B7418">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bCs/>
          <w:sz w:val="20"/>
          <w:szCs w:val="20"/>
          <w:lang w:eastAsia="cs-CZ"/>
        </w:rPr>
        <w:t>Vysoká škola chemicko-technologická v Praze</w:t>
      </w:r>
    </w:p>
    <w:p w14:paraId="429B7A1D" w14:textId="0DF80434"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DA7548">
        <w:rPr>
          <w:rFonts w:ascii="Times New Roman" w:eastAsia="Times New Roman" w:hAnsi="Times New Roman" w:cs="Times New Roman"/>
          <w:sz w:val="20"/>
          <w:szCs w:val="20"/>
          <w:lang w:eastAsia="cs-CZ"/>
        </w:rPr>
        <w:t>Technická 1905/5, 160 00 Praha 6 - Dejvice</w:t>
      </w:r>
    </w:p>
    <w:p w14:paraId="61A87C35" w14:textId="16D1A572"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bookmarkStart w:id="0" w:name="_GoBack"/>
      <w:r w:rsidR="00DA7548" w:rsidRPr="00DA7548">
        <w:rPr>
          <w:rFonts w:ascii="Times New Roman" w:eastAsia="Times New Roman" w:hAnsi="Times New Roman" w:cs="Times New Roman"/>
          <w:sz w:val="20"/>
          <w:szCs w:val="20"/>
          <w:lang w:eastAsia="cs-CZ"/>
        </w:rPr>
        <w:t>60461373</w:t>
      </w:r>
      <w:bookmarkEnd w:id="0"/>
    </w:p>
    <w:p w14:paraId="17B1D6A5" w14:textId="0FD63AC5"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DA7548" w:rsidRPr="00DA7548">
        <w:rPr>
          <w:rFonts w:ascii="Times New Roman" w:eastAsia="Times New Roman" w:hAnsi="Times New Roman" w:cs="Times New Roman"/>
          <w:sz w:val="20"/>
          <w:szCs w:val="20"/>
          <w:lang w:eastAsia="cs-CZ"/>
        </w:rPr>
        <w:t>CZ60461373</w:t>
      </w:r>
    </w:p>
    <w:p w14:paraId="1C84462B" w14:textId="7E0D53B4"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00DA7548" w:rsidRPr="00DA7548">
        <w:rPr>
          <w:rFonts w:ascii="Times New Roman" w:eastAsia="Times New Roman" w:hAnsi="Times New Roman" w:cs="Times New Roman"/>
          <w:bCs/>
          <w:sz w:val="20"/>
          <w:szCs w:val="20"/>
          <w:lang w:eastAsia="cs-CZ"/>
        </w:rPr>
        <w:t>prof. Dr. RNDr. Pavel Matějka</w:t>
      </w:r>
      <w:r w:rsidR="00DA7548">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0D8E41F8" w14:textId="6D34FD08" w:rsidR="00DA7548" w:rsidRPr="00E9090D" w:rsidRDefault="00DA7548" w:rsidP="00DA754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5C0C1A">
        <w:rPr>
          <w:rFonts w:ascii="Times New Roman" w:eastAsia="Times New Roman" w:hAnsi="Times New Roman" w:cs="Times New Roman"/>
          <w:sz w:val="20"/>
          <w:szCs w:val="20"/>
          <w:lang w:eastAsia="cs-CZ"/>
        </w:rPr>
        <w:t>xxx</w:t>
      </w:r>
      <w:proofErr w:type="spellEnd"/>
    </w:p>
    <w:p w14:paraId="25859073" w14:textId="71B69A25" w:rsidR="00DA7548" w:rsidRPr="00E9090D" w:rsidRDefault="00DA7548" w:rsidP="00DA754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5C0C1A">
        <w:rPr>
          <w:rFonts w:ascii="Times New Roman" w:eastAsia="Times New Roman" w:hAnsi="Times New Roman" w:cs="Times New Roman"/>
          <w:sz w:val="20"/>
          <w:szCs w:val="20"/>
          <w:lang w:eastAsia="cs-CZ"/>
        </w:rPr>
        <w:t>xxx</w:t>
      </w:r>
      <w:proofErr w:type="spellEnd"/>
    </w:p>
    <w:p w14:paraId="0D4A8515" w14:textId="0C32E4C9" w:rsidR="009B7418" w:rsidRPr="00E9090D" w:rsidRDefault="009B7418" w:rsidP="009B741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5C0C1A">
        <w:rPr>
          <w:rFonts w:ascii="Times New Roman" w:eastAsia="Times New Roman" w:hAnsi="Times New Roman" w:cs="Times New Roman"/>
          <w:sz w:val="20"/>
          <w:szCs w:val="20"/>
          <w:lang w:eastAsia="cs-CZ"/>
        </w:rPr>
        <w:t>xxx</w:t>
      </w:r>
      <w:proofErr w:type="spellEnd"/>
    </w:p>
    <w:p w14:paraId="7EE024C8" w14:textId="43A4B3FE"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DA7548">
        <w:rPr>
          <w:rFonts w:ascii="Times New Roman" w:eastAsia="Times New Roman" w:hAnsi="Times New Roman" w:cs="Times New Roman"/>
          <w:b/>
          <w:sz w:val="20"/>
          <w:szCs w:val="20"/>
          <w:lang w:eastAsia="cs-CZ"/>
        </w:rPr>
        <w:t>5</w:t>
      </w:r>
      <w:r w:rsidRPr="00E9090D">
        <w:rPr>
          <w:rFonts w:ascii="Times New Roman" w:eastAsia="Times New Roman" w:hAnsi="Times New Roman" w:cs="Times New Roman"/>
          <w:b/>
          <w:bCs/>
          <w:sz w:val="20"/>
          <w:szCs w:val="20"/>
          <w:lang w:eastAsia="cs-CZ"/>
        </w:rPr>
        <w:t>“)</w:t>
      </w:r>
    </w:p>
    <w:p w14:paraId="50E64339" w14:textId="77777777" w:rsidR="009B7418" w:rsidRPr="00E9090D" w:rsidRDefault="009B7418" w:rsidP="009B7418">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0B7279C9" w14:textId="702E8F69" w:rsidR="009B7418" w:rsidRPr="00E9090D" w:rsidRDefault="009B7418"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8FCA578" w14:textId="296B6CE6"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4229DC36"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210754">
        <w:rPr>
          <w:rFonts w:ascii="Times New Roman" w:eastAsia="Times New Roman" w:hAnsi="Times New Roman" w:cs="Times New Roman"/>
          <w:sz w:val="20"/>
          <w:szCs w:val="20"/>
          <w:lang w:eastAsia="cs-CZ"/>
        </w:rPr>
        <w:t>NCK</w:t>
      </w:r>
      <w:r w:rsidRPr="00E9090D">
        <w:rPr>
          <w:rFonts w:ascii="Times New Roman" w:eastAsia="Times New Roman" w:hAnsi="Times New Roman" w:cs="Times New Roman"/>
          <w:sz w:val="20"/>
          <w:szCs w:val="20"/>
          <w:lang w:eastAsia="cs-CZ"/>
        </w:rPr>
        <w:t xml:space="preserve">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677CE3FB" w14:textId="6C091033" w:rsidR="00E9090D" w:rsidRPr="002F5EB6" w:rsidRDefault="00E9090D" w:rsidP="002F5EB6">
      <w:pPr>
        <w:numPr>
          <w:ilvl w:val="0"/>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DA7548" w:rsidRPr="00DA7548">
        <w:rPr>
          <w:rFonts w:ascii="Times New Roman" w:eastAsia="Times New Roman" w:hAnsi="Times New Roman" w:cs="Times New Roman"/>
          <w:b/>
          <w:sz w:val="20"/>
          <w:szCs w:val="20"/>
          <w:lang w:eastAsia="cs-CZ"/>
        </w:rPr>
        <w:t>„Vývoj inovativních 3D tiskových filamentů pro využití v průmyslu“</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3313F33E" w14:textId="190AE2C8"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51AAE2AE" w14:textId="77777777" w:rsidR="002F5EB6" w:rsidRDefault="002F5EB6"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53B44FD0"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1501BD">
        <w:rPr>
          <w:rFonts w:ascii="Times New Roman" w:eastAsia="Times New Roman" w:hAnsi="Times New Roman" w:cs="Times New Roman"/>
          <w:sz w:val="20"/>
          <w:szCs w:val="20"/>
          <w:lang w:eastAsia="cs-CZ"/>
        </w:rPr>
        <w:t>příjemce</w:t>
      </w:r>
      <w:r w:rsidR="001501BD"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F56AF9D" w14:textId="7C51E164" w:rsidR="00E9090D" w:rsidRDefault="00E9090D" w:rsidP="00E9090D">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256742F9" w14:textId="77777777" w:rsidR="00EC7F19" w:rsidRDefault="00EC7F19" w:rsidP="00D07305">
      <w:pPr>
        <w:pStyle w:val="Odstavecseseznamem"/>
        <w:rPr>
          <w:sz w:val="20"/>
        </w:rPr>
      </w:pPr>
    </w:p>
    <w:p w14:paraId="6C40A66C" w14:textId="733CE1F1" w:rsidR="00EC7F19" w:rsidRPr="002F5EB6" w:rsidRDefault="00697B7A" w:rsidP="00E9090D">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V případě</w:t>
      </w:r>
      <w:r w:rsidR="00EC7F19">
        <w:rPr>
          <w:rFonts w:ascii="Times New Roman" w:eastAsia="Times New Roman" w:hAnsi="Times New Roman" w:cs="Times New Roman"/>
          <w:sz w:val="20"/>
          <w:szCs w:val="20"/>
          <w:lang w:eastAsia="cs-CZ"/>
        </w:rPr>
        <w:t xml:space="preserve">, že Hlavní příjemce je současně Účastníkem Dílčího projektu, vztahují se na něj, dle povahy dané věci, jak práva a povinnosti vyplývající z této smlouvy pro Hlavního příjemce, tak pro Účastníka Dílčího projektu.  </w:t>
      </w:r>
    </w:p>
    <w:p w14:paraId="6E90566C" w14:textId="03186A4F" w:rsid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AB2FB17" w14:textId="77777777" w:rsidR="002F5EB6" w:rsidRPr="00E9090D" w:rsidRDefault="002F5EB6"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74CAD3A5" w14:textId="7EB88280" w:rsidR="00E9090D" w:rsidRPr="002F5EB6" w:rsidRDefault="00E9090D" w:rsidP="00E9090D">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24265C93" w14:textId="57A61E3D" w:rsid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1AE2F2D6" w14:textId="77777777" w:rsidR="002F5EB6" w:rsidRPr="00E9090D" w:rsidRDefault="002F5EB6"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6C250D5E" w:rsidR="00E9090D" w:rsidRPr="00E9090D" w:rsidRDefault="00994FA3"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Hlavní příjemce</w:t>
      </w:r>
      <w:r w:rsidR="00E9090D" w:rsidRPr="00E9090D">
        <w:rPr>
          <w:rFonts w:ascii="Times New Roman" w:eastAsia="Times New Roman" w:hAnsi="Times New Roman" w:cs="Times New Roman"/>
          <w:sz w:val="20"/>
          <w:szCs w:val="20"/>
          <w:lang w:eastAsia="cs-CZ"/>
        </w:rPr>
        <w:t xml:space="preserve"> Dílčího projektu</w:t>
      </w:r>
      <w:r w:rsidR="00003930">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3208F23E" w:rsidR="00E9090D" w:rsidRPr="00E9090D" w:rsidRDefault="00E9090D" w:rsidP="00DA7548">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DA7548" w:rsidRPr="00902A34">
        <w:rPr>
          <w:rFonts w:ascii="Times New Roman" w:eastAsia="Times New Roman" w:hAnsi="Times New Roman" w:cs="Times New Roman"/>
          <w:b/>
          <w:sz w:val="20"/>
          <w:szCs w:val="20"/>
          <w:lang w:eastAsia="cs-CZ"/>
        </w:rPr>
        <w:t>Vývoj inovativních 3D tiskových filamentů pro využití v průmyslu</w:t>
      </w:r>
    </w:p>
    <w:p w14:paraId="2C6C0A0E" w14:textId="77CF2119" w:rsidR="00E9090D" w:rsidRPr="00E9090D" w:rsidRDefault="00E9090D" w:rsidP="00DA7548">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DA7548" w:rsidRPr="00902A34">
        <w:rPr>
          <w:rFonts w:ascii="Times New Roman" w:eastAsia="Times New Roman" w:hAnsi="Times New Roman" w:cs="Times New Roman"/>
          <w:b/>
          <w:sz w:val="20"/>
          <w:szCs w:val="20"/>
          <w:lang w:eastAsia="cs-CZ"/>
        </w:rPr>
        <w:t>TN02000033/</w:t>
      </w:r>
      <w:r w:rsidR="00072096">
        <w:rPr>
          <w:rFonts w:ascii="Times New Roman" w:eastAsia="Times New Roman" w:hAnsi="Times New Roman" w:cs="Times New Roman"/>
          <w:b/>
          <w:sz w:val="20"/>
          <w:szCs w:val="20"/>
          <w:lang w:eastAsia="cs-CZ"/>
        </w:rPr>
        <w:t>0</w:t>
      </w:r>
      <w:r w:rsidR="00DA7548" w:rsidRPr="00902A34">
        <w:rPr>
          <w:rFonts w:ascii="Times New Roman" w:eastAsia="Times New Roman" w:hAnsi="Times New Roman" w:cs="Times New Roman"/>
          <w:b/>
          <w:sz w:val="20"/>
          <w:szCs w:val="20"/>
          <w:lang w:eastAsia="cs-CZ"/>
        </w:rPr>
        <w:t>1</w:t>
      </w:r>
    </w:p>
    <w:p w14:paraId="47CA918E" w14:textId="08958274"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DA7548" w:rsidRPr="00902A34">
        <w:rPr>
          <w:rFonts w:ascii="Times New Roman" w:eastAsia="Times New Roman" w:hAnsi="Times New Roman" w:cs="Times New Roman"/>
          <w:b/>
          <w:sz w:val="20"/>
          <w:szCs w:val="20"/>
          <w:lang w:eastAsia="cs-CZ"/>
        </w:rPr>
        <w:t>1/2023 – 12/2024</w:t>
      </w:r>
    </w:p>
    <w:p w14:paraId="413EBF97" w14:textId="7E84AD11"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EC7F19">
        <w:rPr>
          <w:rFonts w:ascii="Times New Roman" w:eastAsia="Times New Roman" w:hAnsi="Times New Roman" w:cs="Times New Roman"/>
          <w:sz w:val="20"/>
          <w:szCs w:val="20"/>
          <w:lang w:eastAsia="cs-CZ"/>
        </w:rPr>
        <w:t>Účastníka</w:t>
      </w:r>
      <w:r w:rsidR="00003930">
        <w:rPr>
          <w:rFonts w:ascii="Times New Roman" w:eastAsia="Times New Roman" w:hAnsi="Times New Roman" w:cs="Times New Roman"/>
          <w:sz w:val="20"/>
          <w:szCs w:val="20"/>
          <w:lang w:eastAsia="cs-CZ"/>
        </w:rPr>
        <w:t xml:space="preserve"> Dílčího projektu</w:t>
      </w:r>
      <w:r w:rsidR="00EC7F19">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2787B2ED"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5CB260DD" w:rsidR="00E9090D" w:rsidRPr="00DA7548" w:rsidRDefault="00DA7548" w:rsidP="00DA7548">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p>
    <w:p w14:paraId="24701026" w14:textId="4299F059" w:rsidR="00DA7548" w:rsidRDefault="00DA7548"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p>
    <w:p w14:paraId="306EF6AA" w14:textId="3F153F1E" w:rsidR="00DA7548" w:rsidRDefault="00DA7548"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4</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r w:rsidRPr="00DA7548">
        <w:rPr>
          <w:rFonts w:ascii="Times New Roman" w:eastAsia="Times New Roman" w:hAnsi="Times New Roman" w:cs="Times New Roman"/>
          <w:b/>
          <w:sz w:val="20"/>
          <w:szCs w:val="20"/>
          <w:lang w:eastAsia="cs-CZ"/>
        </w:rPr>
        <w:t>.</w:t>
      </w:r>
    </w:p>
    <w:p w14:paraId="24DF523F" w14:textId="308E524D" w:rsidR="00DA7548" w:rsidRPr="00E9090D" w:rsidRDefault="00DA7548"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5</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p>
    <w:p w14:paraId="73CF00A2" w14:textId="494F064A" w:rsidR="00EC7F19" w:rsidRDefault="00EC7F19" w:rsidP="00EC7F19">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6</w:t>
      </w:r>
      <w:r w:rsidRPr="00E9090D">
        <w:rPr>
          <w:rFonts w:ascii="Times New Roman" w:eastAsia="Times New Roman" w:hAnsi="Times New Roman" w:cs="Times New Roman"/>
          <w:sz w:val="20"/>
          <w:szCs w:val="20"/>
          <w:lang w:eastAsia="cs-CZ"/>
        </w:rPr>
        <w:t xml:space="preserve">: </w:t>
      </w:r>
      <w:proofErr w:type="spellStart"/>
      <w:r w:rsidR="00034149">
        <w:rPr>
          <w:rFonts w:ascii="Times New Roman" w:eastAsia="Times New Roman" w:hAnsi="Times New Roman" w:cs="Times New Roman"/>
          <w:b/>
          <w:sz w:val="20"/>
          <w:szCs w:val="20"/>
          <w:lang w:eastAsia="cs-CZ"/>
        </w:rPr>
        <w:t>xxx</w:t>
      </w:r>
      <w:proofErr w:type="spellEnd"/>
      <w:r w:rsidR="00034149">
        <w:rPr>
          <w:rFonts w:ascii="Times New Roman" w:eastAsia="Times New Roman" w:hAnsi="Times New Roman" w:cs="Times New Roman"/>
          <w:sz w:val="20"/>
          <w:szCs w:val="20"/>
          <w:lang w:eastAsia="cs-CZ"/>
        </w:rPr>
        <w:t xml:space="preserve"> </w:t>
      </w:r>
      <w:proofErr w:type="spellStart"/>
      <w:r w:rsidR="00034149" w:rsidRPr="00034149">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54CC9AB8" w14:textId="3D895491" w:rsidR="00E51D49"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87E1584" w14:textId="77777777" w:rsidR="002F5EB6" w:rsidRPr="00E9090D" w:rsidRDefault="002F5EB6"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787EB17C" w:rsidR="00003930" w:rsidRPr="00994FA3"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 xml:space="preserve">Odpovědnost za </w:t>
      </w:r>
      <w:r w:rsidR="00003930" w:rsidRPr="00994FA3">
        <w:rPr>
          <w:rFonts w:ascii="Times New Roman" w:eastAsia="Times New Roman" w:hAnsi="Times New Roman" w:cs="Times New Roman"/>
          <w:sz w:val="20"/>
          <w:szCs w:val="20"/>
          <w:lang w:eastAsia="cs-CZ"/>
        </w:rPr>
        <w:t>řízení</w:t>
      </w:r>
      <w:r w:rsidRPr="00994FA3">
        <w:rPr>
          <w:rFonts w:ascii="Times New Roman" w:eastAsia="Times New Roman" w:hAnsi="Times New Roman" w:cs="Times New Roman"/>
          <w:sz w:val="20"/>
          <w:szCs w:val="20"/>
          <w:lang w:eastAsia="cs-CZ"/>
        </w:rPr>
        <w:t xml:space="preserve"> Dílčího projektu ponese a celkovou koordinaci a řízení prací bude provádět </w:t>
      </w:r>
      <w:r w:rsidR="00EC7F19">
        <w:rPr>
          <w:rFonts w:ascii="Times New Roman" w:eastAsia="Times New Roman" w:hAnsi="Times New Roman" w:cs="Times New Roman"/>
          <w:sz w:val="20"/>
          <w:szCs w:val="20"/>
          <w:lang w:eastAsia="cs-CZ"/>
        </w:rPr>
        <w:t>Účastník</w:t>
      </w:r>
      <w:r w:rsidR="00003930" w:rsidRPr="00994FA3">
        <w:rPr>
          <w:rFonts w:ascii="Times New Roman" w:eastAsia="Times New Roman" w:hAnsi="Times New Roman" w:cs="Times New Roman"/>
          <w:sz w:val="20"/>
          <w:szCs w:val="20"/>
          <w:lang w:eastAsia="cs-CZ"/>
        </w:rPr>
        <w:t xml:space="preserve"> Dílčího projektu</w:t>
      </w:r>
      <w:r w:rsidR="00EC7F19">
        <w:rPr>
          <w:rFonts w:ascii="Times New Roman" w:eastAsia="Times New Roman" w:hAnsi="Times New Roman" w:cs="Times New Roman"/>
          <w:sz w:val="20"/>
          <w:szCs w:val="20"/>
          <w:lang w:eastAsia="cs-CZ"/>
        </w:rPr>
        <w:t xml:space="preserve"> 1</w:t>
      </w:r>
      <w:r w:rsidR="00003930" w:rsidRPr="00994FA3">
        <w:rPr>
          <w:rFonts w:ascii="Times New Roman" w:eastAsia="Times New Roman" w:hAnsi="Times New Roman" w:cs="Times New Roman"/>
          <w:sz w:val="20"/>
          <w:szCs w:val="20"/>
          <w:lang w:eastAsia="cs-CZ"/>
        </w:rPr>
        <w:t xml:space="preserve"> prostřednictvím H</w:t>
      </w:r>
      <w:r w:rsidRPr="00994FA3">
        <w:rPr>
          <w:rFonts w:ascii="Times New Roman" w:eastAsia="Times New Roman" w:hAnsi="Times New Roman" w:cs="Times New Roman"/>
          <w:sz w:val="20"/>
          <w:szCs w:val="20"/>
          <w:lang w:eastAsia="cs-CZ"/>
        </w:rPr>
        <w:t>lavní</w:t>
      </w:r>
      <w:r w:rsidR="00003930" w:rsidRPr="00994FA3">
        <w:rPr>
          <w:rFonts w:ascii="Times New Roman" w:eastAsia="Times New Roman" w:hAnsi="Times New Roman" w:cs="Times New Roman"/>
          <w:sz w:val="20"/>
          <w:szCs w:val="20"/>
          <w:lang w:eastAsia="cs-CZ"/>
        </w:rPr>
        <w:t>ho</w:t>
      </w:r>
      <w:r w:rsidRPr="00994FA3">
        <w:rPr>
          <w:rFonts w:ascii="Times New Roman" w:eastAsia="Times New Roman" w:hAnsi="Times New Roman" w:cs="Times New Roman"/>
          <w:sz w:val="20"/>
          <w:szCs w:val="20"/>
          <w:lang w:eastAsia="cs-CZ"/>
        </w:rPr>
        <w:t xml:space="preserve"> řešitel</w:t>
      </w:r>
      <w:r w:rsidR="00003930" w:rsidRPr="00994FA3">
        <w:rPr>
          <w:rFonts w:ascii="Times New Roman" w:eastAsia="Times New Roman" w:hAnsi="Times New Roman" w:cs="Times New Roman"/>
          <w:sz w:val="20"/>
          <w:szCs w:val="20"/>
          <w:lang w:eastAsia="cs-CZ"/>
        </w:rPr>
        <w:t>e</w:t>
      </w:r>
      <w:r w:rsidRPr="00994FA3">
        <w:rPr>
          <w:rFonts w:ascii="Times New Roman" w:eastAsia="Times New Roman" w:hAnsi="Times New Roman" w:cs="Times New Roman"/>
          <w:sz w:val="20"/>
          <w:szCs w:val="20"/>
          <w:lang w:eastAsia="cs-CZ"/>
        </w:rPr>
        <w:t>, jemuž bude podřízen řešitel</w:t>
      </w:r>
      <w:r w:rsidR="00003930" w:rsidRPr="00994FA3">
        <w:rPr>
          <w:rFonts w:ascii="Times New Roman" w:eastAsia="Times New Roman" w:hAnsi="Times New Roman" w:cs="Times New Roman"/>
          <w:sz w:val="20"/>
          <w:szCs w:val="20"/>
          <w:lang w:eastAsia="cs-CZ"/>
        </w:rPr>
        <w:t>/řešitelé</w:t>
      </w:r>
      <w:r w:rsidRPr="00994FA3">
        <w:rPr>
          <w:rFonts w:ascii="Times New Roman" w:eastAsia="Times New Roman" w:hAnsi="Times New Roman" w:cs="Times New Roman"/>
          <w:sz w:val="20"/>
          <w:szCs w:val="20"/>
          <w:lang w:eastAsia="cs-CZ"/>
        </w:rPr>
        <w:t xml:space="preserve"> na straně </w:t>
      </w:r>
      <w:r w:rsidR="00003930" w:rsidRPr="00994FA3">
        <w:rPr>
          <w:rFonts w:ascii="Times New Roman" w:eastAsia="Times New Roman" w:hAnsi="Times New Roman" w:cs="Times New Roman"/>
          <w:sz w:val="20"/>
          <w:szCs w:val="20"/>
          <w:lang w:eastAsia="cs-CZ"/>
        </w:rPr>
        <w:t>ostatních</w:t>
      </w:r>
      <w:r w:rsidRPr="00994FA3">
        <w:rPr>
          <w:rFonts w:ascii="Times New Roman" w:eastAsia="Times New Roman" w:hAnsi="Times New Roman" w:cs="Times New Roman"/>
          <w:sz w:val="20"/>
          <w:szCs w:val="20"/>
          <w:lang w:eastAsia="cs-CZ"/>
        </w:rPr>
        <w:t xml:space="preserve"> </w:t>
      </w:r>
      <w:r w:rsidR="00003930" w:rsidRPr="00994FA3">
        <w:rPr>
          <w:rFonts w:ascii="Times New Roman" w:eastAsia="Times New Roman" w:hAnsi="Times New Roman" w:cs="Times New Roman"/>
          <w:sz w:val="20"/>
          <w:szCs w:val="20"/>
          <w:lang w:eastAsia="cs-CZ"/>
        </w:rPr>
        <w:t>Ú</w:t>
      </w:r>
      <w:r w:rsidRPr="00994FA3">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Pr="00994FA3"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Pr="00994FA3"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sidRPr="00994FA3">
        <w:rPr>
          <w:rFonts w:ascii="Times New Roman" w:eastAsia="Times New Roman" w:hAnsi="Times New Roman" w:cs="Times New Roman"/>
          <w:sz w:val="20"/>
          <w:szCs w:val="20"/>
          <w:lang w:eastAsia="cs-CZ"/>
        </w:rPr>
        <w:t xml:space="preserve"> dle článku 3.1. této smlouvy</w:t>
      </w:r>
      <w:r w:rsidRPr="00994FA3">
        <w:rPr>
          <w:rFonts w:ascii="Times New Roman" w:eastAsia="Times New Roman" w:hAnsi="Times New Roman" w:cs="Times New Roman"/>
          <w:sz w:val="20"/>
          <w:szCs w:val="20"/>
          <w:lang w:eastAsia="cs-CZ"/>
        </w:rPr>
        <w:t>. Hlavní řešitel zajistí řízení Dílčího projektu tak, aby plnění jednotlivých úkolů probíhalo v souladu se Závaznými parametry řešení Dílčího projektu. Hlavní řešitel Dílčího projektu je odpovědný Manažerovi Centra, kterému bude předkládat veškeré zprávy a dokumenty Dílčího projektu dle Pravidel a požadavků Hlavního příjemce</w:t>
      </w:r>
      <w:r w:rsidR="00F1378F" w:rsidRPr="00994FA3">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sidRPr="00994FA3">
        <w:rPr>
          <w:rFonts w:ascii="Times New Roman" w:eastAsia="Times New Roman" w:hAnsi="Times New Roman" w:cs="Times New Roman"/>
          <w:sz w:val="20"/>
          <w:szCs w:val="20"/>
          <w:lang w:eastAsia="cs-CZ"/>
        </w:rPr>
        <w:t>.</w:t>
      </w:r>
    </w:p>
    <w:p w14:paraId="12328F1A" w14:textId="77777777" w:rsidR="00003930" w:rsidRPr="00994FA3" w:rsidRDefault="00003930" w:rsidP="00003930">
      <w:pPr>
        <w:pStyle w:val="Odstavecseseznamem"/>
        <w:rPr>
          <w:sz w:val="20"/>
        </w:rPr>
      </w:pPr>
    </w:p>
    <w:p w14:paraId="006D1BEE" w14:textId="621B1B0A" w:rsidR="00003930" w:rsidRPr="00994FA3"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5C0C1A">
        <w:rPr>
          <w:rFonts w:ascii="Times New Roman" w:eastAsia="Times New Roman" w:hAnsi="Times New Roman" w:cs="Times New Roman"/>
          <w:sz w:val="20"/>
          <w:szCs w:val="20"/>
          <w:lang w:eastAsia="cs-CZ"/>
        </w:rPr>
        <w:t xml:space="preserve">Účastník </w:t>
      </w:r>
      <w:r w:rsidR="005C0C1A" w:rsidRPr="00994FA3">
        <w:rPr>
          <w:rFonts w:ascii="Times New Roman" w:eastAsia="Times New Roman" w:hAnsi="Times New Roman" w:cs="Times New Roman"/>
          <w:sz w:val="20"/>
          <w:szCs w:val="20"/>
          <w:lang w:eastAsia="cs-CZ"/>
        </w:rPr>
        <w:t>Dílčího</w:t>
      </w:r>
      <w:r w:rsidRPr="00994FA3">
        <w:rPr>
          <w:rFonts w:ascii="Times New Roman" w:eastAsia="Times New Roman" w:hAnsi="Times New Roman" w:cs="Times New Roman"/>
          <w:sz w:val="20"/>
          <w:szCs w:val="20"/>
          <w:lang w:eastAsia="cs-CZ"/>
        </w:rPr>
        <w:t xml:space="preserve"> projektu</w:t>
      </w:r>
      <w:r w:rsidR="00433F41">
        <w:rPr>
          <w:rFonts w:ascii="Times New Roman" w:eastAsia="Times New Roman" w:hAnsi="Times New Roman" w:cs="Times New Roman"/>
          <w:sz w:val="20"/>
          <w:szCs w:val="20"/>
          <w:lang w:eastAsia="cs-CZ"/>
        </w:rPr>
        <w:t xml:space="preserve"> 1</w:t>
      </w:r>
      <w:r w:rsidRPr="00994FA3">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994FA3">
        <w:rPr>
          <w:rFonts w:ascii="Times New Roman" w:eastAsia="Times New Roman" w:hAnsi="Times New Roman" w:cs="Times New Roman"/>
          <w:sz w:val="20"/>
          <w:szCs w:val="20"/>
          <w:lang w:eastAsia="cs-CZ"/>
        </w:rPr>
        <w:t>5</w:t>
      </w:r>
      <w:r w:rsidRPr="00994FA3">
        <w:rPr>
          <w:rFonts w:ascii="Times New Roman" w:eastAsia="Times New Roman" w:hAnsi="Times New Roman" w:cs="Times New Roman"/>
          <w:sz w:val="20"/>
          <w:szCs w:val="20"/>
          <w:lang w:eastAsia="cs-CZ"/>
        </w:rPr>
        <w:t>.2. smlouvy.</w:t>
      </w:r>
    </w:p>
    <w:p w14:paraId="52FE2BB1" w14:textId="32123AF8" w:rsidR="00E9090D" w:rsidRPr="00994FA3"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w:t>
      </w:r>
      <w:r w:rsidRPr="00E9090D">
        <w:rPr>
          <w:rFonts w:ascii="Times New Roman" w:eastAsia="Times New Roman" w:hAnsi="Times New Roman" w:cs="Times New Roman"/>
          <w:sz w:val="20"/>
          <w:szCs w:val="20"/>
          <w:lang w:eastAsia="cs-CZ"/>
        </w:rPr>
        <w:t xml:space="preserve">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4F55E97A" w14:textId="5E0E049A" w:rsidR="00E9090D" w:rsidRDefault="00E9090D" w:rsidP="00E9090D">
      <w:pPr>
        <w:autoSpaceDE w:val="0"/>
        <w:autoSpaceDN w:val="0"/>
        <w:spacing w:after="0" w:line="240" w:lineRule="auto"/>
        <w:ind w:left="720"/>
        <w:jc w:val="both"/>
        <w:rPr>
          <w:rFonts w:ascii="Times New Roman" w:eastAsia="Times New Roman" w:hAnsi="Times New Roman" w:cs="Times New Roman"/>
          <w:iCs/>
          <w:sz w:val="20"/>
          <w:szCs w:val="20"/>
          <w:lang w:eastAsia="cs-CZ"/>
        </w:rPr>
      </w:pPr>
    </w:p>
    <w:p w14:paraId="2268F8C5" w14:textId="77777777" w:rsidR="002F5EB6" w:rsidRPr="002F5EB6" w:rsidRDefault="002F5EB6"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1DE39521" w14:textId="0C20216B"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47AEAA96" w14:textId="77777777" w:rsidR="002F5EB6" w:rsidRDefault="002F5EB6"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00977F48" w14:textId="77777777" w:rsidR="00EA24BD" w:rsidRDefault="00EA24BD">
      <w:pP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br w:type="page"/>
      </w:r>
    </w:p>
    <w:p w14:paraId="2DEAD5B2" w14:textId="4F9E2252"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lastRenderedPageBreak/>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994FA3"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994FA3">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994FA3"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26102419" w:rsidR="00E9090D" w:rsidRPr="00994FA3"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sidRPr="00994FA3">
        <w:rPr>
          <w:rFonts w:ascii="Times New Roman" w:eastAsia="Times New Roman" w:hAnsi="Times New Roman" w:cs="Times New Roman"/>
          <w:sz w:val="20"/>
          <w:szCs w:val="20"/>
          <w:lang w:eastAsia="cs-CZ"/>
        </w:rPr>
        <w:t xml:space="preserve"> Dílčího</w:t>
      </w:r>
      <w:r w:rsidRPr="00994FA3">
        <w:rPr>
          <w:rFonts w:ascii="Times New Roman" w:eastAsia="Times New Roman" w:hAnsi="Times New Roman" w:cs="Times New Roman"/>
          <w:sz w:val="20"/>
          <w:szCs w:val="20"/>
          <w:lang w:eastAsia="cs-CZ"/>
        </w:rPr>
        <w:t xml:space="preserve"> projektu navrhuje Manažerovi centra </w:t>
      </w:r>
      <w:r w:rsidR="001501BD">
        <w:rPr>
          <w:rFonts w:ascii="Times New Roman" w:eastAsia="Times New Roman" w:hAnsi="Times New Roman" w:cs="Times New Roman"/>
          <w:sz w:val="20"/>
          <w:szCs w:val="20"/>
          <w:lang w:eastAsia="cs-CZ"/>
        </w:rPr>
        <w:t>Účastník</w:t>
      </w:r>
      <w:r w:rsidRPr="00994FA3">
        <w:rPr>
          <w:rFonts w:ascii="Times New Roman" w:eastAsia="Times New Roman" w:hAnsi="Times New Roman" w:cs="Times New Roman"/>
          <w:sz w:val="20"/>
          <w:szCs w:val="20"/>
          <w:lang w:eastAsia="cs-CZ"/>
        </w:rPr>
        <w:t xml:space="preserve"> Dílčího projektu </w:t>
      </w:r>
      <w:r w:rsidR="001501BD">
        <w:rPr>
          <w:rFonts w:ascii="Times New Roman" w:eastAsia="Times New Roman" w:hAnsi="Times New Roman" w:cs="Times New Roman"/>
          <w:sz w:val="20"/>
          <w:szCs w:val="20"/>
          <w:lang w:eastAsia="cs-CZ"/>
        </w:rPr>
        <w:t xml:space="preserve">1 </w:t>
      </w:r>
      <w:r w:rsidRPr="00994FA3">
        <w:rPr>
          <w:rFonts w:ascii="Times New Roman" w:eastAsia="Times New Roman" w:hAnsi="Times New Roman" w:cs="Times New Roman"/>
          <w:sz w:val="20"/>
          <w:szCs w:val="20"/>
          <w:lang w:eastAsia="cs-CZ"/>
        </w:rPr>
        <w:t>a schvaluje je Rada Centra</w:t>
      </w:r>
      <w:r w:rsidR="00BA2743" w:rsidRPr="00994FA3">
        <w:rPr>
          <w:rFonts w:ascii="Times New Roman" w:eastAsia="Times New Roman" w:hAnsi="Times New Roman" w:cs="Times New Roman"/>
          <w:sz w:val="20"/>
          <w:szCs w:val="20"/>
          <w:lang w:eastAsia="cs-CZ"/>
        </w:rPr>
        <w:t xml:space="preserve"> a následně P</w:t>
      </w:r>
      <w:r w:rsidR="004444F9" w:rsidRPr="00994FA3">
        <w:rPr>
          <w:rFonts w:ascii="Times New Roman" w:eastAsia="Times New Roman" w:hAnsi="Times New Roman" w:cs="Times New Roman"/>
          <w:sz w:val="20"/>
          <w:szCs w:val="20"/>
          <w:lang w:eastAsia="cs-CZ"/>
        </w:rPr>
        <w:t>oskytovatel dotace</w:t>
      </w:r>
      <w:r w:rsidRPr="00994FA3">
        <w:rPr>
          <w:rFonts w:ascii="Times New Roman" w:eastAsia="Times New Roman" w:hAnsi="Times New Roman" w:cs="Times New Roman"/>
          <w:sz w:val="20"/>
          <w:szCs w:val="20"/>
          <w:lang w:eastAsia="cs-CZ"/>
        </w:rPr>
        <w:t>. Na změnu není právní nárok.</w:t>
      </w:r>
    </w:p>
    <w:p w14:paraId="2F97E3FB" w14:textId="77777777" w:rsidR="00E51D49" w:rsidRPr="00994FA3"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994FA3"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994FA3">
        <w:rPr>
          <w:rFonts w:ascii="Times New Roman" w:eastAsia="Times New Roman" w:hAnsi="Times New Roman" w:cs="Times New Roman"/>
          <w:sz w:val="20"/>
          <w:szCs w:val="20"/>
          <w:lang w:eastAsia="cs-CZ"/>
        </w:rPr>
        <w:t>Výše, časové rozložení a použití poskytnuté účelové podpory se řídí Závaznými parametry řešení Dílčího projektu.</w:t>
      </w:r>
      <w:r w:rsidRPr="00994FA3">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1F5CA1DE"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w:t>
      </w:r>
      <w:r w:rsidR="004C3FA0">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 xml:space="preserve"> než je den uvedený jako začátek řešení Dílčího projektu v Závazných parametrech řešení Dílčího projektu a současně po dni schválení Dílčího projektu Radou Centra, budou považovány za uznatelné náklady</w:t>
      </w:r>
      <w:r w:rsidR="009444B9">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 xml:space="preserve">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4421B"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xml:space="preserve">, ledaže lze aplikovat výjimku dle § 8 </w:t>
      </w:r>
      <w:r w:rsidR="00E17B97" w:rsidRPr="00E4421B">
        <w:rPr>
          <w:rFonts w:ascii="Times New Roman" w:eastAsia="Times New Roman" w:hAnsi="Times New Roman" w:cs="Times New Roman"/>
          <w:sz w:val="20"/>
          <w:szCs w:val="20"/>
          <w:lang w:eastAsia="cs-CZ"/>
        </w:rPr>
        <w:t>odst. 4 ZPVV</w:t>
      </w:r>
      <w:r w:rsidRPr="00E4421B">
        <w:rPr>
          <w:rFonts w:ascii="Times New Roman" w:eastAsia="Times New Roman" w:hAnsi="Times New Roman" w:cs="Times New Roman"/>
          <w:sz w:val="20"/>
          <w:szCs w:val="20"/>
          <w:lang w:eastAsia="cs-CZ"/>
        </w:rPr>
        <w:t xml:space="preserve">. </w:t>
      </w:r>
    </w:p>
    <w:p w14:paraId="47F7F76D" w14:textId="77777777" w:rsidR="00E51D49" w:rsidRPr="00E4421B" w:rsidRDefault="00E51D49" w:rsidP="00E51D49">
      <w:pPr>
        <w:pStyle w:val="Odstavecseseznamem"/>
        <w:rPr>
          <w:sz w:val="20"/>
        </w:rPr>
      </w:pPr>
    </w:p>
    <w:p w14:paraId="231FDA7F" w14:textId="77777777" w:rsidR="00E51D49" w:rsidRPr="00E4421B"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4421B">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sidRPr="00E4421B">
        <w:rPr>
          <w:rFonts w:ascii="Times New Roman" w:eastAsia="Times New Roman" w:hAnsi="Times New Roman" w:cs="Times New Roman"/>
          <w:sz w:val="20"/>
          <w:szCs w:val="20"/>
          <w:lang w:eastAsia="cs-CZ"/>
        </w:rPr>
        <w:t>účastníkovi</w:t>
      </w:r>
      <w:r w:rsidRPr="00E4421B">
        <w:rPr>
          <w:rFonts w:ascii="Times New Roman" w:eastAsia="Times New Roman" w:hAnsi="Times New Roman" w:cs="Times New Roman"/>
          <w:sz w:val="20"/>
          <w:szCs w:val="20"/>
          <w:lang w:eastAsia="cs-CZ"/>
        </w:rPr>
        <w:t xml:space="preserve"> Dílčího projektu uvedené v Závazných parametrech </w:t>
      </w:r>
      <w:r w:rsidR="00E51D49" w:rsidRPr="00E4421B">
        <w:rPr>
          <w:rFonts w:ascii="Times New Roman" w:eastAsia="Times New Roman" w:hAnsi="Times New Roman" w:cs="Times New Roman"/>
          <w:sz w:val="20"/>
          <w:szCs w:val="20"/>
          <w:lang w:eastAsia="cs-CZ"/>
        </w:rPr>
        <w:t xml:space="preserve">řešení </w:t>
      </w:r>
      <w:r w:rsidRPr="00E4421B">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2B515BF0" w14:textId="4120D859" w:rsidR="00E51D49"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24189D62" w14:textId="77777777" w:rsidR="002F5EB6" w:rsidRPr="00E9090D" w:rsidRDefault="002F5EB6"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xml:space="preserve">, </w:t>
      </w:r>
      <w:r w:rsidR="0082573D" w:rsidRPr="00B71572">
        <w:rPr>
          <w:rFonts w:ascii="Times New Roman" w:eastAsia="Times New Roman" w:hAnsi="Times New Roman" w:cs="Times New Roman"/>
          <w:iCs/>
          <w:color w:val="000000"/>
          <w:sz w:val="20"/>
          <w:szCs w:val="20"/>
          <w:lang w:eastAsia="cs-CZ"/>
        </w:rPr>
        <w:lastRenderedPageBreak/>
        <w:t>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07CA39C9" w14:textId="0C9CE402"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79E3D626" w14:textId="77777777" w:rsidR="002F5EB6" w:rsidRDefault="002F5EB6"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FDE1BF3" w14:textId="65DE23A7" w:rsidR="00B71572" w:rsidRDefault="00E9090D" w:rsidP="00344A91">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160AA572" w14:textId="76880687" w:rsidR="002F5EB6" w:rsidRDefault="002F5EB6" w:rsidP="002F5EB6">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B6F736F" w14:textId="77777777" w:rsidR="002F5EB6" w:rsidRPr="00344A91" w:rsidRDefault="002F5EB6" w:rsidP="002F5EB6">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2F57C6FB" w14:textId="75340116" w:rsidR="00266769" w:rsidRPr="002F5EB6" w:rsidRDefault="00E9090D" w:rsidP="002F5EB6">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B24DB7C" w14:textId="47CE39DC"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4D8E96B9" w14:textId="77777777" w:rsidR="002F5EB6" w:rsidRDefault="002F5EB6"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1E2DB7CC"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DBA52" w14:textId="351C86A9" w:rsid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2266DB89" w14:textId="77777777" w:rsidR="002F5EB6" w:rsidRPr="00E9090D" w:rsidRDefault="002F5EB6"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9ADE879"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08041D4F"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FE6B3F">
        <w:rPr>
          <w:sz w:val="20"/>
        </w:rPr>
        <w:t>m</w:t>
      </w:r>
      <w:r w:rsidRPr="00C364E1">
        <w:rPr>
          <w:sz w:val="20"/>
        </w:rPr>
        <w:t>:</w:t>
      </w:r>
    </w:p>
    <w:p w14:paraId="70EBC6B6" w14:textId="54459219" w:rsidR="00344A91" w:rsidRPr="001478D2" w:rsidRDefault="00EC7F19" w:rsidP="001478D2">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344A91">
        <w:rPr>
          <w:rFonts w:ascii="Times New Roman" w:eastAsia="Times New Roman" w:hAnsi="Times New Roman" w:cs="Times New Roman"/>
          <w:sz w:val="20"/>
          <w:szCs w:val="20"/>
          <w:lang w:eastAsia="cs-CZ"/>
        </w:rPr>
        <w:t xml:space="preserve"> Dílčího projektu</w:t>
      </w:r>
      <w:r>
        <w:rPr>
          <w:rFonts w:ascii="Times New Roman" w:eastAsia="Times New Roman" w:hAnsi="Times New Roman" w:cs="Times New Roman"/>
          <w:sz w:val="20"/>
          <w:szCs w:val="20"/>
          <w:lang w:eastAsia="cs-CZ"/>
        </w:rPr>
        <w:t xml:space="preserve"> 1</w:t>
      </w:r>
      <w:r w:rsidR="00344A91">
        <w:rPr>
          <w:rFonts w:ascii="Times New Roman" w:eastAsia="Times New Roman" w:hAnsi="Times New Roman" w:cs="Times New Roman"/>
          <w:sz w:val="20"/>
          <w:szCs w:val="20"/>
          <w:lang w:eastAsia="cs-CZ"/>
        </w:rPr>
        <w:t>:</w:t>
      </w:r>
      <w:r w:rsidR="00344A91" w:rsidRPr="00344A91">
        <w:rPr>
          <w:rFonts w:ascii="Times New Roman" w:eastAsia="Times New Roman" w:hAnsi="Times New Roman" w:cs="Times New Roman"/>
          <w:sz w:val="20"/>
          <w:szCs w:val="20"/>
          <w:lang w:eastAsia="cs-CZ"/>
        </w:rPr>
        <w:t xml:space="preserve"> </w:t>
      </w:r>
      <w:r w:rsidR="001478D2">
        <w:rPr>
          <w:rFonts w:ascii="Times New Roman" w:eastAsia="Times New Roman" w:hAnsi="Times New Roman" w:cs="Times New Roman"/>
          <w:sz w:val="20"/>
          <w:szCs w:val="20"/>
          <w:lang w:eastAsia="cs-CZ"/>
        </w:rPr>
        <w:t xml:space="preserve">Prusa </w:t>
      </w:r>
      <w:proofErr w:type="spellStart"/>
      <w:r w:rsidR="001478D2">
        <w:rPr>
          <w:rFonts w:ascii="Times New Roman" w:eastAsia="Times New Roman" w:hAnsi="Times New Roman" w:cs="Times New Roman"/>
          <w:sz w:val="20"/>
          <w:szCs w:val="20"/>
          <w:lang w:eastAsia="cs-CZ"/>
        </w:rPr>
        <w:t>Polymers</w:t>
      </w:r>
      <w:proofErr w:type="spellEnd"/>
      <w:r w:rsidR="001478D2">
        <w:rPr>
          <w:rFonts w:ascii="Times New Roman" w:eastAsia="Times New Roman" w:hAnsi="Times New Roman" w:cs="Times New Roman"/>
          <w:sz w:val="20"/>
          <w:szCs w:val="20"/>
          <w:lang w:eastAsia="cs-CZ"/>
        </w:rPr>
        <w:t xml:space="preserve"> a. s. disponuje pro potřeby projektu optimalizovanou konstrukcí</w:t>
      </w:r>
      <w:r w:rsidR="001478D2" w:rsidRPr="001478D2">
        <w:rPr>
          <w:rFonts w:ascii="Times New Roman" w:eastAsia="Times New Roman" w:hAnsi="Times New Roman" w:cs="Times New Roman"/>
          <w:sz w:val="20"/>
          <w:szCs w:val="20"/>
          <w:lang w:eastAsia="cs-CZ"/>
        </w:rPr>
        <w:t xml:space="preserve"> extruzní linky pro výrobu 3D tiskových strun včetně přídavných zařízení umožňující spolu s vyvinutým výrobním postupem produkci struny, která se vyznačuje nízkou odchylkou průměru, což se pozitivně odráží na kvalitě výsledných výtisků.</w:t>
      </w:r>
      <w:r w:rsidR="001478D2">
        <w:rPr>
          <w:rFonts w:ascii="Times New Roman" w:eastAsia="Times New Roman" w:hAnsi="Times New Roman" w:cs="Times New Roman"/>
          <w:sz w:val="20"/>
          <w:szCs w:val="20"/>
          <w:lang w:eastAsia="cs-CZ"/>
        </w:rPr>
        <w:t xml:space="preserve"> Dále má také zkušenosti a znalosti v oblasti v</w:t>
      </w:r>
      <w:r w:rsidR="001478D2" w:rsidRPr="001478D2">
        <w:rPr>
          <w:rFonts w:ascii="Times New Roman" w:eastAsia="Times New Roman" w:hAnsi="Times New Roman" w:cs="Times New Roman"/>
          <w:sz w:val="20"/>
          <w:szCs w:val="20"/>
          <w:lang w:eastAsia="cs-CZ"/>
        </w:rPr>
        <w:t>ývoj</w:t>
      </w:r>
      <w:r w:rsidR="001478D2">
        <w:rPr>
          <w:rFonts w:ascii="Times New Roman" w:eastAsia="Times New Roman" w:hAnsi="Times New Roman" w:cs="Times New Roman"/>
          <w:sz w:val="20"/>
          <w:szCs w:val="20"/>
          <w:lang w:eastAsia="cs-CZ"/>
        </w:rPr>
        <w:t>e</w:t>
      </w:r>
      <w:r w:rsidR="001478D2" w:rsidRPr="001478D2">
        <w:rPr>
          <w:rFonts w:ascii="Times New Roman" w:eastAsia="Times New Roman" w:hAnsi="Times New Roman" w:cs="Times New Roman"/>
          <w:sz w:val="20"/>
          <w:szCs w:val="20"/>
          <w:lang w:eastAsia="cs-CZ"/>
        </w:rPr>
        <w:t xml:space="preserve"> a zpracování polymerních matric, které jsou uzpůsobené specifickým požadavkům procesu 3D tisku.</w:t>
      </w:r>
    </w:p>
    <w:p w14:paraId="4CC0543B" w14:textId="5C947CAC" w:rsidR="00C364E1" w:rsidRDefault="00C364E1" w:rsidP="00E4421B">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E4421B" w:rsidRPr="00E4421B">
        <w:rPr>
          <w:rFonts w:ascii="Times New Roman" w:eastAsia="Times New Roman" w:hAnsi="Times New Roman" w:cs="Times New Roman"/>
          <w:sz w:val="20"/>
          <w:szCs w:val="20"/>
          <w:lang w:eastAsia="cs-CZ"/>
        </w:rPr>
        <w:t>Rolí Škoda Auto v dílčím projektu je formulovat potřeby průmyslového zákazníka a pomoci definovat vlastnosti vyvíjených materiálů tak, aby co nejlépe odpovídaly potřebám průmyslové praxe. Škoda Auto poskytne kromě svých zaměstnanců (expertů na 3D tisk, ale i jiné technologie nebo výrobní procesy) také své kapacity pro testování vyvinutých materiálů.</w:t>
      </w:r>
    </w:p>
    <w:p w14:paraId="722DDD65" w14:textId="77777777" w:rsidR="00775610" w:rsidRDefault="00344A91" w:rsidP="00775610">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sidRPr="00E4421B">
        <w:rPr>
          <w:rFonts w:ascii="Times New Roman" w:eastAsia="Times New Roman" w:hAnsi="Times New Roman" w:cs="Times New Roman"/>
          <w:sz w:val="20"/>
          <w:szCs w:val="20"/>
          <w:lang w:eastAsia="cs-CZ"/>
        </w:rPr>
        <w:t xml:space="preserve">Účastník Dílčího projektu 3: </w:t>
      </w:r>
      <w:r w:rsidR="00E4421B" w:rsidRPr="00E4421B">
        <w:rPr>
          <w:rFonts w:ascii="Times New Roman" w:eastAsia="Times New Roman" w:hAnsi="Times New Roman" w:cs="Times New Roman"/>
          <w:sz w:val="20"/>
          <w:szCs w:val="20"/>
          <w:lang w:eastAsia="cs-CZ"/>
        </w:rPr>
        <w:t xml:space="preserve">Přehled o současně dostupných materiálech, jejich aplikacích a technologickém zpracování. Znalost konstrukčních a technologických zvyklostí pro konstrukci a výrobu dílů pomocí 3D tisku. Základní přehled o technologiích </w:t>
      </w:r>
      <w:proofErr w:type="gramStart"/>
      <w:r w:rsidR="00E4421B" w:rsidRPr="00E4421B">
        <w:rPr>
          <w:rFonts w:ascii="Times New Roman" w:eastAsia="Times New Roman" w:hAnsi="Times New Roman" w:cs="Times New Roman"/>
          <w:sz w:val="20"/>
          <w:szCs w:val="20"/>
          <w:lang w:eastAsia="cs-CZ"/>
        </w:rPr>
        <w:t>3D</w:t>
      </w:r>
      <w:proofErr w:type="gramEnd"/>
      <w:r w:rsidR="00E4421B" w:rsidRPr="00E4421B">
        <w:rPr>
          <w:rFonts w:ascii="Times New Roman" w:eastAsia="Times New Roman" w:hAnsi="Times New Roman" w:cs="Times New Roman"/>
          <w:sz w:val="20"/>
          <w:szCs w:val="20"/>
          <w:lang w:eastAsia="cs-CZ"/>
        </w:rPr>
        <w:t xml:space="preserve"> tisku a aplikacích v Škoda Auto, a. s. Schopnost vyhledávat ve Škoda Auto, a. s. uplatnění pro matriál</w:t>
      </w:r>
      <w:r w:rsidR="00775610">
        <w:rPr>
          <w:rFonts w:ascii="Times New Roman" w:eastAsia="Times New Roman" w:hAnsi="Times New Roman" w:cs="Times New Roman"/>
          <w:sz w:val="20"/>
          <w:szCs w:val="20"/>
          <w:lang w:eastAsia="cs-CZ"/>
        </w:rPr>
        <w:t>y nově vyvinuté v rámci DP 01.</w:t>
      </w:r>
    </w:p>
    <w:p w14:paraId="10B4B3AE" w14:textId="4433C0C0" w:rsidR="00775610" w:rsidRPr="00775610" w:rsidRDefault="00344A91" w:rsidP="00775610">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sidRPr="00E4421B">
        <w:rPr>
          <w:rFonts w:ascii="Times New Roman" w:eastAsia="Times New Roman" w:hAnsi="Times New Roman" w:cs="Times New Roman"/>
          <w:sz w:val="20"/>
          <w:szCs w:val="20"/>
          <w:lang w:eastAsia="cs-CZ"/>
        </w:rPr>
        <w:t xml:space="preserve">Účastník Dílčího projektu 4: </w:t>
      </w:r>
      <w:r w:rsidR="00775610" w:rsidRPr="00775610">
        <w:rPr>
          <w:rFonts w:ascii="Times New Roman" w:eastAsia="Times New Roman" w:hAnsi="Times New Roman" w:cs="Times New Roman"/>
          <w:sz w:val="20"/>
          <w:szCs w:val="20"/>
          <w:lang w:eastAsia="cs-CZ"/>
        </w:rPr>
        <w:t>CEITEC VUT vstupuje do DP 01 s nás</w:t>
      </w:r>
      <w:r w:rsidR="00775610">
        <w:rPr>
          <w:rFonts w:ascii="Times New Roman" w:eastAsia="Times New Roman" w:hAnsi="Times New Roman" w:cs="Times New Roman"/>
          <w:sz w:val="20"/>
          <w:szCs w:val="20"/>
          <w:lang w:eastAsia="cs-CZ"/>
        </w:rPr>
        <w:t>ledujícím duševním vlastnictvím:</w:t>
      </w:r>
    </w:p>
    <w:p w14:paraId="0CC53204" w14:textId="77777777" w:rsidR="00775610" w:rsidRDefault="00775610" w:rsidP="00775610">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roofErr w:type="spellStart"/>
      <w:r w:rsidRPr="00775610">
        <w:rPr>
          <w:rFonts w:ascii="Times New Roman" w:eastAsia="Times New Roman" w:hAnsi="Times New Roman" w:cs="Times New Roman"/>
          <w:sz w:val="20"/>
          <w:szCs w:val="20"/>
          <w:lang w:eastAsia="cs-CZ"/>
        </w:rPr>
        <w:t>Kompatibilizátory</w:t>
      </w:r>
      <w:proofErr w:type="spellEnd"/>
      <w:r w:rsidRPr="00775610">
        <w:rPr>
          <w:rFonts w:ascii="Times New Roman" w:eastAsia="Times New Roman" w:hAnsi="Times New Roman" w:cs="Times New Roman"/>
          <w:sz w:val="20"/>
          <w:szCs w:val="20"/>
          <w:lang w:eastAsia="cs-CZ"/>
        </w:rPr>
        <w:t xml:space="preserve"> pro směsi polymerních matric a </w:t>
      </w:r>
      <w:proofErr w:type="spellStart"/>
      <w:r w:rsidRPr="00775610">
        <w:rPr>
          <w:rFonts w:ascii="Times New Roman" w:eastAsia="Times New Roman" w:hAnsi="Times New Roman" w:cs="Times New Roman"/>
          <w:sz w:val="20"/>
          <w:szCs w:val="20"/>
          <w:lang w:eastAsia="cs-CZ"/>
        </w:rPr>
        <w:t>elektrovodivých</w:t>
      </w:r>
      <w:proofErr w:type="spellEnd"/>
      <w:r w:rsidRPr="00775610">
        <w:rPr>
          <w:rFonts w:ascii="Times New Roman" w:eastAsia="Times New Roman" w:hAnsi="Times New Roman" w:cs="Times New Roman"/>
          <w:sz w:val="20"/>
          <w:szCs w:val="20"/>
          <w:lang w:eastAsia="cs-CZ"/>
        </w:rPr>
        <w:t xml:space="preserve"> plniv</w:t>
      </w:r>
      <w:r>
        <w:rPr>
          <w:rFonts w:ascii="Times New Roman" w:eastAsia="Times New Roman" w:hAnsi="Times New Roman" w:cs="Times New Roman"/>
          <w:sz w:val="20"/>
          <w:szCs w:val="20"/>
          <w:lang w:eastAsia="cs-CZ"/>
        </w:rPr>
        <w:t>;</w:t>
      </w:r>
    </w:p>
    <w:p w14:paraId="4F1D3013" w14:textId="77777777" w:rsidR="00775610" w:rsidRDefault="00775610" w:rsidP="00775610">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775610">
        <w:rPr>
          <w:rFonts w:ascii="Times New Roman" w:eastAsia="Times New Roman" w:hAnsi="Times New Roman" w:cs="Times New Roman"/>
          <w:sz w:val="20"/>
          <w:szCs w:val="20"/>
          <w:lang w:eastAsia="cs-CZ"/>
        </w:rPr>
        <w:t xml:space="preserve">Unikátní povrchová úprava keramických a </w:t>
      </w:r>
      <w:proofErr w:type="spellStart"/>
      <w:r w:rsidRPr="00775610">
        <w:rPr>
          <w:rFonts w:ascii="Times New Roman" w:eastAsia="Times New Roman" w:hAnsi="Times New Roman" w:cs="Times New Roman"/>
          <w:sz w:val="20"/>
          <w:szCs w:val="20"/>
          <w:lang w:eastAsia="cs-CZ"/>
        </w:rPr>
        <w:t>elektrovodivých</w:t>
      </w:r>
      <w:proofErr w:type="spellEnd"/>
      <w:r w:rsidRPr="00775610">
        <w:rPr>
          <w:rFonts w:ascii="Times New Roman" w:eastAsia="Times New Roman" w:hAnsi="Times New Roman" w:cs="Times New Roman"/>
          <w:sz w:val="20"/>
          <w:szCs w:val="20"/>
          <w:lang w:eastAsia="cs-CZ"/>
        </w:rPr>
        <w:t xml:space="preserve"> částicových plniv pro PETG, ABS a PLA matrice</w:t>
      </w:r>
      <w:r>
        <w:rPr>
          <w:rFonts w:ascii="Times New Roman" w:eastAsia="Times New Roman" w:hAnsi="Times New Roman" w:cs="Times New Roman"/>
          <w:sz w:val="20"/>
          <w:szCs w:val="20"/>
          <w:lang w:eastAsia="cs-CZ"/>
        </w:rPr>
        <w:t>;</w:t>
      </w:r>
    </w:p>
    <w:p w14:paraId="715DEF5F" w14:textId="77777777" w:rsidR="00775610" w:rsidRDefault="00775610" w:rsidP="00775610">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775610">
        <w:rPr>
          <w:rFonts w:ascii="Times New Roman" w:eastAsia="Times New Roman" w:hAnsi="Times New Roman" w:cs="Times New Roman"/>
          <w:sz w:val="20"/>
          <w:szCs w:val="20"/>
          <w:lang w:eastAsia="cs-CZ"/>
        </w:rPr>
        <w:t xml:space="preserve">Technologie </w:t>
      </w:r>
      <w:proofErr w:type="spellStart"/>
      <w:r w:rsidRPr="00775610">
        <w:rPr>
          <w:rFonts w:ascii="Times New Roman" w:eastAsia="Times New Roman" w:hAnsi="Times New Roman" w:cs="Times New Roman"/>
          <w:sz w:val="20"/>
          <w:szCs w:val="20"/>
          <w:lang w:eastAsia="cs-CZ"/>
        </w:rPr>
        <w:t>kompaundování</w:t>
      </w:r>
      <w:proofErr w:type="spellEnd"/>
      <w:r w:rsidRPr="00775610">
        <w:rPr>
          <w:rFonts w:ascii="Times New Roman" w:eastAsia="Times New Roman" w:hAnsi="Times New Roman" w:cs="Times New Roman"/>
          <w:sz w:val="20"/>
          <w:szCs w:val="20"/>
          <w:lang w:eastAsia="cs-CZ"/>
        </w:rPr>
        <w:t xml:space="preserve"> </w:t>
      </w:r>
      <w:proofErr w:type="spellStart"/>
      <w:r w:rsidRPr="00775610">
        <w:rPr>
          <w:rFonts w:ascii="Times New Roman" w:eastAsia="Times New Roman" w:hAnsi="Times New Roman" w:cs="Times New Roman"/>
          <w:sz w:val="20"/>
          <w:szCs w:val="20"/>
          <w:lang w:eastAsia="cs-CZ"/>
        </w:rPr>
        <w:t>vysoceplněných</w:t>
      </w:r>
      <w:proofErr w:type="spellEnd"/>
      <w:r w:rsidRPr="00775610">
        <w:rPr>
          <w:rFonts w:ascii="Times New Roman" w:eastAsia="Times New Roman" w:hAnsi="Times New Roman" w:cs="Times New Roman"/>
          <w:sz w:val="20"/>
          <w:szCs w:val="20"/>
          <w:lang w:eastAsia="cs-CZ"/>
        </w:rPr>
        <w:t xml:space="preserve"> polymerních materiálů</w:t>
      </w:r>
      <w:r>
        <w:rPr>
          <w:rFonts w:ascii="Times New Roman" w:eastAsia="Times New Roman" w:hAnsi="Times New Roman" w:cs="Times New Roman"/>
          <w:sz w:val="20"/>
          <w:szCs w:val="20"/>
          <w:lang w:eastAsia="cs-CZ"/>
        </w:rPr>
        <w:t>;</w:t>
      </w:r>
    </w:p>
    <w:p w14:paraId="70B27106" w14:textId="4F7A6FAC" w:rsidR="00344A91" w:rsidRPr="00E4421B" w:rsidRDefault="00775610" w:rsidP="00775610">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775610">
        <w:rPr>
          <w:rFonts w:ascii="Times New Roman" w:eastAsia="Times New Roman" w:hAnsi="Times New Roman" w:cs="Times New Roman"/>
          <w:sz w:val="20"/>
          <w:szCs w:val="20"/>
          <w:lang w:eastAsia="cs-CZ"/>
        </w:rPr>
        <w:t>Materiály pro filamenty pro ochranu proti ionizujícímu záření</w:t>
      </w:r>
      <w:r>
        <w:rPr>
          <w:rFonts w:ascii="Times New Roman" w:eastAsia="Times New Roman" w:hAnsi="Times New Roman" w:cs="Times New Roman"/>
          <w:sz w:val="20"/>
          <w:szCs w:val="20"/>
          <w:lang w:eastAsia="cs-CZ"/>
        </w:rPr>
        <w:t>.</w:t>
      </w:r>
    </w:p>
    <w:p w14:paraId="3CD226C2" w14:textId="4AB7F3FF" w:rsidR="00344A91" w:rsidRPr="00344A91" w:rsidRDefault="00344A91" w:rsidP="003D6B09">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5</w:t>
      </w:r>
      <w:r w:rsidRPr="00E9090D">
        <w:rPr>
          <w:rFonts w:ascii="Times New Roman" w:eastAsia="Times New Roman" w:hAnsi="Times New Roman" w:cs="Times New Roman"/>
          <w:sz w:val="20"/>
          <w:szCs w:val="20"/>
          <w:lang w:eastAsia="cs-CZ"/>
        </w:rPr>
        <w:t xml:space="preserve">: </w:t>
      </w:r>
      <w:r w:rsidR="003D6B09" w:rsidRPr="003D6B09">
        <w:rPr>
          <w:rFonts w:ascii="Times New Roman" w:eastAsia="Times New Roman" w:hAnsi="Times New Roman" w:cs="Times New Roman"/>
          <w:sz w:val="20"/>
          <w:szCs w:val="20"/>
          <w:lang w:eastAsia="cs-CZ"/>
        </w:rPr>
        <w:t>VŠCHT Praha má zkušenosti s přípravou polymerních směsí s aditivy zlepšujícími tepelnou a elektrickou vodivost. Zároveň disponuje zařízením pro hodnocení materiálových vlastností polymerů a má s těmito testy zkušenosti</w:t>
      </w:r>
      <w:r w:rsidR="00EC7F19">
        <w:rPr>
          <w:rFonts w:ascii="Times New Roman" w:eastAsia="Times New Roman" w:hAnsi="Times New Roman" w:cs="Times New Roman"/>
          <w:sz w:val="20"/>
          <w:szCs w:val="20"/>
          <w:lang w:eastAsia="cs-CZ"/>
        </w:rPr>
        <w:t>;</w:t>
      </w:r>
    </w:p>
    <w:p w14:paraId="27033B5E" w14:textId="77777777" w:rsidR="00EC7F19" w:rsidRPr="00E9090D" w:rsidRDefault="00EC7F19" w:rsidP="00EC7F19">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6</w:t>
      </w:r>
      <w:r w:rsidRPr="00E9090D">
        <w:rPr>
          <w:rFonts w:ascii="Times New Roman" w:eastAsia="Times New Roman" w:hAnsi="Times New Roman" w:cs="Times New Roman"/>
          <w:sz w:val="20"/>
          <w:szCs w:val="20"/>
          <w:lang w:eastAsia="cs-CZ"/>
        </w:rPr>
        <w:t xml:space="preserve">: </w:t>
      </w:r>
      <w:r w:rsidRPr="00567AF9">
        <w:rPr>
          <w:rFonts w:ascii="Times New Roman" w:eastAsia="Times New Roman" w:hAnsi="Times New Roman" w:cs="Times New Roman"/>
          <w:sz w:val="20"/>
          <w:szCs w:val="20"/>
          <w:lang w:eastAsia="cs-CZ"/>
        </w:rPr>
        <w:t>Pro účely překládaného projektu disponuje TU v Liberci kompletní technickou a personální infrastrukturou potřebnou pro vývoj a testování nově vyvinutých materiálu pro 3D tisk a to včetně potřebných teoretických znalostí v oblasti materiálového výzkumu pro účely použití v aditivní výrobě a znalostí v oblasti procesních požadavků aditivní výroby.</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BF26D82" w14:textId="56BA5B84" w:rsidR="00C64C52" w:rsidRPr="002F5EB6" w:rsidRDefault="00583417" w:rsidP="002F5EB6">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277B1B0F" w14:textId="28142CBD"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9052607" w14:textId="77777777" w:rsidR="002F5EB6" w:rsidRDefault="002F5EB6"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lastRenderedPageBreak/>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w:t>
      </w:r>
      <w:r w:rsidRPr="006B3592">
        <w:rPr>
          <w:rFonts w:ascii="Tms Rmn" w:eastAsia="Calibri" w:hAnsi="Tms Rmn" w:cs="Tms Rmn"/>
          <w:noProof/>
          <w:sz w:val="20"/>
          <w:lang w:eastAsia="en-US"/>
        </w:rPr>
        <w:lastRenderedPageBreak/>
        <w:t xml:space="preserve">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0C387C6C" w:rsidR="00E9090D" w:rsidRPr="002F5EB6" w:rsidRDefault="00E9090D" w:rsidP="002F5EB6">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3B03CC80" w14:textId="77777777" w:rsidR="002F5EB6" w:rsidRDefault="002F5EB6"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p>
    <w:p w14:paraId="685C07FC" w14:textId="47A25E2D"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734A0616" w14:textId="537531E3" w:rsid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5207BE8F" w14:textId="77777777" w:rsidR="002F5EB6" w:rsidRPr="00E9090D" w:rsidRDefault="002F5EB6"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35402998"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lastRenderedPageBreak/>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0B4B2DE9" w14:textId="6C69DB45" w:rsidR="00702F74" w:rsidRPr="002F5EB6" w:rsidRDefault="00E9090D" w:rsidP="00702F74">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68562283"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344A91">
        <w:rPr>
          <w:rFonts w:ascii="Times New Roman" w:eastAsia="Times New Roman" w:hAnsi="Times New Roman" w:cs="Times New Roman"/>
          <w:color w:val="000000"/>
          <w:sz w:val="20"/>
          <w:szCs w:val="20"/>
          <w:lang w:eastAsia="cs-CZ"/>
        </w:rPr>
        <w:t> </w:t>
      </w:r>
      <w:r w:rsidR="00344A91">
        <w:rPr>
          <w:rFonts w:ascii="Times New Roman" w:eastAsia="Times New Roman" w:hAnsi="Times New Roman" w:cs="Times New Roman"/>
          <w:sz w:val="20"/>
          <w:szCs w:val="20"/>
          <w:lang w:eastAsia="cs-CZ"/>
        </w:rPr>
        <w:t xml:space="preserve">sedmi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E92FAA4" w14:textId="5B4C006F" w:rsidR="00E9090D" w:rsidRPr="00C027AB" w:rsidRDefault="00F476FA" w:rsidP="00E9090D">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3FADBF9D" w14:textId="25D4EB99"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EC7F19">
              <w:rPr>
                <w:rFonts w:ascii="Times New Roman" w:eastAsia="Times New Roman" w:hAnsi="Times New Roman" w:cs="Times New Roman"/>
                <w:sz w:val="20"/>
                <w:szCs w:val="20"/>
                <w:lang w:eastAsia="cs-CZ"/>
              </w:rPr>
              <w:t xml:space="preserve"> a Účastníka Dílčího projektu 6</w:t>
            </w:r>
          </w:p>
          <w:p w14:paraId="079CB8CA"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07E4BD2" w14:textId="77777777" w:rsidR="00EC7F19" w:rsidRPr="00E9090D" w:rsidRDefault="00EC7F19" w:rsidP="00EC7F19">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7EC5B0F6" w14:textId="5D503CEC" w:rsidR="00E9090D" w:rsidRPr="00E9090D" w:rsidRDefault="00EC7F1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 </w:t>
            </w:r>
            <w:r w:rsidR="00034149">
              <w:rPr>
                <w:rFonts w:ascii="Times New Roman" w:eastAsia="Times New Roman" w:hAnsi="Times New Roman" w:cs="Times New Roman"/>
                <w:sz w:val="20"/>
                <w:szCs w:val="20"/>
                <w:lang w:eastAsia="cs-CZ"/>
              </w:rPr>
              <w:t>10. 7. 2023</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26E2CB1D"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777600">
              <w:rPr>
                <w:rFonts w:ascii="Times New Roman" w:eastAsia="Times New Roman" w:hAnsi="Times New Roman" w:cs="Times New Roman"/>
                <w:sz w:val="20"/>
                <w:szCs w:val="20"/>
                <w:lang w:eastAsia="cs-CZ"/>
              </w:rPr>
              <w:t>Dílčího projektu 1</w:t>
            </w:r>
          </w:p>
          <w:p w14:paraId="30771D4D"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B6B2F22" w14:textId="77777777" w:rsidR="00EC7F19" w:rsidRPr="00E9090D" w:rsidRDefault="00EC7F19" w:rsidP="00EC7F19">
            <w:pPr>
              <w:autoSpaceDE w:val="0"/>
              <w:autoSpaceDN w:val="0"/>
              <w:spacing w:after="6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Josef Průša</w:t>
            </w:r>
          </w:p>
          <w:p w14:paraId="2517A69C" w14:textId="420DF07A" w:rsidR="00E9090D" w:rsidRPr="00E9090D" w:rsidRDefault="00EC7F19" w:rsidP="00344A91">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 </w:t>
            </w:r>
            <w:r w:rsidR="00034149">
              <w:rPr>
                <w:rFonts w:ascii="Times New Roman" w:eastAsia="Times New Roman" w:hAnsi="Times New Roman" w:cs="Times New Roman"/>
                <w:sz w:val="20"/>
                <w:szCs w:val="20"/>
                <w:lang w:eastAsia="cs-CZ"/>
              </w:rPr>
              <w:t>21. 8. 2023</w:t>
            </w:r>
            <w:r w:rsidRPr="00E9090D">
              <w:rPr>
                <w:rFonts w:ascii="Times New Roman" w:eastAsia="Times New Roman" w:hAnsi="Times New Roman" w:cs="Times New Roman"/>
                <w:sz w:val="20"/>
                <w:szCs w:val="20"/>
                <w:lang w:eastAsia="cs-CZ"/>
              </w:rPr>
              <w:t>     </w:t>
            </w:r>
            <w:r w:rsidR="00E9090D" w:rsidRPr="00E9090D">
              <w:rPr>
                <w:rFonts w:ascii="Times New Roman" w:eastAsia="Times New Roman" w:hAnsi="Times New Roman" w:cs="Times New Roman"/>
                <w:sz w:val="20"/>
                <w:szCs w:val="20"/>
                <w:lang w:eastAsia="cs-CZ"/>
              </w:rPr>
              <w:t>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344A91" w:rsidRPr="00E9090D" w14:paraId="7E5E54B4" w14:textId="77777777" w:rsidTr="00456089">
        <w:trPr>
          <w:trHeight w:val="1640"/>
        </w:trPr>
        <w:tc>
          <w:tcPr>
            <w:tcW w:w="4846" w:type="dxa"/>
            <w:tcBorders>
              <w:top w:val="single" w:sz="18" w:space="0" w:color="000000"/>
              <w:left w:val="single" w:sz="18" w:space="0" w:color="000000"/>
              <w:bottom w:val="single" w:sz="18" w:space="0" w:color="000000"/>
            </w:tcBorders>
          </w:tcPr>
          <w:p w14:paraId="35205DA1" w14:textId="526C0954" w:rsidR="002F5EB6" w:rsidRPr="00E9090D" w:rsidRDefault="002F5EB6"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2</w:t>
            </w:r>
          </w:p>
          <w:p w14:paraId="6766D786"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6F6710B6"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2E2C358" w14:textId="3900EB18" w:rsidR="00085AC9" w:rsidRPr="00E9090D" w:rsidRDefault="00C027AB" w:rsidP="00085AC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085AC9" w:rsidRPr="00297197">
              <w:rPr>
                <w:rFonts w:ascii="Times New Roman" w:eastAsia="Times New Roman" w:hAnsi="Times New Roman" w:cs="Times New Roman"/>
                <w:sz w:val="20"/>
                <w:szCs w:val="20"/>
                <w:lang w:eastAsia="cs-CZ"/>
              </w:rPr>
              <w:t xml:space="preserve">Ing. Jiří </w:t>
            </w:r>
            <w:proofErr w:type="spellStart"/>
            <w:r w:rsidR="00085AC9" w:rsidRPr="00297197">
              <w:rPr>
                <w:rFonts w:ascii="Times New Roman" w:eastAsia="Times New Roman" w:hAnsi="Times New Roman" w:cs="Times New Roman"/>
                <w:sz w:val="20"/>
                <w:szCs w:val="20"/>
                <w:lang w:eastAsia="cs-CZ"/>
              </w:rPr>
              <w:t>Drbout</w:t>
            </w:r>
            <w:proofErr w:type="spellEnd"/>
            <w:r w:rsidR="00085AC9">
              <w:rPr>
                <w:rFonts w:ascii="Times New Roman" w:eastAsia="Times New Roman" w:hAnsi="Times New Roman" w:cs="Times New Roman"/>
                <w:sz w:val="20"/>
                <w:szCs w:val="20"/>
                <w:lang w:eastAsia="cs-CZ"/>
              </w:rPr>
              <w:t xml:space="preserve"> </w:t>
            </w:r>
          </w:p>
          <w:p w14:paraId="35ECCBCE" w14:textId="509A7696" w:rsidR="00344A91" w:rsidRDefault="00344A91"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5EB6">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034149">
              <w:rPr>
                <w:rFonts w:ascii="Times New Roman" w:eastAsia="Times New Roman" w:hAnsi="Times New Roman" w:cs="Times New Roman"/>
                <w:sz w:val="20"/>
                <w:szCs w:val="20"/>
                <w:lang w:eastAsia="cs-CZ"/>
              </w:rPr>
              <w:t xml:space="preserve"> 8. 8. 2023</w:t>
            </w:r>
            <w:r w:rsidRPr="00E9090D">
              <w:rPr>
                <w:rFonts w:ascii="Times New Roman" w:eastAsia="Times New Roman" w:hAnsi="Times New Roman" w:cs="Times New Roman"/>
                <w:sz w:val="20"/>
                <w:szCs w:val="20"/>
                <w:lang w:eastAsia="cs-CZ"/>
              </w:rPr>
              <w:t xml:space="preserve">      </w:t>
            </w:r>
          </w:p>
          <w:p w14:paraId="32D08ED5" w14:textId="2931C424" w:rsidR="00C027AB" w:rsidRPr="00E9090D" w:rsidRDefault="00C027AB" w:rsidP="00C027AB">
            <w:pPr>
              <w:autoSpaceDE w:val="0"/>
              <w:autoSpaceDN w:val="0"/>
              <w:spacing w:after="60" w:line="240" w:lineRule="auto"/>
              <w:jc w:val="center"/>
              <w:rPr>
                <w:rFonts w:ascii="Times New Roman" w:eastAsia="Times New Roman" w:hAnsi="Times New Roman" w:cs="Times New Roman"/>
                <w:sz w:val="20"/>
                <w:szCs w:val="20"/>
                <w:lang w:eastAsia="cs-CZ"/>
              </w:rPr>
            </w:pPr>
          </w:p>
          <w:p w14:paraId="06045647" w14:textId="77777777" w:rsidR="00C027AB" w:rsidRPr="00E9090D" w:rsidRDefault="00C027AB" w:rsidP="00C027A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6F6E8D8C" w14:textId="598AB830" w:rsidR="00C027AB" w:rsidRPr="00E9090D" w:rsidRDefault="00C027AB" w:rsidP="00C027AB">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 xml:space="preserve">Ing. Jan </w:t>
            </w:r>
            <w:proofErr w:type="spellStart"/>
            <w:r w:rsidRPr="00297197">
              <w:rPr>
                <w:rFonts w:ascii="Times New Roman" w:eastAsia="Times New Roman" w:hAnsi="Times New Roman" w:cs="Times New Roman"/>
                <w:sz w:val="20"/>
                <w:szCs w:val="20"/>
                <w:lang w:eastAsia="cs-CZ"/>
              </w:rPr>
              <w:t>Bečvařík</w:t>
            </w:r>
            <w:proofErr w:type="spellEnd"/>
            <w:r w:rsidRPr="00297197">
              <w:rPr>
                <w:rFonts w:ascii="Times New Roman" w:eastAsia="Times New Roman" w:hAnsi="Times New Roman" w:cs="Times New Roman"/>
                <w:sz w:val="20"/>
                <w:szCs w:val="20"/>
                <w:lang w:eastAsia="cs-CZ"/>
              </w:rPr>
              <w:t>, MBA</w:t>
            </w:r>
          </w:p>
          <w:p w14:paraId="6D64ECF3" w14:textId="4E06C5B3" w:rsidR="00C027AB" w:rsidRPr="00E9090D" w:rsidRDefault="00C027AB" w:rsidP="00C027A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 </w:t>
            </w:r>
            <w:r w:rsidR="00034149">
              <w:rPr>
                <w:rFonts w:ascii="Times New Roman" w:eastAsia="Times New Roman" w:hAnsi="Times New Roman" w:cs="Times New Roman"/>
                <w:sz w:val="20"/>
                <w:szCs w:val="20"/>
                <w:lang w:eastAsia="cs-CZ"/>
              </w:rPr>
              <w:t>9. 8. 2023</w:t>
            </w:r>
            <w:r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53E32667" w14:textId="511E2023"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2F5EB6">
              <w:rPr>
                <w:rFonts w:ascii="Times New Roman" w:eastAsia="Times New Roman" w:hAnsi="Times New Roman" w:cs="Times New Roman"/>
                <w:sz w:val="20"/>
                <w:szCs w:val="20"/>
                <w:lang w:eastAsia="cs-CZ"/>
              </w:rPr>
              <w:t>Dílčího projektu 3</w:t>
            </w:r>
          </w:p>
          <w:p w14:paraId="4C452EA2"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151AE84D"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44E9795" w14:textId="166689AE" w:rsidR="00344A91" w:rsidRPr="00E9090D" w:rsidRDefault="002F5EB6"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9B7418">
              <w:rPr>
                <w:rFonts w:ascii="Times New Roman" w:eastAsia="Times New Roman" w:hAnsi="Times New Roman" w:cs="Times New Roman"/>
                <w:bCs/>
                <w:sz w:val="20"/>
                <w:szCs w:val="20"/>
                <w:lang w:eastAsia="cs-CZ"/>
              </w:rPr>
              <w:t xml:space="preserve">doc. Ing. Pavel Mertlík, </w:t>
            </w:r>
            <w:proofErr w:type="spellStart"/>
            <w:r w:rsidRPr="009B7418">
              <w:rPr>
                <w:rFonts w:ascii="Times New Roman" w:eastAsia="Times New Roman" w:hAnsi="Times New Roman" w:cs="Times New Roman"/>
                <w:bCs/>
                <w:sz w:val="20"/>
                <w:szCs w:val="20"/>
                <w:lang w:eastAsia="cs-CZ"/>
              </w:rPr>
              <w:t>CSc</w:t>
            </w:r>
            <w:proofErr w:type="spellEnd"/>
          </w:p>
          <w:p w14:paraId="1619FF28" w14:textId="06874966" w:rsidR="00344A91" w:rsidRPr="00E9090D" w:rsidRDefault="00344A91" w:rsidP="002F5EB6">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5EB6">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034149">
              <w:rPr>
                <w:rFonts w:ascii="Times New Roman" w:eastAsia="Times New Roman" w:hAnsi="Times New Roman" w:cs="Times New Roman"/>
                <w:sz w:val="20"/>
                <w:szCs w:val="20"/>
                <w:lang w:eastAsia="cs-CZ"/>
              </w:rPr>
              <w:t xml:space="preserve"> 27. 7. 2023</w:t>
            </w:r>
            <w:r w:rsidRPr="00E9090D">
              <w:rPr>
                <w:rFonts w:ascii="Times New Roman" w:eastAsia="Times New Roman" w:hAnsi="Times New Roman" w:cs="Times New Roman"/>
                <w:sz w:val="20"/>
                <w:szCs w:val="20"/>
                <w:lang w:eastAsia="cs-CZ"/>
              </w:rPr>
              <w:t xml:space="preserve">      </w:t>
            </w:r>
          </w:p>
        </w:tc>
      </w:tr>
    </w:tbl>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344A91" w:rsidRPr="00E9090D" w14:paraId="2B34C29B" w14:textId="77777777" w:rsidTr="00456089">
        <w:trPr>
          <w:trHeight w:val="1640"/>
        </w:trPr>
        <w:tc>
          <w:tcPr>
            <w:tcW w:w="4846" w:type="dxa"/>
            <w:tcBorders>
              <w:top w:val="single" w:sz="18" w:space="0" w:color="000000"/>
              <w:left w:val="single" w:sz="18" w:space="0" w:color="000000"/>
              <w:bottom w:val="single" w:sz="18" w:space="0" w:color="000000"/>
            </w:tcBorders>
          </w:tcPr>
          <w:p w14:paraId="0D1B456F" w14:textId="7C4EF9A5" w:rsidR="002F5EB6" w:rsidRPr="00E9090D" w:rsidRDefault="002F5EB6"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4</w:t>
            </w:r>
          </w:p>
          <w:p w14:paraId="12F585C9"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701A2837"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1A3DC87" w14:textId="77777777" w:rsidR="006E290C" w:rsidRDefault="006E290C"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6E290C">
              <w:rPr>
                <w:rFonts w:ascii="Times New Roman" w:eastAsia="Times New Roman" w:hAnsi="Times New Roman" w:cs="Times New Roman"/>
                <w:bCs/>
                <w:sz w:val="20"/>
                <w:szCs w:val="20"/>
                <w:lang w:eastAsia="cs-CZ"/>
              </w:rPr>
              <w:t>doc. Ing. Ladislav Janíček, Ph.D., MBA, LL.M</w:t>
            </w:r>
            <w:r w:rsidRPr="00E9090D">
              <w:rPr>
                <w:rFonts w:ascii="Times New Roman" w:eastAsia="Times New Roman" w:hAnsi="Times New Roman" w:cs="Times New Roman"/>
                <w:sz w:val="20"/>
                <w:szCs w:val="20"/>
                <w:lang w:eastAsia="cs-CZ"/>
              </w:rPr>
              <w:t xml:space="preserve"> </w:t>
            </w:r>
          </w:p>
          <w:p w14:paraId="42CB6CEC" w14:textId="3FECBDEB" w:rsidR="00344A91" w:rsidRPr="00E9090D" w:rsidRDefault="00344A91"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2F5EB6">
              <w:rPr>
                <w:rFonts w:ascii="Times New Roman" w:eastAsia="Times New Roman" w:hAnsi="Times New Roman" w:cs="Times New Roman"/>
                <w:sz w:val="20"/>
                <w:szCs w:val="20"/>
                <w:lang w:eastAsia="cs-CZ"/>
              </w:rPr>
              <w:t>Brně</w:t>
            </w:r>
            <w:r w:rsidRPr="00E9090D">
              <w:rPr>
                <w:rFonts w:ascii="Times New Roman" w:eastAsia="Times New Roman" w:hAnsi="Times New Roman" w:cs="Times New Roman"/>
                <w:sz w:val="20"/>
                <w:szCs w:val="20"/>
                <w:lang w:eastAsia="cs-CZ"/>
              </w:rPr>
              <w:t xml:space="preserve"> dne</w:t>
            </w:r>
            <w:r w:rsidR="00034149">
              <w:rPr>
                <w:rFonts w:ascii="Times New Roman" w:eastAsia="Times New Roman" w:hAnsi="Times New Roman" w:cs="Times New Roman"/>
                <w:sz w:val="20"/>
                <w:szCs w:val="20"/>
                <w:lang w:eastAsia="cs-CZ"/>
              </w:rPr>
              <w:t xml:space="preserve"> 30. 6. 2023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14DB9EE1" w14:textId="65399127" w:rsidR="002F5EB6" w:rsidRPr="00E9090D" w:rsidRDefault="002F5EB6" w:rsidP="002F5EB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5</w:t>
            </w:r>
          </w:p>
          <w:p w14:paraId="56E30FFB"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p>
          <w:p w14:paraId="5FE8F1BD" w14:textId="77777777" w:rsidR="00344A91" w:rsidRPr="00E9090D" w:rsidRDefault="00344A91" w:rsidP="00456089">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68ECC89" w14:textId="0C48CDF6" w:rsidR="00344A91" w:rsidRPr="00E9090D" w:rsidRDefault="002F5EB6" w:rsidP="00456089">
            <w:pPr>
              <w:autoSpaceDE w:val="0"/>
              <w:autoSpaceDN w:val="0"/>
              <w:spacing w:after="0" w:line="240" w:lineRule="auto"/>
              <w:jc w:val="center"/>
              <w:rPr>
                <w:rFonts w:ascii="Times New Roman" w:eastAsia="Times New Roman" w:hAnsi="Times New Roman" w:cs="Times New Roman"/>
                <w:sz w:val="20"/>
                <w:szCs w:val="20"/>
                <w:lang w:eastAsia="cs-CZ"/>
              </w:rPr>
            </w:pPr>
            <w:r w:rsidRPr="00DA7548">
              <w:rPr>
                <w:rFonts w:ascii="Times New Roman" w:eastAsia="Times New Roman" w:hAnsi="Times New Roman" w:cs="Times New Roman"/>
                <w:bCs/>
                <w:sz w:val="20"/>
                <w:szCs w:val="20"/>
                <w:lang w:eastAsia="cs-CZ"/>
              </w:rPr>
              <w:t>prof. Dr. RNDr. Pavel Matějka</w:t>
            </w:r>
          </w:p>
          <w:p w14:paraId="2F495453" w14:textId="131F2C80" w:rsidR="00344A91" w:rsidRPr="00E9090D" w:rsidRDefault="00344A91" w:rsidP="002F5EB6">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2F5EB6">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034149">
              <w:rPr>
                <w:rFonts w:ascii="Times New Roman" w:eastAsia="Times New Roman" w:hAnsi="Times New Roman" w:cs="Times New Roman"/>
                <w:sz w:val="20"/>
                <w:szCs w:val="20"/>
                <w:lang w:eastAsia="cs-CZ"/>
              </w:rPr>
              <w:t xml:space="preserve"> 24. 7. 2023</w:t>
            </w:r>
            <w:r w:rsidRPr="00E9090D">
              <w:rPr>
                <w:rFonts w:ascii="Times New Roman" w:eastAsia="Times New Roman" w:hAnsi="Times New Roman" w:cs="Times New Roman"/>
                <w:sz w:val="20"/>
                <w:szCs w:val="20"/>
                <w:lang w:eastAsia="cs-CZ"/>
              </w:rPr>
              <w:t xml:space="preserve">      </w:t>
            </w:r>
          </w:p>
        </w:tc>
      </w:tr>
    </w:tbl>
    <w:p w14:paraId="0878FD5A" w14:textId="77777777" w:rsidR="00AD292A" w:rsidRDefault="00AD292A"/>
    <w:sectPr w:rsidR="00AD292A" w:rsidSect="00E85768">
      <w:headerReference w:type="default" r:id="rId13"/>
      <w:footerReference w:type="default" r:id="rId14"/>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79BF" w14:textId="77777777" w:rsidR="0029176F" w:rsidRDefault="0029176F" w:rsidP="00DA7F51">
      <w:pPr>
        <w:spacing w:after="0" w:line="240" w:lineRule="auto"/>
      </w:pPr>
      <w:r>
        <w:separator/>
      </w:r>
    </w:p>
  </w:endnote>
  <w:endnote w:type="continuationSeparator" w:id="0">
    <w:p w14:paraId="1E8CB0BA" w14:textId="77777777" w:rsidR="0029176F" w:rsidRDefault="0029176F"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0D4BA18C" w:rsidR="00DA7F51" w:rsidRDefault="00DA7F51">
        <w:pPr>
          <w:pStyle w:val="Zpat"/>
          <w:jc w:val="center"/>
        </w:pPr>
        <w:r>
          <w:fldChar w:fldCharType="begin"/>
        </w:r>
        <w:r>
          <w:instrText>PAGE   \* MERGEFORMAT</w:instrText>
        </w:r>
        <w:r>
          <w:fldChar w:fldCharType="separate"/>
        </w:r>
        <w:r w:rsidR="00034149" w:rsidRPr="00034149">
          <w:rPr>
            <w:noProof/>
            <w:lang w:val="cs-CZ"/>
          </w:rPr>
          <w:t>12</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A9581" w14:textId="77777777" w:rsidR="0029176F" w:rsidRDefault="0029176F" w:rsidP="00DA7F51">
      <w:pPr>
        <w:spacing w:after="0" w:line="240" w:lineRule="auto"/>
      </w:pPr>
      <w:r>
        <w:separator/>
      </w:r>
    </w:p>
  </w:footnote>
  <w:footnote w:type="continuationSeparator" w:id="0">
    <w:p w14:paraId="491372A0" w14:textId="77777777" w:rsidR="0029176F" w:rsidRDefault="0029176F"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24D2" w14:textId="267099A2" w:rsidR="00E85768" w:rsidRDefault="00E85768">
    <w:pPr>
      <w:pStyle w:val="Zhlav"/>
    </w:pPr>
    <w:r w:rsidRPr="00E85768">
      <w:rPr>
        <w:noProof/>
        <w:lang w:val="cs-CZ"/>
      </w:rPr>
      <w:drawing>
        <wp:anchor distT="0" distB="0" distL="114300" distR="114300" simplePos="0" relativeHeight="251659264" behindDoc="1" locked="0" layoutInCell="1" allowOverlap="1" wp14:anchorId="7B225238" wp14:editId="33375F54">
          <wp:simplePos x="0" y="0"/>
          <wp:positionH relativeFrom="margin">
            <wp:posOffset>4973320</wp:posOffset>
          </wp:positionH>
          <wp:positionV relativeFrom="paragraph">
            <wp:posOffset>-143510</wp:posOffset>
          </wp:positionV>
          <wp:extent cx="711200" cy="1095375"/>
          <wp:effectExtent l="0" t="0" r="0" b="9525"/>
          <wp:wrapTight wrapText="bothSides">
            <wp:wrapPolygon edited="0">
              <wp:start x="0" y="0"/>
              <wp:lineTo x="0" y="21412"/>
              <wp:lineTo x="20829" y="21412"/>
              <wp:lineTo x="20829" y="0"/>
              <wp:lineTo x="0" y="0"/>
            </wp:wrapPolygon>
          </wp:wrapTight>
          <wp:docPr id="37" name="Obrázek 37"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68">
      <w:rPr>
        <w:noProof/>
        <w:lang w:val="cs-CZ"/>
      </w:rPr>
      <w:drawing>
        <wp:anchor distT="0" distB="0" distL="114300" distR="114300" simplePos="0" relativeHeight="251660288" behindDoc="1" locked="0" layoutInCell="1" allowOverlap="1" wp14:anchorId="5312ED65" wp14:editId="12375199">
          <wp:simplePos x="0" y="0"/>
          <wp:positionH relativeFrom="margin">
            <wp:align>left</wp:align>
          </wp:positionH>
          <wp:positionV relativeFrom="paragraph">
            <wp:posOffset>8890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6D3CD7F4" w14:textId="39A36E83" w:rsidR="00E85768" w:rsidRDefault="00E857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34149"/>
    <w:rsid w:val="00053B8B"/>
    <w:rsid w:val="00065C4D"/>
    <w:rsid w:val="00072096"/>
    <w:rsid w:val="00084F6D"/>
    <w:rsid w:val="00085AC9"/>
    <w:rsid w:val="000E31BE"/>
    <w:rsid w:val="00110082"/>
    <w:rsid w:val="00120459"/>
    <w:rsid w:val="00123B85"/>
    <w:rsid w:val="001478D2"/>
    <w:rsid w:val="001501BD"/>
    <w:rsid w:val="001548EB"/>
    <w:rsid w:val="00173016"/>
    <w:rsid w:val="00173DA0"/>
    <w:rsid w:val="00175E1C"/>
    <w:rsid w:val="001819EB"/>
    <w:rsid w:val="001868BE"/>
    <w:rsid w:val="001874EE"/>
    <w:rsid w:val="001C7C5C"/>
    <w:rsid w:val="001D0E10"/>
    <w:rsid w:val="001F2C7E"/>
    <w:rsid w:val="00210754"/>
    <w:rsid w:val="00224031"/>
    <w:rsid w:val="00266769"/>
    <w:rsid w:val="0029176F"/>
    <w:rsid w:val="002A5CA9"/>
    <w:rsid w:val="002D46E1"/>
    <w:rsid w:val="002F5EB6"/>
    <w:rsid w:val="00344A91"/>
    <w:rsid w:val="00353415"/>
    <w:rsid w:val="003C4DEA"/>
    <w:rsid w:val="003D3A17"/>
    <w:rsid w:val="003D6B09"/>
    <w:rsid w:val="00423872"/>
    <w:rsid w:val="00433F41"/>
    <w:rsid w:val="00443023"/>
    <w:rsid w:val="004444F9"/>
    <w:rsid w:val="0047227D"/>
    <w:rsid w:val="004A0402"/>
    <w:rsid w:val="004A7DAB"/>
    <w:rsid w:val="004C3FA0"/>
    <w:rsid w:val="00551D15"/>
    <w:rsid w:val="00560284"/>
    <w:rsid w:val="00567AF9"/>
    <w:rsid w:val="00577F7F"/>
    <w:rsid w:val="00583417"/>
    <w:rsid w:val="00595E55"/>
    <w:rsid w:val="005A74C7"/>
    <w:rsid w:val="005C0C1A"/>
    <w:rsid w:val="005C2614"/>
    <w:rsid w:val="00615DFC"/>
    <w:rsid w:val="00645E34"/>
    <w:rsid w:val="0065665F"/>
    <w:rsid w:val="00664D82"/>
    <w:rsid w:val="00697B7A"/>
    <w:rsid w:val="006B3592"/>
    <w:rsid w:val="006C2E3B"/>
    <w:rsid w:val="006D694E"/>
    <w:rsid w:val="006E290C"/>
    <w:rsid w:val="00702F74"/>
    <w:rsid w:val="00775610"/>
    <w:rsid w:val="00777600"/>
    <w:rsid w:val="00790919"/>
    <w:rsid w:val="007A5FA5"/>
    <w:rsid w:val="007C23F3"/>
    <w:rsid w:val="00816CE1"/>
    <w:rsid w:val="0082573D"/>
    <w:rsid w:val="00861357"/>
    <w:rsid w:val="00876821"/>
    <w:rsid w:val="00882283"/>
    <w:rsid w:val="008B5B8D"/>
    <w:rsid w:val="008C2AF8"/>
    <w:rsid w:val="008C3C05"/>
    <w:rsid w:val="008F6128"/>
    <w:rsid w:val="00902A34"/>
    <w:rsid w:val="009444B9"/>
    <w:rsid w:val="00994FA3"/>
    <w:rsid w:val="009B7418"/>
    <w:rsid w:val="00A052FC"/>
    <w:rsid w:val="00A15753"/>
    <w:rsid w:val="00A4188D"/>
    <w:rsid w:val="00A60E92"/>
    <w:rsid w:val="00A646BB"/>
    <w:rsid w:val="00A82316"/>
    <w:rsid w:val="00AA4EA8"/>
    <w:rsid w:val="00AD2733"/>
    <w:rsid w:val="00AD292A"/>
    <w:rsid w:val="00AE1E7A"/>
    <w:rsid w:val="00B019FA"/>
    <w:rsid w:val="00B62E1F"/>
    <w:rsid w:val="00B71572"/>
    <w:rsid w:val="00B7350C"/>
    <w:rsid w:val="00B77E64"/>
    <w:rsid w:val="00B8204D"/>
    <w:rsid w:val="00B8248E"/>
    <w:rsid w:val="00BA2743"/>
    <w:rsid w:val="00BC2079"/>
    <w:rsid w:val="00BF3B46"/>
    <w:rsid w:val="00C027AB"/>
    <w:rsid w:val="00C06C15"/>
    <w:rsid w:val="00C364E1"/>
    <w:rsid w:val="00C64C52"/>
    <w:rsid w:val="00C84643"/>
    <w:rsid w:val="00CD0224"/>
    <w:rsid w:val="00CF5931"/>
    <w:rsid w:val="00D07305"/>
    <w:rsid w:val="00D4173D"/>
    <w:rsid w:val="00DA7548"/>
    <w:rsid w:val="00DA7F51"/>
    <w:rsid w:val="00DF29F6"/>
    <w:rsid w:val="00E17B97"/>
    <w:rsid w:val="00E328C7"/>
    <w:rsid w:val="00E4421B"/>
    <w:rsid w:val="00E51D49"/>
    <w:rsid w:val="00E71482"/>
    <w:rsid w:val="00E77393"/>
    <w:rsid w:val="00E85768"/>
    <w:rsid w:val="00E9090D"/>
    <w:rsid w:val="00EA24BD"/>
    <w:rsid w:val="00EC7F19"/>
    <w:rsid w:val="00F120BD"/>
    <w:rsid w:val="00F1378F"/>
    <w:rsid w:val="00F476FA"/>
    <w:rsid w:val="00F850ED"/>
    <w:rsid w:val="00FA2F1E"/>
    <w:rsid w:val="00FA7156"/>
    <w:rsid w:val="00FC3E8B"/>
    <w:rsid w:val="00FD070D"/>
    <w:rsid w:val="00FE6B3F"/>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0236">
      <w:bodyDiv w:val="1"/>
      <w:marLeft w:val="0"/>
      <w:marRight w:val="0"/>
      <w:marTop w:val="0"/>
      <w:marBottom w:val="0"/>
      <w:divBdr>
        <w:top w:val="none" w:sz="0" w:space="0" w:color="auto"/>
        <w:left w:val="none" w:sz="0" w:space="0" w:color="auto"/>
        <w:bottom w:val="none" w:sz="0" w:space="0" w:color="auto"/>
        <w:right w:val="none" w:sz="0" w:space="0" w:color="auto"/>
      </w:divBdr>
      <w:divsChild>
        <w:div w:id="1181319128">
          <w:marLeft w:val="0"/>
          <w:marRight w:val="0"/>
          <w:marTop w:val="0"/>
          <w:marBottom w:val="0"/>
          <w:divBdr>
            <w:top w:val="none" w:sz="0" w:space="0" w:color="auto"/>
            <w:left w:val="none" w:sz="0" w:space="0" w:color="auto"/>
            <w:bottom w:val="none" w:sz="0" w:space="0" w:color="auto"/>
            <w:right w:val="none" w:sz="0" w:space="0" w:color="auto"/>
          </w:divBdr>
        </w:div>
      </w:divsChild>
    </w:div>
    <w:div w:id="19634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59F2-DBEE-427A-9581-A1FA8A86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2F91D-D38C-4DC0-BEFE-30FF09AD5533}">
  <ds:schemaRefs>
    <ds:schemaRef ds:uri="http://schemas.microsoft.com/sharepoint/v3/contenttype/forms"/>
  </ds:schemaRefs>
</ds:datastoreItem>
</file>

<file path=customXml/itemProps3.xml><?xml version="1.0" encoding="utf-8"?>
<ds:datastoreItem xmlns:ds="http://schemas.openxmlformats.org/officeDocument/2006/customXml" ds:itemID="{D11092F5-BA8D-4FD9-B44A-8AD4098906E0}">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6e0fb9b0-b993-473a-b020-0e26f7bcde7a"/>
  </ds:schemaRefs>
</ds:datastoreItem>
</file>

<file path=customXml/itemProps4.xml><?xml version="1.0" encoding="utf-8"?>
<ds:datastoreItem xmlns:ds="http://schemas.openxmlformats.org/officeDocument/2006/customXml" ds:itemID="{6783AD4B-668E-4F0F-9E10-D86FDC3E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5334</Words>
  <Characters>31477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2023-09-08T07:38:00Z</cp:lastPrinted>
  <dcterms:created xsi:type="dcterms:W3CDTF">2023-09-08T07:42:00Z</dcterms:created>
  <dcterms:modified xsi:type="dcterms:W3CDTF">2023-09-08T07:42:00Z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