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F2F" w:rsidRDefault="00FE2F2F" w:rsidP="00FE2F2F">
      <w:pPr>
        <w:pStyle w:val="Zkladntext"/>
        <w:spacing w:line="276" w:lineRule="auto"/>
        <w:ind w:right="0"/>
        <w:jc w:val="center"/>
        <w:rPr>
          <w:rFonts w:ascii="Arial" w:hAnsi="Arial" w:cs="Arial"/>
          <w:b/>
          <w:bCs/>
          <w:sz w:val="28"/>
          <w:szCs w:val="28"/>
        </w:rPr>
      </w:pPr>
      <w:r w:rsidRPr="192EB7A1">
        <w:rPr>
          <w:rFonts w:ascii="Arial" w:hAnsi="Arial" w:cs="Arial"/>
          <w:b/>
          <w:bCs/>
          <w:sz w:val="28"/>
          <w:szCs w:val="28"/>
        </w:rPr>
        <w:t>Smlouva</w:t>
      </w:r>
    </w:p>
    <w:p w:rsidR="00FE2F2F" w:rsidRPr="001426D2" w:rsidRDefault="00FE2F2F" w:rsidP="009C11E3">
      <w:pPr>
        <w:tabs>
          <w:tab w:val="left" w:pos="8928"/>
        </w:tabs>
        <w:spacing w:beforeLines="50" w:after="120" w:line="276" w:lineRule="auto"/>
        <w:jc w:val="center"/>
        <w:rPr>
          <w:rFonts w:cs="Arial"/>
          <w:i/>
          <w:szCs w:val="20"/>
        </w:rPr>
      </w:pPr>
      <w:r w:rsidRPr="001426D2">
        <w:rPr>
          <w:rFonts w:cs="Arial"/>
          <w:b/>
        </w:rPr>
        <w:t>č. D/</w:t>
      </w:r>
      <w:r w:rsidRPr="001347DD">
        <w:rPr>
          <w:rFonts w:cs="Arial"/>
          <w:b/>
        </w:rPr>
        <w:t>4204</w:t>
      </w:r>
      <w:r w:rsidRPr="001426D2">
        <w:rPr>
          <w:rFonts w:cs="Arial"/>
          <w:b/>
        </w:rPr>
        <w:t>/</w:t>
      </w:r>
      <w:r>
        <w:rPr>
          <w:rFonts w:cs="Arial"/>
          <w:b/>
        </w:rPr>
        <w:t>0</w:t>
      </w:r>
      <w:r w:rsidRPr="004E13FB">
        <w:rPr>
          <w:rFonts w:cs="Arial"/>
          <w:b/>
          <w:noProof/>
        </w:rPr>
        <w:t>90</w:t>
      </w:r>
    </w:p>
    <w:p w:rsidR="00FE2F2F" w:rsidRPr="001426D2" w:rsidRDefault="00FE2F2F" w:rsidP="009C11E3">
      <w:pPr>
        <w:tabs>
          <w:tab w:val="left" w:pos="8928"/>
        </w:tabs>
        <w:spacing w:beforeLines="30" w:after="120" w:line="276" w:lineRule="auto"/>
        <w:jc w:val="center"/>
        <w:rPr>
          <w:rFonts w:cs="Arial"/>
          <w:sz w:val="24"/>
          <w:szCs w:val="24"/>
        </w:rPr>
      </w:pPr>
      <w:r>
        <w:rPr>
          <w:rFonts w:cs="Arial"/>
          <w:szCs w:val="20"/>
        </w:rPr>
        <w:t>o p</w:t>
      </w:r>
      <w:r w:rsidRPr="003B3338">
        <w:rPr>
          <w:rFonts w:cs="Arial"/>
          <w:szCs w:val="20"/>
        </w:rPr>
        <w:t>oskytování užívacích práv k programovým produktům společnosti Microsoft Corporation v rámci licenčního programu Microsoft Enrollment for</w:t>
      </w:r>
      <w:r>
        <w:rPr>
          <w:rFonts w:cs="Arial"/>
          <w:szCs w:val="20"/>
        </w:rPr>
        <w:t xml:space="preserve"> Education Solution – CASA EES </w:t>
      </w:r>
      <w:r w:rsidRPr="003B3338">
        <w:rPr>
          <w:rFonts w:cs="Arial"/>
          <w:szCs w:val="20"/>
        </w:rPr>
        <w:t>včetně p</w:t>
      </w:r>
      <w:r>
        <w:rPr>
          <w:rFonts w:cs="Arial"/>
          <w:szCs w:val="20"/>
        </w:rPr>
        <w:t>oskytování souvisejících služeb</w:t>
      </w:r>
    </w:p>
    <w:p w:rsidR="00FE2F2F" w:rsidRDefault="00FE2F2F" w:rsidP="00FE2F2F">
      <w:pPr>
        <w:pStyle w:val="Bezmezer"/>
        <w:spacing w:line="276" w:lineRule="auto"/>
        <w:jc w:val="center"/>
      </w:pPr>
      <w:r>
        <w:t>mezi:</w:t>
      </w:r>
    </w:p>
    <w:p w:rsidR="00FE2F2F" w:rsidRDefault="00FE2F2F" w:rsidP="00FE2F2F">
      <w:pPr>
        <w:pStyle w:val="Bezmezer"/>
        <w:spacing w:line="276" w:lineRule="auto"/>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6940"/>
      </w:tblGrid>
      <w:tr w:rsidR="00FE2F2F" w:rsidTr="00535EC9">
        <w:tc>
          <w:tcPr>
            <w:tcW w:w="2122" w:type="dxa"/>
          </w:tcPr>
          <w:p w:rsidR="00FE2F2F" w:rsidRDefault="00FE2F2F" w:rsidP="00535EC9">
            <w:pPr>
              <w:pStyle w:val="Bezmezer"/>
              <w:spacing w:line="276" w:lineRule="auto"/>
            </w:pPr>
            <w:r>
              <w:t>Objednatel:</w:t>
            </w:r>
          </w:p>
        </w:tc>
        <w:tc>
          <w:tcPr>
            <w:tcW w:w="6940" w:type="dxa"/>
          </w:tcPr>
          <w:p w:rsidR="00FE2F2F" w:rsidRPr="00F85FC2" w:rsidRDefault="00FE2F2F" w:rsidP="00535EC9">
            <w:pPr>
              <w:pStyle w:val="Bezmezer"/>
              <w:spacing w:line="276" w:lineRule="auto"/>
              <w:rPr>
                <w:b/>
                <w:i/>
                <w:color w:val="5B9BD5" w:themeColor="accent1"/>
                <w:sz w:val="16"/>
                <w:szCs w:val="16"/>
              </w:rPr>
            </w:pPr>
            <w:r w:rsidRPr="004E13FB">
              <w:rPr>
                <w:b/>
                <w:noProof/>
              </w:rPr>
              <w:t>Dětský domov Zašová</w:t>
            </w:r>
          </w:p>
          <w:p w:rsidR="00FE2F2F" w:rsidRPr="00BC0BE0" w:rsidRDefault="00FE2F2F" w:rsidP="00535EC9">
            <w:pPr>
              <w:pStyle w:val="Bezmezer"/>
              <w:spacing w:line="276" w:lineRule="auto"/>
            </w:pPr>
            <w:r w:rsidRPr="00BC0BE0">
              <w:t>sídlo:</w:t>
            </w:r>
            <w:r>
              <w:t xml:space="preserve"> </w:t>
            </w:r>
            <w:r>
              <w:rPr>
                <w:noProof/>
              </w:rPr>
              <w:t>Zašová č. p. 172</w:t>
            </w:r>
            <w:r>
              <w:t xml:space="preserve">, </w:t>
            </w:r>
            <w:r>
              <w:rPr>
                <w:noProof/>
              </w:rPr>
              <w:t>756 51</w:t>
            </w:r>
            <w:r>
              <w:t xml:space="preserve">, </w:t>
            </w:r>
            <w:r>
              <w:rPr>
                <w:noProof/>
              </w:rPr>
              <w:t>Zašová</w:t>
            </w:r>
          </w:p>
          <w:p w:rsidR="00FE2F2F" w:rsidRDefault="00FE2F2F" w:rsidP="00535EC9">
            <w:pPr>
              <w:pStyle w:val="Bezmezer"/>
              <w:spacing w:line="276" w:lineRule="auto"/>
            </w:pPr>
            <w:r w:rsidRPr="00BC0BE0">
              <w:t>IČO:</w:t>
            </w:r>
            <w:r>
              <w:t xml:space="preserve"> </w:t>
            </w:r>
            <w:r>
              <w:rPr>
                <w:noProof/>
              </w:rPr>
              <w:t>60990597</w:t>
            </w:r>
          </w:p>
          <w:p w:rsidR="00FE2F2F" w:rsidRDefault="00FE2F2F" w:rsidP="00535EC9">
            <w:pPr>
              <w:pStyle w:val="Bezmezer"/>
              <w:spacing w:line="276" w:lineRule="auto"/>
              <w:rPr>
                <w:i/>
                <w:color w:val="5B9BD5" w:themeColor="accent1"/>
                <w:sz w:val="16"/>
                <w:szCs w:val="16"/>
              </w:rPr>
            </w:pPr>
            <w:r>
              <w:t xml:space="preserve">DIČ: </w:t>
            </w:r>
            <w:r>
              <w:rPr>
                <w:noProof/>
              </w:rPr>
              <w:t>neplátce DPH</w:t>
            </w:r>
          </w:p>
          <w:p w:rsidR="00FE2F2F" w:rsidRPr="00E82920" w:rsidRDefault="00FE2F2F" w:rsidP="00535EC9">
            <w:pPr>
              <w:pStyle w:val="Bezmezer"/>
              <w:spacing w:line="276" w:lineRule="auto"/>
            </w:pPr>
            <w:r>
              <w:t>zastupuje: </w:t>
            </w:r>
            <w:r>
              <w:rPr>
                <w:noProof/>
              </w:rPr>
              <w:t>Krhut Lubomír Mgr., ředitel</w:t>
            </w:r>
          </w:p>
          <w:p w:rsidR="00FE2F2F" w:rsidRPr="00BC0BE0" w:rsidRDefault="00FE2F2F" w:rsidP="00535EC9">
            <w:pPr>
              <w:pStyle w:val="Bezmezer"/>
              <w:spacing w:line="276" w:lineRule="auto"/>
            </w:pPr>
            <w:r>
              <w:t>bankovní spojení: </w:t>
            </w:r>
            <w:r>
              <w:rPr>
                <w:noProof/>
              </w:rPr>
              <w:t>2432851/0100</w:t>
            </w:r>
            <w:r>
              <w:t xml:space="preserve">, </w:t>
            </w:r>
            <w:r>
              <w:rPr>
                <w:noProof/>
              </w:rPr>
              <w:t>Komerční banka, a.s.</w:t>
            </w:r>
          </w:p>
          <w:p w:rsidR="00FE2F2F" w:rsidRDefault="00FE2F2F" w:rsidP="00535EC9">
            <w:pPr>
              <w:pStyle w:val="Bezmezer"/>
              <w:spacing w:line="276" w:lineRule="auto"/>
            </w:pPr>
            <w:r w:rsidRPr="00BC0BE0">
              <w:t xml:space="preserve"> (dále</w:t>
            </w:r>
            <w:r>
              <w:t xml:space="preserve"> i</w:t>
            </w:r>
            <w:r w:rsidRPr="00BC0BE0">
              <w:t xml:space="preserve"> jen „</w:t>
            </w:r>
            <w:r w:rsidRPr="00ED579C">
              <w:rPr>
                <w:b/>
              </w:rPr>
              <w:t>objednatel</w:t>
            </w:r>
            <w:r w:rsidRPr="00BC0BE0">
              <w:t>“)</w:t>
            </w:r>
          </w:p>
        </w:tc>
      </w:tr>
      <w:tr w:rsidR="00FE2F2F" w:rsidTr="00535EC9">
        <w:tc>
          <w:tcPr>
            <w:tcW w:w="2122" w:type="dxa"/>
          </w:tcPr>
          <w:p w:rsidR="00FE2F2F" w:rsidRDefault="00FE2F2F" w:rsidP="00535EC9">
            <w:pPr>
              <w:pStyle w:val="Bezmezer"/>
              <w:spacing w:line="276" w:lineRule="auto"/>
            </w:pPr>
            <w:r>
              <w:t>a</w:t>
            </w:r>
          </w:p>
        </w:tc>
        <w:tc>
          <w:tcPr>
            <w:tcW w:w="6940" w:type="dxa"/>
          </w:tcPr>
          <w:p w:rsidR="00FE2F2F" w:rsidRDefault="00FE2F2F" w:rsidP="00535EC9">
            <w:pPr>
              <w:pStyle w:val="Bezmezer"/>
              <w:spacing w:line="276" w:lineRule="auto"/>
            </w:pPr>
          </w:p>
        </w:tc>
      </w:tr>
      <w:tr w:rsidR="00FE2F2F" w:rsidTr="00535EC9">
        <w:trPr>
          <w:trHeight w:val="2520"/>
        </w:trPr>
        <w:tc>
          <w:tcPr>
            <w:tcW w:w="2122"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rsidR="00FE2F2F" w:rsidRDefault="00FE2F2F" w:rsidP="00535EC9">
            <w:pPr>
              <w:pStyle w:val="Bezmezer"/>
              <w:spacing w:line="276" w:lineRule="auto"/>
            </w:pPr>
            <w:r>
              <w:t>Dodavatel</w:t>
            </w:r>
          </w:p>
        </w:tc>
        <w:tc>
          <w:tcPr>
            <w:tcW w:w="6940"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rsidR="00FE2F2F" w:rsidRPr="00362444" w:rsidRDefault="00FE2F2F" w:rsidP="00535EC9">
            <w:pPr>
              <w:pStyle w:val="Bezmezer"/>
              <w:spacing w:line="276" w:lineRule="auto"/>
              <w:rPr>
                <w:b/>
                <w:bCs/>
              </w:rPr>
            </w:pPr>
            <w:r w:rsidRPr="00362444">
              <w:rPr>
                <w:b/>
                <w:bCs/>
              </w:rPr>
              <w:t>AUTOCONT a.s.</w:t>
            </w:r>
          </w:p>
          <w:p w:rsidR="00FE2F2F" w:rsidRPr="00BC0BE0" w:rsidRDefault="00FE2F2F" w:rsidP="00535EC9">
            <w:pPr>
              <w:pStyle w:val="Bezmezer"/>
              <w:spacing w:line="276" w:lineRule="auto"/>
            </w:pPr>
            <w:r w:rsidRPr="00BC0BE0">
              <w:t>sídlo:</w:t>
            </w:r>
            <w:r>
              <w:t xml:space="preserve"> </w:t>
            </w:r>
            <w:r>
              <w:rPr>
                <w:rFonts w:cs="Arial"/>
                <w:color w:val="000000"/>
              </w:rPr>
              <w:t xml:space="preserve">Hornopolní 3322/34, </w:t>
            </w:r>
            <w:r w:rsidRPr="002C68AA">
              <w:rPr>
                <w:rFonts w:cs="Arial"/>
                <w:color w:val="000000"/>
              </w:rPr>
              <w:t xml:space="preserve">702 00 </w:t>
            </w:r>
            <w:r>
              <w:rPr>
                <w:rFonts w:cs="Arial"/>
                <w:color w:val="000000"/>
              </w:rPr>
              <w:t>Ostrava – Moravská Ostrava</w:t>
            </w:r>
          </w:p>
          <w:p w:rsidR="00FE2F2F" w:rsidRDefault="00FE2F2F" w:rsidP="00535EC9">
            <w:pPr>
              <w:pStyle w:val="Bezmezer"/>
              <w:spacing w:line="276" w:lineRule="auto"/>
              <w:rPr>
                <w:i/>
                <w:color w:val="5B9BD5" w:themeColor="accent1"/>
                <w:sz w:val="16"/>
                <w:szCs w:val="16"/>
              </w:rPr>
            </w:pPr>
            <w:r w:rsidRPr="00BC0BE0">
              <w:t>IČO:</w:t>
            </w:r>
            <w:r>
              <w:t> </w:t>
            </w:r>
            <w:r w:rsidRPr="00BF4297">
              <w:t>04308697</w:t>
            </w:r>
          </w:p>
          <w:p w:rsidR="00FE2F2F" w:rsidRDefault="00FE2F2F" w:rsidP="00535EC9">
            <w:pPr>
              <w:pStyle w:val="Bezmezer"/>
              <w:spacing w:line="276" w:lineRule="auto"/>
            </w:pPr>
            <w:r>
              <w:t>DIČ: CZ04308697</w:t>
            </w:r>
          </w:p>
          <w:p w:rsidR="00FE2F2F" w:rsidRPr="00E82920" w:rsidRDefault="00FE2F2F" w:rsidP="00535EC9">
            <w:pPr>
              <w:pStyle w:val="Bezmezer"/>
              <w:spacing w:line="276" w:lineRule="auto"/>
            </w:pPr>
            <w:r>
              <w:t>zastupuje: Tomáš Jančík, ředitel regionálního centra na základě plné moci</w:t>
            </w:r>
          </w:p>
          <w:p w:rsidR="00FE2F2F" w:rsidRPr="00BC0BE0" w:rsidRDefault="00FE2F2F" w:rsidP="00535EC9">
            <w:pPr>
              <w:pStyle w:val="Bezmezer"/>
              <w:spacing w:line="276" w:lineRule="auto"/>
            </w:pPr>
            <w:r>
              <w:t>bankovní spojení: Česká spořitelna, a.s.</w:t>
            </w:r>
            <w:r>
              <w:rPr>
                <w:bCs/>
                <w:i/>
                <w:iCs/>
                <w:color w:val="FF0000"/>
                <w:sz w:val="22"/>
              </w:rPr>
              <w:t xml:space="preserve"> </w:t>
            </w:r>
            <w:r>
              <w:t>6563752/0800</w:t>
            </w:r>
          </w:p>
          <w:p w:rsidR="00FE2F2F" w:rsidRDefault="00FE2F2F" w:rsidP="00535EC9">
            <w:pPr>
              <w:pStyle w:val="Bezmezer"/>
              <w:spacing w:line="276" w:lineRule="auto"/>
              <w:rPr>
                <w:i/>
                <w:color w:val="5B9BD5" w:themeColor="accent1"/>
                <w:sz w:val="16"/>
                <w:szCs w:val="16"/>
              </w:rPr>
            </w:pPr>
            <w:r w:rsidRPr="00BC0BE0">
              <w:t>zapsaný u KS v</w:t>
            </w:r>
            <w:r>
              <w:t> Ostravě, oddíl B, vložka 11012</w:t>
            </w:r>
          </w:p>
          <w:p w:rsidR="00FE2F2F" w:rsidRDefault="00FE2F2F" w:rsidP="00535EC9">
            <w:pPr>
              <w:pStyle w:val="Bezmezer"/>
              <w:spacing w:line="276" w:lineRule="auto"/>
            </w:pPr>
            <w:r w:rsidRPr="00BC0BE0">
              <w:t>(dále</w:t>
            </w:r>
            <w:r>
              <w:t xml:space="preserve"> i</w:t>
            </w:r>
            <w:r w:rsidRPr="00BC0BE0">
              <w:t xml:space="preserve"> jen „</w:t>
            </w:r>
            <w:r>
              <w:rPr>
                <w:b/>
              </w:rPr>
              <w:t>dodavatel</w:t>
            </w:r>
            <w:r w:rsidRPr="00BC0BE0">
              <w:t>“)</w:t>
            </w:r>
          </w:p>
        </w:tc>
      </w:tr>
    </w:tbl>
    <w:p w:rsidR="00FE2F2F" w:rsidRDefault="00FE2F2F" w:rsidP="00FE2F2F">
      <w:pPr>
        <w:pStyle w:val="Nadpis1"/>
      </w:pPr>
      <w:r>
        <w:t>Preambule</w:t>
      </w:r>
    </w:p>
    <w:p w:rsidR="00FE2F2F" w:rsidRDefault="00FE2F2F" w:rsidP="00FE2F2F">
      <w:pPr>
        <w:pStyle w:val="2rove"/>
        <w:numPr>
          <w:ilvl w:val="1"/>
          <w:numId w:val="0"/>
        </w:numPr>
      </w:pPr>
      <w:r>
        <w:t>Smluvní strany uzavírají tuto smlouvu za účelem stanovení podmínek pro poskytování užívacích práv (dále jen "</w:t>
      </w:r>
      <w:r w:rsidRPr="38F06E24">
        <w:rPr>
          <w:b/>
          <w:bCs/>
        </w:rPr>
        <w:t>licencí</w:t>
      </w:r>
      <w:r>
        <w:t xml:space="preserve">") k programovým produktům společnosti Microsoft Corporation pro objednatele v rámci licenčního programu Microsoft Enrollment for Education Solution – CASA EES včetně souvisejících služeb. Smlouva je uzavírána v rámci centralizovaného zadávacího řízení, evidenční číslo ve Věstníku veřejných zakázek </w:t>
      </w:r>
      <w:r>
        <w:rPr>
          <w:rFonts w:cs="Arial"/>
          <w:szCs w:val="20"/>
        </w:rPr>
        <w:t>Z2023-016617</w:t>
      </w:r>
      <w:r>
        <w:t>.</w:t>
      </w:r>
    </w:p>
    <w:p w:rsidR="00FE2F2F" w:rsidRDefault="00FE2F2F" w:rsidP="00FE2F2F">
      <w:pPr>
        <w:pStyle w:val="Nadpis1"/>
      </w:pPr>
      <w:r>
        <w:t>Předmět smlouvy</w:t>
      </w:r>
    </w:p>
    <w:p w:rsidR="00FE2F2F" w:rsidRDefault="00FE2F2F" w:rsidP="00FE2F2F">
      <w:pPr>
        <w:pStyle w:val="2rove"/>
      </w:pPr>
      <w:r>
        <w:t>Předmětem smlouvy je závazek dodavatele zajistit objednateli dodávky licencí softwarových produktů v rámci licenčního programu Microsoft Enrollment for Education Solutions – CASA EES (dále jen „</w:t>
      </w:r>
      <w:r w:rsidRPr="6718DBC0">
        <w:rPr>
          <w:b/>
          <w:bCs/>
        </w:rPr>
        <w:t>EES</w:t>
      </w:r>
      <w:r>
        <w:t xml:space="preserve">“) včetně dalších služeb, a to po celou dobu trvání této smlouvy bezodkladně po nabytí účinnosti smlouvy, nejdříve však od 1. 8. 2023.  </w:t>
      </w:r>
    </w:p>
    <w:p w:rsidR="00FE2F2F" w:rsidRDefault="00FE2F2F" w:rsidP="00FE2F2F">
      <w:pPr>
        <w:pStyle w:val="2rove"/>
      </w:pPr>
      <w:r>
        <w:t>Dodavatel poskytuje licenci Microsoft 365 EDU A3, která zahrnuje minimálně:</w:t>
      </w:r>
    </w:p>
    <w:p w:rsidR="00FE2F2F" w:rsidRDefault="00FE2F2F" w:rsidP="00FE2F2F">
      <w:pPr>
        <w:pStyle w:val="3rove-trval"/>
      </w:pPr>
      <w:r>
        <w:t>Windows  A3</w:t>
      </w:r>
    </w:p>
    <w:p w:rsidR="00FE2F2F" w:rsidRDefault="00FE2F2F" w:rsidP="00FE2F2F">
      <w:pPr>
        <w:pStyle w:val="3rove-trval"/>
      </w:pPr>
      <w:r>
        <w:t>Office 365 A3</w:t>
      </w:r>
    </w:p>
    <w:p w:rsidR="00FE2F2F" w:rsidRDefault="00FE2F2F" w:rsidP="00FE2F2F">
      <w:pPr>
        <w:pStyle w:val="3rove-trval"/>
      </w:pPr>
      <w:r>
        <w:t>Enterprise Mobility + Security A3 (EMS A3)</w:t>
      </w:r>
    </w:p>
    <w:p w:rsidR="00FE2F2F" w:rsidRDefault="00FE2F2F" w:rsidP="00FE2F2F">
      <w:pPr>
        <w:pStyle w:val="3rove-trval"/>
      </w:pPr>
      <w:r>
        <w:t>Minecraft Education Edition</w:t>
      </w:r>
    </w:p>
    <w:p w:rsidR="00FE2F2F" w:rsidRDefault="00FE2F2F" w:rsidP="00FE2F2F">
      <w:pPr>
        <w:pStyle w:val="3rove-trval"/>
      </w:pPr>
      <w:r>
        <w:t>Benefity EES</w:t>
      </w:r>
    </w:p>
    <w:tbl>
      <w:tblPr>
        <w:tblW w:w="0" w:type="auto"/>
        <w:tblLayout w:type="fixed"/>
        <w:tblLook w:val="04A0"/>
      </w:tblPr>
      <w:tblGrid>
        <w:gridCol w:w="1886"/>
        <w:gridCol w:w="7174"/>
      </w:tblGrid>
      <w:tr w:rsidR="00FE2F2F" w:rsidTr="00535EC9">
        <w:trPr>
          <w:trHeight w:val="330"/>
        </w:trPr>
        <w:tc>
          <w:tcPr>
            <w:tcW w:w="1886" w:type="dxa"/>
            <w:tcBorders>
              <w:top w:val="single" w:sz="6" w:space="0" w:color="auto"/>
              <w:left w:val="single" w:sz="6" w:space="0" w:color="auto"/>
              <w:bottom w:val="single" w:sz="6" w:space="0" w:color="auto"/>
              <w:right w:val="single" w:sz="6" w:space="0" w:color="auto"/>
            </w:tcBorders>
            <w:shd w:val="clear" w:color="auto" w:fill="E7E6E6" w:themeFill="background2"/>
            <w:tcMar>
              <w:left w:w="60" w:type="dxa"/>
              <w:right w:w="60" w:type="dxa"/>
            </w:tcMar>
            <w:vAlign w:val="center"/>
          </w:tcPr>
          <w:p w:rsidR="00FE2F2F" w:rsidRDefault="00FE2F2F" w:rsidP="00535EC9">
            <w:pPr>
              <w:spacing w:after="0" w:line="240" w:lineRule="auto"/>
              <w:ind w:left="366" w:hanging="366"/>
              <w:rPr>
                <w:rFonts w:eastAsia="Arial" w:cs="Arial"/>
                <w:b/>
                <w:bCs/>
                <w:color w:val="000000" w:themeColor="text1"/>
              </w:rPr>
            </w:pPr>
            <w:r w:rsidRPr="79444975">
              <w:rPr>
                <w:rFonts w:eastAsia="Arial" w:cs="Arial"/>
                <w:b/>
                <w:bCs/>
                <w:color w:val="000000" w:themeColor="text1"/>
                <w:shd w:val="clear" w:color="auto" w:fill="E6E6E6"/>
              </w:rPr>
              <w:t>Produkt</w:t>
            </w:r>
          </w:p>
        </w:tc>
        <w:tc>
          <w:tcPr>
            <w:tcW w:w="7174" w:type="dxa"/>
            <w:tcBorders>
              <w:top w:val="single" w:sz="6" w:space="0" w:color="auto"/>
              <w:left w:val="single" w:sz="6" w:space="0" w:color="auto"/>
              <w:bottom w:val="single" w:sz="6" w:space="0" w:color="auto"/>
              <w:right w:val="single" w:sz="6" w:space="0" w:color="auto"/>
            </w:tcBorders>
            <w:shd w:val="clear" w:color="auto" w:fill="E7E6E6" w:themeFill="background2"/>
            <w:tcMar>
              <w:left w:w="60" w:type="dxa"/>
              <w:right w:w="60" w:type="dxa"/>
            </w:tcMar>
            <w:vAlign w:val="center"/>
          </w:tcPr>
          <w:p w:rsidR="00FE2F2F" w:rsidRDefault="00FE2F2F" w:rsidP="00535EC9">
            <w:pPr>
              <w:spacing w:after="0" w:line="240" w:lineRule="auto"/>
              <w:ind w:left="366" w:hanging="366"/>
              <w:rPr>
                <w:rFonts w:eastAsia="Arial" w:cs="Arial"/>
                <w:b/>
                <w:bCs/>
                <w:color w:val="000000" w:themeColor="text1"/>
              </w:rPr>
            </w:pPr>
            <w:r w:rsidRPr="6718DBC0">
              <w:rPr>
                <w:rFonts w:eastAsia="Arial" w:cs="Arial"/>
                <w:b/>
                <w:bCs/>
                <w:color w:val="000000" w:themeColor="text1"/>
                <w:shd w:val="clear" w:color="auto" w:fill="E6E6E6"/>
              </w:rPr>
              <w:t>Popis produktu</w:t>
            </w:r>
          </w:p>
        </w:tc>
      </w:tr>
      <w:tr w:rsidR="00FE2F2F" w:rsidTr="00535EC9">
        <w:trPr>
          <w:trHeight w:val="420"/>
        </w:trPr>
        <w:tc>
          <w:tcPr>
            <w:tcW w:w="1886"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00FE2F2F" w:rsidRPr="003F659B" w:rsidRDefault="00FE2F2F" w:rsidP="00535EC9">
            <w:r w:rsidRPr="003F659B">
              <w:t>AAD-38391</w:t>
            </w:r>
          </w:p>
        </w:tc>
        <w:tc>
          <w:tcPr>
            <w:tcW w:w="717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00FE2F2F" w:rsidRPr="003F659B" w:rsidRDefault="00FE2F2F" w:rsidP="00535EC9">
            <w:r w:rsidRPr="003F659B">
              <w:t>M365 EDU A3 Unified ShrdSvr ALNG SubsVL MVL PerUsr</w:t>
            </w:r>
          </w:p>
        </w:tc>
      </w:tr>
      <w:tr w:rsidR="00FE2F2F" w:rsidTr="00535EC9">
        <w:trPr>
          <w:trHeight w:val="465"/>
        </w:trPr>
        <w:tc>
          <w:tcPr>
            <w:tcW w:w="1886"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00FE2F2F" w:rsidRPr="003F659B" w:rsidRDefault="00FE2F2F" w:rsidP="00535EC9">
            <w:r w:rsidRPr="003F659B">
              <w:t>AAD-38397</w:t>
            </w:r>
          </w:p>
        </w:tc>
        <w:tc>
          <w:tcPr>
            <w:tcW w:w="717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00FE2F2F" w:rsidRPr="003F659B" w:rsidRDefault="00FE2F2F" w:rsidP="00535EC9">
            <w:r w:rsidRPr="003F659B">
              <w:t>M365 EDU A3 Unified ShrdSvr ALNG SubsVL MVL PerUsr STUUseBnft</w:t>
            </w:r>
          </w:p>
        </w:tc>
      </w:tr>
    </w:tbl>
    <w:p w:rsidR="00FE2F2F" w:rsidRDefault="00FE2F2F" w:rsidP="00FE2F2F">
      <w:pPr>
        <w:pStyle w:val="3rove-trval"/>
        <w:numPr>
          <w:ilvl w:val="3"/>
          <w:numId w:val="0"/>
        </w:numPr>
      </w:pPr>
    </w:p>
    <w:p w:rsidR="00FE2F2F" w:rsidRDefault="00FE2F2F" w:rsidP="00FE2F2F">
      <w:pPr>
        <w:pStyle w:val="2rove"/>
      </w:pPr>
      <w:r>
        <w:t>Licence softwarových produktů dle článku 2.1 a 2.2 této smlouvy jsou dále ve smlouvě označovány souhrnně jako “</w:t>
      </w:r>
      <w:r w:rsidRPr="006A3E6F">
        <w:t>licence</w:t>
      </w:r>
      <w:r>
        <w:t>” a.</w:t>
      </w:r>
    </w:p>
    <w:p w:rsidR="00FE2F2F" w:rsidRDefault="00FE2F2F" w:rsidP="00FE2F2F">
      <w:pPr>
        <w:pStyle w:val="2rove"/>
      </w:pPr>
      <w:r>
        <w:t>Dalšími službami, které dodavatel objednateli poskytuje, se rozumí zejména:</w:t>
      </w:r>
    </w:p>
    <w:p w:rsidR="00FE2F2F" w:rsidRDefault="00FE2F2F" w:rsidP="00FE2F2F">
      <w:pPr>
        <w:pStyle w:val="3rove-trval"/>
      </w:pPr>
      <w:r>
        <w:t>administrace této smlouvy;</w:t>
      </w:r>
    </w:p>
    <w:p w:rsidR="00FE2F2F" w:rsidRDefault="00FE2F2F" w:rsidP="00FE2F2F">
      <w:pPr>
        <w:pStyle w:val="3rove-trval"/>
      </w:pPr>
      <w:r>
        <w:t>správa licenčních stránek (aktivace, správa, či údržba licenčních stránek objednatele u výrobce, aktivace a správa anuitních benefitů);</w:t>
      </w:r>
    </w:p>
    <w:p w:rsidR="00FE2F2F" w:rsidRDefault="00FE2F2F" w:rsidP="00FE2F2F">
      <w:pPr>
        <w:pStyle w:val="3rove-trval"/>
      </w:pPr>
      <w:r>
        <w:t>poskytování konzultací v oblasti technické podpory;</w:t>
      </w:r>
    </w:p>
    <w:p w:rsidR="00FE2F2F" w:rsidRDefault="00FE2F2F" w:rsidP="00FE2F2F">
      <w:pPr>
        <w:pStyle w:val="3rove-trval"/>
      </w:pPr>
      <w:r>
        <w:t>poskytování konzultací v oblasti licenční podpory;</w:t>
      </w:r>
    </w:p>
    <w:p w:rsidR="00FE2F2F" w:rsidRDefault="00FE2F2F" w:rsidP="00FE2F2F">
      <w:pPr>
        <w:pStyle w:val="3rove-trval"/>
      </w:pPr>
      <w:r>
        <w:t>poskytování poradenství v oblasti nejvhodnějšího modelu licencování;</w:t>
      </w:r>
    </w:p>
    <w:p w:rsidR="00FE2F2F" w:rsidRDefault="00FE2F2F" w:rsidP="00FE2F2F">
      <w:pPr>
        <w:pStyle w:val="3rove-trval"/>
      </w:pPr>
      <w:r>
        <w:t>poskytování služby Helpdesk.</w:t>
      </w:r>
    </w:p>
    <w:p w:rsidR="00FE2F2F" w:rsidRDefault="00FE2F2F" w:rsidP="00FE2F2F">
      <w:pPr>
        <w:pStyle w:val="Nadpis1"/>
      </w:pPr>
      <w:r>
        <w:t>Závazky dodavatele</w:t>
      </w:r>
    </w:p>
    <w:p w:rsidR="00FE2F2F" w:rsidRDefault="00FE2F2F" w:rsidP="00FE2F2F">
      <w:pPr>
        <w:pStyle w:val="2rove"/>
      </w:pPr>
      <w:r>
        <w:t>Dodavatel se zavazuje zajistit pro objednatele licence po celou dobu trvání této smlouvy na základě výročních objednávek, které se budou řídit ustanoveními této smlouvy. Objednávka licencí pro první rok trvání této smlouvy je zahrnuta v této smlouvě a počet licencí je obsažen v příloze této smlouvy - Přehled plnění a cenové specifikace.</w:t>
      </w:r>
    </w:p>
    <w:p w:rsidR="00FE2F2F" w:rsidRDefault="00FE2F2F" w:rsidP="00FE2F2F">
      <w:pPr>
        <w:pStyle w:val="2rove"/>
      </w:pPr>
      <w:r>
        <w:t xml:space="preserve">Dodavatel se zavazuje zajistit bezplatný výkon administrativních činností spojených s provozem softwarových produktů dle článku 2 této smlouvy. Mezi tyto činnosti patří zejména: </w:t>
      </w:r>
    </w:p>
    <w:p w:rsidR="00FE2F2F" w:rsidRDefault="00FE2F2F" w:rsidP="00FE2F2F">
      <w:pPr>
        <w:pStyle w:val="3rove-trval"/>
      </w:pPr>
      <w:r>
        <w:t>upozornění objednatele nejméně 45 dní předem na blížící se výročí či konec trvání této smlouvy a příprava dokumentů s tím souvisejících (výroční objednávky apod.);</w:t>
      </w:r>
    </w:p>
    <w:p w:rsidR="00FE2F2F" w:rsidRDefault="00FE2F2F" w:rsidP="00FE2F2F">
      <w:pPr>
        <w:pStyle w:val="3rove-trval"/>
      </w:pPr>
      <w:r>
        <w:t>zpracování výročních objednávek základních produktů v rámci této smlouvy a dodávka licencí nejdéle do 15 kalendářních dnů ode dne obdržení objednávky;</w:t>
      </w:r>
    </w:p>
    <w:p w:rsidR="00FE2F2F" w:rsidRDefault="00FE2F2F" w:rsidP="00FE2F2F">
      <w:pPr>
        <w:pStyle w:val="3rove-trval"/>
      </w:pPr>
      <w:r>
        <w:t xml:space="preserve">upozornění objednatele na možnost čerpání výhod poskytovaných společností Microsoft Corporation k této smlouvě (benefity Software Assurance a jiných anuitních benefitů). </w:t>
      </w:r>
    </w:p>
    <w:p w:rsidR="00FE2F2F" w:rsidRDefault="00FE2F2F" w:rsidP="00FE2F2F">
      <w:pPr>
        <w:pStyle w:val="2rove"/>
      </w:pPr>
      <w:r>
        <w:t xml:space="preserve">Za dodávku licencí se považuje doručení osvědčení o nabytých licencích a daňového dokladu – faktury písemně na adresu objednatele, případně prostřednictvím datové schránky. </w:t>
      </w:r>
    </w:p>
    <w:p w:rsidR="00FE2F2F" w:rsidRDefault="00FE2F2F" w:rsidP="00FE2F2F">
      <w:pPr>
        <w:pStyle w:val="2rove"/>
      </w:pPr>
      <w:r>
        <w:t>V rámci služby základního zprovoznění Microsoft 365 v prostředí objednatele:</w:t>
      </w:r>
    </w:p>
    <w:p w:rsidR="00FE2F2F" w:rsidRDefault="00FE2F2F" w:rsidP="00FE2F2F">
      <w:pPr>
        <w:pStyle w:val="3rove-trval"/>
      </w:pPr>
      <w:r>
        <w:t>založení tenantu;</w:t>
      </w:r>
    </w:p>
    <w:p w:rsidR="00FE2F2F" w:rsidRDefault="00FE2F2F" w:rsidP="00FE2F2F">
      <w:pPr>
        <w:pStyle w:val="3rove-trval"/>
      </w:pPr>
      <w:r>
        <w:t>propojení doménového jména objednatele s Microsoft 365;</w:t>
      </w:r>
    </w:p>
    <w:p w:rsidR="00FE2F2F" w:rsidRDefault="00FE2F2F" w:rsidP="00FE2F2F">
      <w:pPr>
        <w:pStyle w:val="3rove-trval"/>
      </w:pPr>
      <w:r>
        <w:t>identifikace používaných služeb;</w:t>
      </w:r>
    </w:p>
    <w:p w:rsidR="00FE2F2F" w:rsidRDefault="00FE2F2F" w:rsidP="00FE2F2F">
      <w:pPr>
        <w:pStyle w:val="3rove-trval"/>
      </w:pPr>
      <w:r>
        <w:t>pomoc s konfigurací DNS záznamů pro vybrané online služby;</w:t>
      </w:r>
    </w:p>
    <w:p w:rsidR="00FE2F2F" w:rsidRDefault="00FE2F2F" w:rsidP="00FE2F2F">
      <w:pPr>
        <w:pStyle w:val="3rove-trval"/>
      </w:pPr>
      <w:r>
        <w:t>konfigurace vybraných online služeb (OneDrive for Business, Skype for Business, SharePoint online, Teams);</w:t>
      </w:r>
    </w:p>
    <w:p w:rsidR="00FE2F2F" w:rsidRDefault="00FE2F2F" w:rsidP="00FE2F2F">
      <w:pPr>
        <w:pStyle w:val="3rove-trval"/>
      </w:pPr>
      <w:r>
        <w:t>konfigurace zabezpečení Microsoft 365;</w:t>
      </w:r>
    </w:p>
    <w:p w:rsidR="00FE2F2F" w:rsidRDefault="00FE2F2F" w:rsidP="00FE2F2F">
      <w:pPr>
        <w:pStyle w:val="3rove-trval"/>
      </w:pPr>
      <w:r>
        <w:t>konfigurace pro uživatelské identity (propojení AD);</w:t>
      </w:r>
    </w:p>
    <w:p w:rsidR="00FE2F2F" w:rsidRDefault="00FE2F2F" w:rsidP="00FE2F2F">
      <w:pPr>
        <w:pStyle w:val="2rove"/>
      </w:pPr>
      <w:r>
        <w:t xml:space="preserve">Zajistit pro objednatele telefonickou podporu softwarových produktů Microsoft na telefonním čísle </w:t>
      </w:r>
      <w:r w:rsidRPr="007E49A8">
        <w:t>+420 724 382 874  nebo +420 602 484</w:t>
      </w:r>
      <w:r>
        <w:t> </w:t>
      </w:r>
      <w:r w:rsidRPr="007E49A8">
        <w:t>832</w:t>
      </w:r>
      <w:r>
        <w:t xml:space="preserve"> nebo e-mailem na </w:t>
      </w:r>
      <w:r w:rsidRPr="007E49A8">
        <w:t>mssupport@autocont.cz</w:t>
      </w:r>
      <w:r>
        <w:t xml:space="preserve">, a to v pracovních dnech v čase od 9:00 do 17:00 hod. s reakční dobou maximálně do 4 hodin. Tento Helpdesk budou poskytovat certifikovaní pracovníci v češtině. </w:t>
      </w:r>
    </w:p>
    <w:p w:rsidR="00FE2F2F" w:rsidRDefault="00FE2F2F" w:rsidP="00FE2F2F">
      <w:pPr>
        <w:pStyle w:val="2rove"/>
      </w:pPr>
      <w:r>
        <w:t xml:space="preserve">Zajistit pro objednatele poskytování komplexního licenčního poradenství k poskytnutým licencím na telefonním čísle </w:t>
      </w:r>
      <w:r w:rsidRPr="007E49A8">
        <w:t>+420 724 382 874 nebo +420 602 484</w:t>
      </w:r>
      <w:r>
        <w:t> </w:t>
      </w:r>
      <w:r w:rsidRPr="007E49A8">
        <w:t>832</w:t>
      </w:r>
      <w:r>
        <w:t xml:space="preserve"> nebo e-mailem na adrese </w:t>
      </w:r>
      <w:r w:rsidRPr="007E49A8">
        <w:t>mssupport@autocont.cz</w:t>
      </w:r>
      <w:r>
        <w:t xml:space="preserve">, a to v pracovních dnech v čase od 9:00 do 17:00 hod s maximální dobou pro vyřešení 4 pracovní dny. </w:t>
      </w:r>
    </w:p>
    <w:p w:rsidR="00FE2F2F" w:rsidRDefault="00FE2F2F" w:rsidP="00FE2F2F">
      <w:pPr>
        <w:pStyle w:val="2rove"/>
      </w:pPr>
      <w:r>
        <w:t>Zajistit vedení agendy související s aktivací Microsoft 365 Apps  pro studenty a pracovníky objednatele prostřednictvím samoobslužného webového portálu.</w:t>
      </w:r>
    </w:p>
    <w:p w:rsidR="00FE2F2F" w:rsidRDefault="00FE2F2F" w:rsidP="00FE2F2F">
      <w:pPr>
        <w:pStyle w:val="2rove"/>
      </w:pPr>
      <w:r>
        <w:t xml:space="preserve">Zajistit aktivaci, správu či údržbu licenčních stránek objednatele u společnosti Microsoft Corporation, aktivaci a správu anuitních benefitů. </w:t>
      </w:r>
    </w:p>
    <w:p w:rsidR="00FE2F2F" w:rsidRDefault="00FE2F2F" w:rsidP="00FE2F2F">
      <w:pPr>
        <w:pStyle w:val="2rove"/>
      </w:pPr>
      <w:r>
        <w:t xml:space="preserve">Poskytovat konzultační a poradenské služby související s uplatněním produktu v prostředí objednatele v rozsahu 1 člověkodne za období 12 měsíců. </w:t>
      </w:r>
    </w:p>
    <w:p w:rsidR="00FE2F2F" w:rsidRPr="006A3E6F" w:rsidRDefault="00FE2F2F" w:rsidP="00FE2F2F">
      <w:pPr>
        <w:pStyle w:val="Nadpis1"/>
      </w:pPr>
      <w:r w:rsidRPr="006A3E6F">
        <w:lastRenderedPageBreak/>
        <w:t>Ochrana osobních údajů</w:t>
      </w:r>
    </w:p>
    <w:p w:rsidR="00FE2F2F" w:rsidRDefault="00FE2F2F" w:rsidP="00FE2F2F">
      <w:pPr>
        <w:pStyle w:val="2rove"/>
      </w:pPr>
      <w:r w:rsidRPr="38F06E24">
        <w:t>Smluvní strany prohlašují, že jsou jim známy účinky platného Obecného nařízení Evropského parlamentu a Rady (EU) 2016/679, ze dne 27. dubna 2016 (dále jen „</w:t>
      </w:r>
      <w:r w:rsidRPr="003F659B">
        <w:rPr>
          <w:b/>
        </w:rPr>
        <w:t>Nařízení</w:t>
      </w:r>
      <w:r w:rsidRPr="38F06E24">
        <w:t xml:space="preserve">“). </w:t>
      </w:r>
    </w:p>
    <w:p w:rsidR="00FE2F2F" w:rsidRDefault="00FE2F2F" w:rsidP="00FE2F2F">
      <w:pPr>
        <w:pStyle w:val="2rove"/>
      </w:pPr>
      <w:r>
        <w:t>Dodavatele bere na vědomí, že se ve smyslu všech výše uvedených právních předpisů považuje a bude považovat za Zpracovatele osobních údajů, se všemi pro něj vyplývajícími důsledky a povinnostmi. Objednatel je a bude nadále považována za Správce osobních údajů, se všemi pro něj vyplývajícími důsledky a povinnostmi (Takto jsou i dále označeni v tomto článku smlouvy).</w:t>
      </w:r>
    </w:p>
    <w:p w:rsidR="00FE2F2F" w:rsidRDefault="00FE2F2F" w:rsidP="00FE2F2F">
      <w:pPr>
        <w:pStyle w:val="2rove"/>
      </w:pPr>
      <w:r>
        <w:t xml:space="preserve">Ustanovení o vzájemných povinnostech Správce a Zpracovatele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Zpracovatelem. </w:t>
      </w:r>
    </w:p>
    <w:p w:rsidR="00FE2F2F" w:rsidRDefault="00FE2F2F" w:rsidP="00FE2F2F">
      <w:pPr>
        <w:pStyle w:val="2rove"/>
      </w:pPr>
      <w:r>
        <w:t xml:space="preserve">Dodavatel se zavazuje zpracovávat pouze a výlučně ty osobní údaje, které jsou nutné k výkonu jeho činnosti dle této smlouvy. </w:t>
      </w:r>
    </w:p>
    <w:p w:rsidR="00FE2F2F" w:rsidRDefault="00FE2F2F" w:rsidP="00FE2F2F">
      <w:pPr>
        <w:pStyle w:val="2rove"/>
      </w:pPr>
      <w:r>
        <w:t xml:space="preserve">Dodavatel je oprávněn zpracovávat osobní údaje dle této smlouvy pouze a výlučně po dobu účinnosti této smlouvy. </w:t>
      </w:r>
    </w:p>
    <w:p w:rsidR="00FE2F2F" w:rsidRDefault="00FE2F2F" w:rsidP="00FE2F2F">
      <w:pPr>
        <w:pStyle w:val="2rove"/>
      </w:pPr>
      <w:r>
        <w:t>Dodavatel je oprávněn zpracovávat osobní údaje pouze za účelem plnění svých povinností dle této smlouvy.</w:t>
      </w:r>
    </w:p>
    <w:p w:rsidR="00FE2F2F" w:rsidRDefault="00FE2F2F" w:rsidP="00FE2F2F">
      <w:pPr>
        <w:pStyle w:val="2rove"/>
      </w:pPr>
      <w:r>
        <w:t xml:space="preserve">Dodavatel je povinen se při zpracování osobních údajů řídit výslovnými pokyny Správce, budou-li mu takové uděleny, ať již ústní či písemnou formou. Za písemnou formu se považuje i elektronická komunikace, včetně emailu. Dodavatel je povinen neprodleně Správce informovat, pokud dle jeho názoru udělený pokyn Správce porušuje Nařízení nebo jiné předpisy na ochranu osobních údajů. </w:t>
      </w:r>
    </w:p>
    <w:p w:rsidR="00FE2F2F" w:rsidRDefault="00FE2F2F" w:rsidP="00FE2F2F">
      <w:pPr>
        <w:pStyle w:val="2rove"/>
      </w:pPr>
      <w:r>
        <w:t>Dodavatel je povinen zajistit, že osoby, jimiž bude provádět plnění dle této smlouvy, se zavážou k mlčenlivosti ohledně veškeré činnosti související s touto smlouvou, zejm. pak k mlčenlivosti ve vztahu ke všem osobním údajům, ke kterým budou mít přístup, nebo s kterými přijdou do kontaktu.</w:t>
      </w:r>
    </w:p>
    <w:p w:rsidR="00FE2F2F" w:rsidRDefault="00FE2F2F" w:rsidP="00FE2F2F">
      <w:pPr>
        <w:pStyle w:val="2rove"/>
      </w:pPr>
      <w:r>
        <w:t xml:space="preserve">Dodavatel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Nařízením. </w:t>
      </w:r>
    </w:p>
    <w:p w:rsidR="00FE2F2F" w:rsidRDefault="00FE2F2F" w:rsidP="00FE2F2F">
      <w:pPr>
        <w:pStyle w:val="2rove"/>
      </w:pPr>
      <w:r>
        <w:t>Dodavatel je povinen písemně seznámit Správce s jakýmkoliv podezřením na porušení nebo skutečným porušením bezpečnosti zpracování osobních údajů podle ustanovení této smlouvy, např.: jakoukoliv odchylkou od udělených pokynů, odchylkou od sjednaného přístupu pro Správce,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Správce bude neprodleně seznámen s jakýmkoliv podstatným porušením těchto ustanovení o zpracování dat.</w:t>
      </w:r>
    </w:p>
    <w:p w:rsidR="00FE2F2F" w:rsidRDefault="00FE2F2F" w:rsidP="00FE2F2F">
      <w:pPr>
        <w:pStyle w:val="2rove"/>
      </w:pPr>
      <w:r>
        <w:t>Dodavatel není oprávněn, ve smyslu čl. 28 Nařízení, zapojit do zpracování osobních údajů dalšího zpracovatele (zákaz řetězení zpracovatelů).</w:t>
      </w:r>
    </w:p>
    <w:p w:rsidR="00FE2F2F" w:rsidRDefault="00FE2F2F" w:rsidP="00FE2F2F">
      <w:pPr>
        <w:pStyle w:val="2rove"/>
      </w:pPr>
      <w:r>
        <w:t>Dodavatel je povinen a zavazuje se k veškeré součinnosti se Správcem, o kterou bude požádán v souvislosti se zpracováním osobních údajů nebo která mu přímo vyplývá z Nařízení. Dodavatel je povinen na vyžádání zpřístupnit Správci svá písemná technická a organizační bezpečnostní opatření a umožnit mu případnou kontrolu dodržování předložených technických a organizačních bezpečnostních opatření.</w:t>
      </w:r>
    </w:p>
    <w:p w:rsidR="00FE2F2F" w:rsidRPr="006A3E6F" w:rsidRDefault="00FE2F2F" w:rsidP="00FE2F2F">
      <w:pPr>
        <w:pStyle w:val="2rove"/>
      </w:pPr>
      <w:r>
        <w:t>Po skončení účinnosti této smlouvy je Dodavatel povinen všechny osobní údaje, které má v držení, vymazat, a pokud je dosud nepředal Správci, předat je Správci a dále vymazat všechny existující kopie. Povinnost uvedená v tomto článku neplatí, stanoví-li právní předpis EU, případně vnitrostátní právní předpis Zpracovateli osobní údaje ukládat i po skončení účinnosti této smlouvy</w:t>
      </w:r>
    </w:p>
    <w:p w:rsidR="00FE2F2F" w:rsidRPr="00CE0EE5" w:rsidRDefault="00FE2F2F" w:rsidP="00FE2F2F">
      <w:pPr>
        <w:pStyle w:val="Nadpis1"/>
      </w:pPr>
      <w:r>
        <w:lastRenderedPageBreak/>
        <w:t>Závazky objednatele</w:t>
      </w:r>
    </w:p>
    <w:p w:rsidR="00FE2F2F" w:rsidRPr="00CE0EE5" w:rsidRDefault="00FE2F2F" w:rsidP="00FE2F2F">
      <w:pPr>
        <w:pStyle w:val="2rove"/>
      </w:pPr>
      <w:r>
        <w:t xml:space="preserve">Objednatel je povinen nahlásit dodavateli počet pracovních úvazků – kvalifikovaných uživatelů vždy nejpozději v den výročí smlouvy.  </w:t>
      </w:r>
    </w:p>
    <w:p w:rsidR="00FE2F2F" w:rsidRPr="00CE0EE5" w:rsidRDefault="00FE2F2F" w:rsidP="00FE2F2F">
      <w:pPr>
        <w:pStyle w:val="2rove"/>
      </w:pPr>
      <w:r>
        <w:t xml:space="preserve">Objednatel se zavazuje spolupracovat s dodavatelem na administrativních úkonech, které dodavatel nemůže zajistit vlastními silami. Těmito se rozumí zejména nahlášení kontaktních osob a zajištění včasného podepisovaní požadovaných dokumentů. </w:t>
      </w:r>
    </w:p>
    <w:p w:rsidR="00FE2F2F" w:rsidRDefault="00FE2F2F" w:rsidP="00FE2F2F">
      <w:pPr>
        <w:pStyle w:val="Nadpis1"/>
      </w:pPr>
      <w:r>
        <w:t>Cena a platební podmínky</w:t>
      </w:r>
    </w:p>
    <w:p w:rsidR="00FE2F2F" w:rsidRDefault="00FE2F2F" w:rsidP="00FE2F2F">
      <w:pPr>
        <w:pStyle w:val="2rove"/>
      </w:pPr>
      <w:r>
        <w:t xml:space="preserve">Dodavatel je oprávněn vystavit fakturu na základě písemné </w:t>
      </w:r>
      <w:r w:rsidRPr="38F06E24">
        <w:rPr>
          <w:b/>
          <w:bCs/>
        </w:rPr>
        <w:t>objednávky</w:t>
      </w:r>
      <w:r>
        <w:t xml:space="preserve"> vystavené objednatelem. Cena licencí softwarových produktů dle článku 2 této smlouvy je uvedena v příloze této smlouvy, přičemž tato cena je platná po celou dobu trvání této smlouvy. Objednatel neposkytuje zálohy. Fakturu na první rok je poskytovatel povinen vystavit nejpozději do jednoho týdne po zajištění licencí. Pro první rok trvání této smlouvy není nutné ve smyslu článku 3.1 této smlouvy vystavovat samostatnou objednávku.</w:t>
      </w:r>
    </w:p>
    <w:p w:rsidR="00FE2F2F" w:rsidRDefault="00FE2F2F" w:rsidP="00FE2F2F">
      <w:pPr>
        <w:pStyle w:val="2rove"/>
      </w:pPr>
      <w:r>
        <w:t xml:space="preserve">Vyúčtování licencí základních produktů v rámci smlouvy Microsoft EES bude probíhat s roční periodou. </w:t>
      </w:r>
    </w:p>
    <w:p w:rsidR="00FE2F2F" w:rsidRDefault="00FE2F2F" w:rsidP="00FE2F2F">
      <w:pPr>
        <w:pStyle w:val="2rove"/>
      </w:pPr>
      <w:r>
        <w:t xml:space="preserve">Platba bude probíhat na základě faktur – daňových dokladů vystavených dodavatelem se splatností 30 dnů od data přijetí faktury objednatelem. Za den splnění platební povinnosti objednatele se považuje den, kdy byla příslušná částka odepsána z účtu objednatele. </w:t>
      </w:r>
    </w:p>
    <w:p w:rsidR="00FE2F2F" w:rsidRDefault="00FE2F2F" w:rsidP="00FE2F2F">
      <w:pPr>
        <w:pStyle w:val="2rove"/>
      </w:pPr>
      <w:r>
        <w:t xml:space="preserve">Faktura – daňový doklad dodavatele bude splňovat náležitosti daňového dokladu dle zákona č. 235/2004 Sb., o dani z přidané hodnoty, ve znění pozdějších předpisů. Dále bude obsahovat číslo smlouvy, číslo objednávky, celkovou cenu bez DPH a cenu včetně DPH a použitý kurz Kč/EUR. V případě, že faktura nebude mít všechny odpovídající náležitosti, je objednatel oprávněn ji vrátit ve lhůtě splatnosti zpět dodavateli k doplnění, aniž se tak dostane do prodlení se splatností. Lhůta splatnosti počíná běžet znovu od opětovného doručení náležitě doplněné či opravené faktury objednateli. </w:t>
      </w:r>
    </w:p>
    <w:p w:rsidR="00FE2F2F" w:rsidRDefault="00FE2F2F" w:rsidP="00FE2F2F">
      <w:pPr>
        <w:pStyle w:val="2rove"/>
      </w:pPr>
      <w:r>
        <w:t xml:space="preserve">Faktura bude vystavena podle počtu poskytnutých licencí na 12 kalendářních měsíců, a to ke dni uskutečnění zdanitelného plnění. Faktura bude doručena písemně na adresu sídla objednatele, případně elektronicky prostřednictvím datové schránky. Objednateli v případě odlišného způsobu doručení faktury nevzniká povinnost fakturu uhradit. </w:t>
      </w:r>
    </w:p>
    <w:p w:rsidR="00FE2F2F" w:rsidRDefault="00FE2F2F" w:rsidP="00FE2F2F">
      <w:pPr>
        <w:pStyle w:val="2rove"/>
      </w:pPr>
      <w:r>
        <w:t xml:space="preserve">Součástí smlouvy je příloha Přehled plnění a cenové specifikace, která obsahuje konkrétní cenu za jednu licenci platnou po dobu sjednaného trvání smlouvy. Tato příloha obsahuje rovněž počet licencí objednaných pro první rok smlouvy. Objednatel si vyhrazuje v souladu s § 100 odst. 1 zákona č. 134/2016 Sb., o zadávání veřejných zakázek, ve znění pozdějších předpisů, pro budoucí plnění možnost změny počtu licencí, a to vždy k termínu výročí této smlouvy, aniž by byla dotčena cena za jednu licenci. Změna počtu licencí není důvodem pro uzavření dodatku této smlouvy. Změna počtu licencí bude vyjádřena písemnou </w:t>
      </w:r>
      <w:r w:rsidRPr="6718DBC0">
        <w:rPr>
          <w:b/>
          <w:bCs/>
        </w:rPr>
        <w:t>objednávkou</w:t>
      </w:r>
      <w:r>
        <w:t xml:space="preserve"> vystavenou objednatelem, na kterou dodavatel vystaví fakturu v souladu s článkem 5 této smlouvy.</w:t>
      </w:r>
    </w:p>
    <w:p w:rsidR="00FE2F2F" w:rsidRDefault="00FE2F2F" w:rsidP="00FE2F2F">
      <w:pPr>
        <w:pStyle w:val="2rove"/>
      </w:pPr>
      <w:r>
        <w:t>Cena za jednu licenci v EUR je cenou maximální a nepřekročitelnou a zahrnuje veškeré náklady, rizika, zisk a finanční vlivy spojené s plněním předmětu této smlouvy. Cena s DPH bude účtována dle sazby DPH účinné ke dni uskutečnění zdanitelného plnění.</w:t>
      </w:r>
    </w:p>
    <w:p w:rsidR="00FE2F2F" w:rsidRDefault="00FE2F2F" w:rsidP="00FE2F2F">
      <w:pPr>
        <w:pStyle w:val="2rove"/>
      </w:pPr>
      <w:r>
        <w:t>Faktura bude vystavena v českých korunách. Dodavatel je povinen při převodu z EUR na Kč použít kurz Kč/EUR devizového trhu vyhlášený Českou národní bankou v den uskutečnění zdanitelného plnění fakturovaných licencí a není-li v takový den kurz vyhlášen, potom kurz z prvního předcházejícího dne, kdy takový kurz vyhlášen byl.</w:t>
      </w:r>
    </w:p>
    <w:p w:rsidR="00FE2F2F" w:rsidRDefault="00FE2F2F" w:rsidP="00FE2F2F">
      <w:pPr>
        <w:pStyle w:val="Nadpis1"/>
      </w:pPr>
      <w:r>
        <w:t>Smluvní sankce</w:t>
      </w:r>
    </w:p>
    <w:p w:rsidR="00FE2F2F" w:rsidRDefault="00FE2F2F" w:rsidP="00FE2F2F">
      <w:pPr>
        <w:pStyle w:val="2rove"/>
      </w:pPr>
      <w:r>
        <w:t xml:space="preserve">Při nedodržení dodacích lhůt se dodavatel zavazuje zaplatit smluvní pokutu ve výši 0,5% z ceny nedodaného plnění za každý i započatý den prodlení. </w:t>
      </w:r>
    </w:p>
    <w:p w:rsidR="00FE2F2F" w:rsidRDefault="00FE2F2F" w:rsidP="00FE2F2F">
      <w:pPr>
        <w:pStyle w:val="2rove"/>
      </w:pPr>
      <w:r>
        <w:t xml:space="preserve">Dodavatel se zavazuje zaplatit smluvní pokutu ve výši 500 Kč za každý i započatý pracovní den prodlení se splněním povinnosti dle článku 4.6 této smlouvy. </w:t>
      </w:r>
    </w:p>
    <w:p w:rsidR="00FE2F2F" w:rsidRDefault="00FE2F2F" w:rsidP="00FE2F2F">
      <w:pPr>
        <w:pStyle w:val="2rove"/>
        <w:rPr>
          <w:rFonts w:eastAsia="Arial" w:cs="Arial"/>
        </w:rPr>
      </w:pPr>
      <w:r>
        <w:t>Dodavatel se zavazuje zaplatit smluvní pokutu ve výši 10 000 Kč za každý jednotlivý zjištěný případ porušení</w:t>
      </w:r>
      <w:r w:rsidRPr="6718DBC0">
        <w:rPr>
          <w:rFonts w:eastAsia="Arial" w:cs="Arial"/>
        </w:rPr>
        <w:t xml:space="preserve"> povinností týkajících se ochrany osobních údajů dle článku 5 této smlouvy.</w:t>
      </w:r>
    </w:p>
    <w:p w:rsidR="00FE2F2F" w:rsidRDefault="00FE2F2F" w:rsidP="00FE2F2F">
      <w:pPr>
        <w:pStyle w:val="2rove"/>
      </w:pPr>
      <w:r>
        <w:lastRenderedPageBreak/>
        <w:t xml:space="preserve">V případě prodlení objednatele s úhradou faktury se objednatel zavazuje zaplatit smluvní pokutu ve výši 0,05 % z dlužné částky za každý i započatý den prodlení. </w:t>
      </w:r>
    </w:p>
    <w:p w:rsidR="00FE2F2F" w:rsidRDefault="00FE2F2F" w:rsidP="00FE2F2F">
      <w:pPr>
        <w:pStyle w:val="2rove"/>
      </w:pPr>
      <w:r>
        <w:t xml:space="preserve">Úhradou smluvní pokuty zůstávají nedotčena práva objednatele na náhradu škody v plné výši. </w:t>
      </w:r>
    </w:p>
    <w:p w:rsidR="00FE2F2F" w:rsidRDefault="00FE2F2F" w:rsidP="00FE2F2F">
      <w:pPr>
        <w:pStyle w:val="2rove"/>
      </w:pPr>
      <w:r>
        <w:t>Objednatel je oprávněn jakoukoliv smluvní pokutu jednostranně započítat proti jakékoli pohledávce dodavatele za objednatelem, a to včetně pohledávky dodavatele na zaplacení ceny dle článku 6 této smlouvy.</w:t>
      </w:r>
    </w:p>
    <w:p w:rsidR="00FE2F2F" w:rsidRDefault="00FE2F2F" w:rsidP="00FE2F2F">
      <w:pPr>
        <w:pStyle w:val="2rove"/>
      </w:pPr>
      <w:r>
        <w:t xml:space="preserve">Smluvní pokuty a úrok z prodlení budou vyúčtovány v českých korunách podle kurzu Kč/EUR vztahujícího se k plnění (v případě nedodaného plnění jde o den, kdy mělo být plněno), kterého se porušení povinností nebo prodlení s úhradou faktury týká. </w:t>
      </w:r>
    </w:p>
    <w:p w:rsidR="00FE2F2F" w:rsidRDefault="00FE2F2F" w:rsidP="00FE2F2F">
      <w:pPr>
        <w:pStyle w:val="Nadpis1"/>
      </w:pPr>
      <w:r>
        <w:t>Doba trvání a ukončení smlouvy</w:t>
      </w:r>
    </w:p>
    <w:p w:rsidR="00FE2F2F" w:rsidRDefault="00FE2F2F" w:rsidP="00FE2F2F">
      <w:pPr>
        <w:pStyle w:val="2rove"/>
      </w:pPr>
      <w:r>
        <w:t xml:space="preserve">Tato smlouva je sjednána na dobu určitou, a to 36 měsíců ode dne nabytí účinnosti této smlouvy, nejdříve však </w:t>
      </w:r>
      <w:r w:rsidRPr="006A3E6F">
        <w:t>od</w:t>
      </w:r>
      <w:r>
        <w:t xml:space="preserve"> 1. 8. 2023</w:t>
      </w:r>
      <w:r w:rsidRPr="006A3E6F">
        <w:t>.</w:t>
      </w:r>
      <w:r>
        <w:t xml:space="preserve"> </w:t>
      </w:r>
      <w:r w:rsidRPr="006A3E6F">
        <w:t>Platnost</w:t>
      </w:r>
      <w:r>
        <w:t xml:space="preserve"> smlouvy může být ukončena pouze písemnou dohodou smluvních stran nebo výpovědí za podmínek daných touto smlouvou. </w:t>
      </w:r>
    </w:p>
    <w:p w:rsidR="00FE2F2F" w:rsidRDefault="00FE2F2F" w:rsidP="00FE2F2F">
      <w:pPr>
        <w:pStyle w:val="2rove"/>
      </w:pPr>
      <w:r>
        <w:t xml:space="preserve">Jestliže jakákoliv ze smluvních stran nedodrží své závazky dané touto smlouvou a svou povinnost nesplní ani ve lhůtě šesti týdnů po obdržení písemné výzvy k plnění od druhé smluvní strany, může druhá smluvní strana smlouvu písemně vypovědět bez výpovědní doby, s účinností okamžikem doručení výpovědi. </w:t>
      </w:r>
    </w:p>
    <w:p w:rsidR="00FE2F2F" w:rsidRDefault="00FE2F2F" w:rsidP="00FE2F2F">
      <w:pPr>
        <w:pStyle w:val="2rove"/>
      </w:pPr>
      <w:r>
        <w:t>Objednatel je oprávněn vypovědět tuto smlouvu dle článku 8.2 této smlouvy zejména:</w:t>
      </w:r>
    </w:p>
    <w:p w:rsidR="00FE2F2F" w:rsidRDefault="00FE2F2F" w:rsidP="00FE2F2F">
      <w:pPr>
        <w:pStyle w:val="3rove-trval"/>
      </w:pPr>
      <w:r>
        <w:t>v případě, kdy dodavatel bude v prodlení s dodáním i části předmětu smlouvy nebo nedojde k dodání i části plnění ve smluvené kvalitě, či v kvalitě obvyklé;</w:t>
      </w:r>
    </w:p>
    <w:p w:rsidR="00FE2F2F" w:rsidRDefault="00FE2F2F" w:rsidP="00FE2F2F">
      <w:pPr>
        <w:pStyle w:val="3rove-trval"/>
      </w:pPr>
      <w:r>
        <w:t>v případě, že dodavatel pozbude autorizace k poskytování požadovaných licencí.</w:t>
      </w:r>
    </w:p>
    <w:p w:rsidR="00FE2F2F" w:rsidRDefault="00FE2F2F" w:rsidP="00FE2F2F">
      <w:pPr>
        <w:pStyle w:val="Nadpis1"/>
      </w:pPr>
      <w:r>
        <w:t>Závěrečná ustanovení</w:t>
      </w:r>
    </w:p>
    <w:p w:rsidR="00FE2F2F" w:rsidRDefault="00FE2F2F" w:rsidP="00FE2F2F">
      <w:pPr>
        <w:pStyle w:val="2rove"/>
      </w:pPr>
      <w:r>
        <w:t xml:space="preserve">Pokud není v této smlouvě sjednáno něco jiného, platí pro vztahy mezi dodavatelem a objednatelem ustanovení zák. č. 89/2012 Sb., občanský zákoník, ve znění pozdějších předpisů. </w:t>
      </w:r>
    </w:p>
    <w:p w:rsidR="00FE2F2F" w:rsidRDefault="00FE2F2F" w:rsidP="00FE2F2F">
      <w:pPr>
        <w:pStyle w:val="2rove"/>
      </w:pPr>
      <w:r>
        <w:t xml:space="preserve">Dodavatel prohlašuje, že je oprávněným dodavatelem licencí, které jsou předmětem této smlouvy. </w:t>
      </w:r>
    </w:p>
    <w:p w:rsidR="00FE2F2F" w:rsidRDefault="00FE2F2F" w:rsidP="00FE2F2F">
      <w:pPr>
        <w:pStyle w:val="2rove"/>
      </w:pPr>
      <w:r w:rsidRPr="00E632D9">
        <w:t>Dodavatel prohlašuje, že si je vědom skutečnosti, že objednatel, má zájem na realizaci veřejné zakázky v souladu se zásadami společensky odpovědného zadávání veřejných zakázek. Dodavatel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dodav</w:t>
      </w:r>
      <w:r>
        <w:t>atelem či  jeho poddodavatelem.</w:t>
      </w:r>
    </w:p>
    <w:p w:rsidR="00FE2F2F" w:rsidRDefault="00FE2F2F" w:rsidP="00FE2F2F">
      <w:pPr>
        <w:pStyle w:val="2rove"/>
      </w:pPr>
      <w:r>
        <w:t xml:space="preserve">Dodavatel souhlasí s uveřejněním plného znění této smlouvy v rozsahu dle zákona č. 134/2016 Sb., o zadávání veřejných zakázek, ve znění pozdějších předpisů, zákona č. 340/2015 Sb., o zvláštních podmínkách účinnosti některých smluv, uveřejňování těchto smluv a o registru smluv (zákon o registru smluv), ve znění pozdějších předpisů, a zákona č. 106/1999 Sb., o svobodném přístupu k informacím, ve znění pozdějších předpisů. </w:t>
      </w:r>
    </w:p>
    <w:p w:rsidR="00FE2F2F" w:rsidRDefault="00FE2F2F" w:rsidP="00FE2F2F">
      <w:pPr>
        <w:pStyle w:val="2rove"/>
      </w:pPr>
      <w:r>
        <w:t>Tato smlouva bude uveřejněna v registru smluv dle zákona o registru smluv. Smluvní strany se dohodly, že uveřejnění smlouvy prostřednictvím registru smluv dle zákona o registru smluv provede objednatel bez zbytečného odkladu od podpisu smlouvy oběma smluvními stranami.</w:t>
      </w:r>
    </w:p>
    <w:p w:rsidR="00FE2F2F" w:rsidRDefault="00FE2F2F" w:rsidP="00FE2F2F">
      <w:pPr>
        <w:pStyle w:val="2rove"/>
      </w:pPr>
      <w:r>
        <w:t xml:space="preserve">Dodavatel se zavazuje spolupůsobit jako osoba povinná v souladu se zákonem č. 320/2001 Sb., o finanční kontrole ve veřejné správě a o změně některých zákonů (zákon o finanční kontrole), ve znění pozdějších předpisů. </w:t>
      </w:r>
    </w:p>
    <w:p w:rsidR="00FE2F2F" w:rsidRDefault="00FE2F2F" w:rsidP="00FE2F2F">
      <w:pPr>
        <w:pStyle w:val="2rove"/>
      </w:pPr>
      <w:r>
        <w:t xml:space="preserve">Jakékoliv změny nebo doplňky této smlouvy jsou vázány na souhlas obou smluvních stran a musí být provedeny formou písemného číslovaného dodatku k této smlouvě. </w:t>
      </w:r>
    </w:p>
    <w:p w:rsidR="00FE2F2F" w:rsidRDefault="00FE2F2F" w:rsidP="00FE2F2F">
      <w:pPr>
        <w:pStyle w:val="2rove"/>
        <w:rPr>
          <w:rStyle w:val="Kvbruaodstrann"/>
          <w:rFonts w:eastAsia="Arial" w:cs="Arial"/>
          <w:iCs/>
          <w:color w:val="D13438"/>
          <w:u w:val="single"/>
        </w:rPr>
      </w:pPr>
      <w:r w:rsidRPr="006A3E6F">
        <w:rPr>
          <w:rFonts w:eastAsia="Arial" w:cs="Arial"/>
          <w:szCs w:val="20"/>
        </w:rPr>
        <w:t xml:space="preserve">Tato smlouva je uzavírána elektronicky, přičemž obě smluvní strany obdrží její elektronický originál. </w:t>
      </w:r>
      <w:r w:rsidRPr="006A3E6F">
        <w:t xml:space="preserve">Smluvní strany prohlašují, že si text smlouvy důkladně přečetly, s jeho obsahem </w:t>
      </w:r>
      <w:r w:rsidRPr="006A3E6F">
        <w:lastRenderedPageBreak/>
        <w:t>souhlasí</w:t>
      </w:r>
      <w:r>
        <w:t xml:space="preserve"> a že tato smlouva byla uzavřena podle jejich skutečné, svobodné a vážné vůle, nikoli v tísni a za nápadně nevýhodných podmínek a na důkaz toho pod ni připojují své podpisy. </w:t>
      </w:r>
    </w:p>
    <w:p w:rsidR="00FE2F2F" w:rsidRDefault="00FE2F2F" w:rsidP="00FE2F2F">
      <w:pPr>
        <w:pStyle w:val="2rove"/>
      </w:pPr>
      <w:r>
        <w:t xml:space="preserve">Nedílnou součástí této smlouvy je příloha: Přehled plnění a cenové specifikace. </w:t>
      </w:r>
    </w:p>
    <w:p w:rsidR="00FE2F2F" w:rsidRPr="00ED579C" w:rsidRDefault="00FE2F2F" w:rsidP="00FE2F2F">
      <w:pPr>
        <w:pStyle w:val="Hlavntextlnksmlouvy"/>
        <w:numPr>
          <w:ilvl w:val="1"/>
          <w:numId w:val="0"/>
        </w:numPr>
        <w:ind w:left="567" w:hanging="567"/>
      </w:pPr>
    </w:p>
    <w:p w:rsidR="00FE2F2F" w:rsidRPr="001426D2" w:rsidRDefault="00FE2F2F" w:rsidP="00FE2F2F">
      <w:pPr>
        <w:widowControl w:val="0"/>
        <w:pBdr>
          <w:top w:val="single" w:sz="6" w:space="1" w:color="000000"/>
          <w:left w:val="single" w:sz="6" w:space="1" w:color="000000"/>
          <w:bottom w:val="single" w:sz="6" w:space="1" w:color="000000"/>
          <w:right w:val="single" w:sz="6" w:space="1" w:color="000000"/>
        </w:pBdr>
        <w:tabs>
          <w:tab w:val="left" w:pos="8928"/>
        </w:tabs>
        <w:spacing w:after="0" w:line="276" w:lineRule="auto"/>
        <w:jc w:val="both"/>
        <w:rPr>
          <w:rFonts w:cs="Arial"/>
          <w:b/>
          <w:bCs/>
        </w:rPr>
      </w:pPr>
      <w:r w:rsidRPr="38F06E24">
        <w:rPr>
          <w:rFonts w:cs="Arial"/>
          <w:b/>
          <w:bCs/>
        </w:rPr>
        <w:t>Doložka dle § 23 zákona č. 129/2000 Sb., o krajích, ve znění pozdějších předpisů</w:t>
      </w:r>
    </w:p>
    <w:p w:rsidR="00FE2F2F" w:rsidRPr="001426D2" w:rsidRDefault="00FE2F2F" w:rsidP="00FE2F2F">
      <w:pPr>
        <w:widowControl w:val="0"/>
        <w:pBdr>
          <w:top w:val="single" w:sz="6" w:space="1" w:color="000000"/>
          <w:left w:val="single" w:sz="6" w:space="1" w:color="000000"/>
          <w:bottom w:val="single" w:sz="6" w:space="1" w:color="000000"/>
          <w:right w:val="single" w:sz="6" w:space="1" w:color="000000"/>
        </w:pBdr>
        <w:tabs>
          <w:tab w:val="left" w:pos="8928"/>
        </w:tabs>
        <w:spacing w:after="0" w:line="276" w:lineRule="auto"/>
        <w:jc w:val="both"/>
        <w:rPr>
          <w:rFonts w:cs="Arial"/>
        </w:rPr>
      </w:pPr>
      <w:r w:rsidRPr="38F06E24">
        <w:rPr>
          <w:rFonts w:cs="Arial"/>
        </w:rPr>
        <w:t>Schváleno orgánem kraje: </w:t>
      </w:r>
      <w:r>
        <w:rPr>
          <w:rFonts w:cs="Arial"/>
          <w:b/>
          <w:szCs w:val="20"/>
        </w:rPr>
        <w:t>Rada Zlínského Kraje</w:t>
      </w:r>
    </w:p>
    <w:p w:rsidR="00FE2F2F" w:rsidRPr="001426D2" w:rsidRDefault="00FE2F2F" w:rsidP="00FE2F2F">
      <w:pPr>
        <w:widowControl w:val="0"/>
        <w:pBdr>
          <w:top w:val="single" w:sz="6" w:space="1" w:color="000000"/>
          <w:left w:val="single" w:sz="6" w:space="1" w:color="000000"/>
          <w:bottom w:val="single" w:sz="6" w:space="1" w:color="000000"/>
          <w:right w:val="single" w:sz="6" w:space="1" w:color="000000"/>
        </w:pBdr>
        <w:tabs>
          <w:tab w:val="left" w:pos="8928"/>
        </w:tabs>
        <w:spacing w:after="0" w:line="276" w:lineRule="auto"/>
        <w:jc w:val="both"/>
        <w:rPr>
          <w:rFonts w:cs="Arial"/>
        </w:rPr>
      </w:pPr>
      <w:r w:rsidRPr="38F06E24">
        <w:rPr>
          <w:rFonts w:cs="Arial"/>
        </w:rPr>
        <w:t>Datum jednání a číslo usnesení: </w:t>
      </w:r>
      <w:r w:rsidRPr="006C05B8">
        <w:rPr>
          <w:rFonts w:cs="Arial"/>
          <w:b/>
          <w:szCs w:val="20"/>
        </w:rPr>
        <w:t>26. 6. 2023   0650/R16/23</w:t>
      </w:r>
    </w:p>
    <w:p w:rsidR="00FE2F2F" w:rsidRPr="001426D2" w:rsidRDefault="00FE2F2F" w:rsidP="00FE2F2F">
      <w:pPr>
        <w:widowControl w:val="0"/>
        <w:tabs>
          <w:tab w:val="left" w:pos="708"/>
          <w:tab w:val="left" w:pos="8928"/>
        </w:tabs>
        <w:spacing w:after="0" w:line="276" w:lineRule="auto"/>
        <w:jc w:val="both"/>
        <w:rPr>
          <w:rFonts w:cs="Arial"/>
          <w:snapToGrid w:val="0"/>
        </w:rPr>
      </w:pPr>
    </w:p>
    <w:p w:rsidR="00FE2F2F" w:rsidRDefault="00FE2F2F" w:rsidP="00FE2F2F">
      <w:pPr>
        <w:pStyle w:val="Hlavntextlnksmlouvy"/>
        <w:numPr>
          <w:ilvl w:val="1"/>
          <w:numId w:val="0"/>
        </w:numPr>
        <w:spacing w:line="276" w:lineRule="auto"/>
      </w:pPr>
    </w:p>
    <w:p w:rsidR="00FE2F2F" w:rsidRDefault="00FE2F2F" w:rsidP="00FE2F2F">
      <w:pPr>
        <w:pStyle w:val="Hlavntextlnksmlouvy"/>
        <w:numPr>
          <w:ilvl w:val="1"/>
          <w:numId w:val="0"/>
        </w:numPr>
        <w:spacing w:line="276" w:lineRule="auto"/>
      </w:pPr>
    </w:p>
    <w:p w:rsidR="00FE2F2F" w:rsidRDefault="00FE2F2F" w:rsidP="00FE2F2F">
      <w:pPr>
        <w:pStyle w:val="Hlavntextlnksmlouvy"/>
        <w:numPr>
          <w:ilvl w:val="1"/>
          <w:numId w:val="0"/>
        </w:numPr>
        <w:spacing w:line="276" w:lineRule="auto"/>
      </w:pPr>
    </w:p>
    <w:p w:rsidR="00FE2F2F" w:rsidRDefault="00FE2F2F" w:rsidP="00FE2F2F">
      <w:pPr>
        <w:pStyle w:val="Hlavntextlnksmlouvy"/>
        <w:numPr>
          <w:ilvl w:val="1"/>
          <w:numId w:val="0"/>
        </w:numPr>
        <w:spacing w:line="276" w:lineRule="auto"/>
      </w:pPr>
    </w:p>
    <w:p w:rsidR="00FE2F2F" w:rsidRDefault="00FE2F2F" w:rsidP="00FE2F2F">
      <w:pPr>
        <w:pStyle w:val="Hlavntextlnksmlouvy"/>
        <w:numPr>
          <w:ilvl w:val="1"/>
          <w:numId w:val="0"/>
        </w:numPr>
        <w:spacing w:line="276" w:lineRule="auto"/>
      </w:pPr>
    </w:p>
    <w:p w:rsidR="00FE2F2F" w:rsidRPr="00F75253" w:rsidRDefault="00FE2F2F" w:rsidP="00FE2F2F">
      <w:pPr>
        <w:pStyle w:val="Hlavntextlnksmlouvy"/>
        <w:numPr>
          <w:ilvl w:val="0"/>
          <w:numId w:val="0"/>
        </w:numPr>
        <w:spacing w:line="276" w:lineRule="auto"/>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FE2F2F" w:rsidTr="00535EC9">
        <w:trPr>
          <w:trHeight w:val="567"/>
          <w:jc w:val="center"/>
        </w:trPr>
        <w:tc>
          <w:tcPr>
            <w:tcW w:w="4531" w:type="dxa"/>
            <w:vAlign w:val="center"/>
          </w:tcPr>
          <w:p w:rsidR="00FE2F2F" w:rsidRDefault="00FE2F2F" w:rsidP="00535EC9">
            <w:pPr>
              <w:spacing w:line="276" w:lineRule="auto"/>
            </w:pPr>
            <w:r>
              <w:t>Za objednatele</w:t>
            </w:r>
          </w:p>
        </w:tc>
        <w:tc>
          <w:tcPr>
            <w:tcW w:w="4531" w:type="dxa"/>
            <w:vAlign w:val="center"/>
          </w:tcPr>
          <w:p w:rsidR="00FE2F2F" w:rsidRDefault="00FE2F2F" w:rsidP="00535EC9">
            <w:pPr>
              <w:spacing w:line="276" w:lineRule="auto"/>
            </w:pPr>
            <w:r>
              <w:t>Za dodavatele</w:t>
            </w:r>
          </w:p>
        </w:tc>
      </w:tr>
      <w:tr w:rsidR="00FE2F2F" w:rsidTr="00535EC9">
        <w:trPr>
          <w:trHeight w:val="567"/>
          <w:jc w:val="center"/>
        </w:trPr>
        <w:tc>
          <w:tcPr>
            <w:tcW w:w="4531" w:type="dxa"/>
            <w:vAlign w:val="center"/>
          </w:tcPr>
          <w:p w:rsidR="00FE2F2F" w:rsidRDefault="00FE2F2F" w:rsidP="00535EC9">
            <w:pPr>
              <w:spacing w:line="276" w:lineRule="auto"/>
            </w:pPr>
          </w:p>
        </w:tc>
        <w:tc>
          <w:tcPr>
            <w:tcW w:w="4531" w:type="dxa"/>
            <w:vAlign w:val="center"/>
          </w:tcPr>
          <w:p w:rsidR="00FE2F2F" w:rsidRDefault="00FE2F2F" w:rsidP="00535EC9">
            <w:pPr>
              <w:spacing w:line="276" w:lineRule="auto"/>
            </w:pPr>
          </w:p>
        </w:tc>
      </w:tr>
      <w:tr w:rsidR="00FE2F2F" w:rsidTr="00535EC9">
        <w:trPr>
          <w:trHeight w:val="567"/>
          <w:jc w:val="center"/>
        </w:trPr>
        <w:tc>
          <w:tcPr>
            <w:tcW w:w="4531" w:type="dxa"/>
            <w:vAlign w:val="center"/>
          </w:tcPr>
          <w:p w:rsidR="00FE2F2F" w:rsidRDefault="00FE2F2F" w:rsidP="00535EC9">
            <w:pPr>
              <w:spacing w:line="276" w:lineRule="auto"/>
            </w:pPr>
          </w:p>
        </w:tc>
        <w:tc>
          <w:tcPr>
            <w:tcW w:w="4531" w:type="dxa"/>
            <w:vAlign w:val="center"/>
          </w:tcPr>
          <w:p w:rsidR="00FE2F2F" w:rsidRDefault="00FE2F2F" w:rsidP="00535EC9">
            <w:pPr>
              <w:spacing w:line="276" w:lineRule="auto"/>
            </w:pPr>
          </w:p>
        </w:tc>
      </w:tr>
      <w:tr w:rsidR="00FE2F2F" w:rsidTr="00535EC9">
        <w:trPr>
          <w:trHeight w:val="567"/>
          <w:jc w:val="center"/>
        </w:trPr>
        <w:tc>
          <w:tcPr>
            <w:tcW w:w="4531" w:type="dxa"/>
            <w:vAlign w:val="center"/>
          </w:tcPr>
          <w:p w:rsidR="00FE2F2F" w:rsidRDefault="00FE2F2F" w:rsidP="00535EC9">
            <w:pPr>
              <w:spacing w:line="276" w:lineRule="auto"/>
            </w:pPr>
          </w:p>
        </w:tc>
        <w:tc>
          <w:tcPr>
            <w:tcW w:w="4531" w:type="dxa"/>
            <w:vAlign w:val="center"/>
          </w:tcPr>
          <w:p w:rsidR="00FE2F2F" w:rsidRDefault="00FE2F2F" w:rsidP="00535EC9">
            <w:pPr>
              <w:spacing w:line="276" w:lineRule="auto"/>
            </w:pPr>
          </w:p>
        </w:tc>
      </w:tr>
      <w:tr w:rsidR="00FE2F2F" w:rsidTr="00535EC9">
        <w:trPr>
          <w:trHeight w:val="567"/>
          <w:jc w:val="center"/>
        </w:trPr>
        <w:tc>
          <w:tcPr>
            <w:tcW w:w="4531" w:type="dxa"/>
            <w:vAlign w:val="center"/>
          </w:tcPr>
          <w:p w:rsidR="00FE2F2F" w:rsidRDefault="00FE2F2F" w:rsidP="00535EC9">
            <w:pPr>
              <w:pStyle w:val="Bezmezer"/>
              <w:spacing w:line="276" w:lineRule="auto"/>
              <w:jc w:val="center"/>
            </w:pPr>
            <w:r>
              <w:t>……………………</w:t>
            </w:r>
          </w:p>
          <w:p w:rsidR="00FE2F2F" w:rsidRDefault="00FE2F2F" w:rsidP="00535EC9">
            <w:pPr>
              <w:spacing w:line="276" w:lineRule="auto"/>
              <w:jc w:val="center"/>
            </w:pPr>
            <w:r>
              <w:rPr>
                <w:noProof/>
              </w:rPr>
              <w:t>Krhut Lubomír Mgr.</w:t>
            </w:r>
          </w:p>
          <w:p w:rsidR="00FE2F2F" w:rsidRDefault="00FE2F2F" w:rsidP="00535EC9">
            <w:pPr>
              <w:spacing w:line="276" w:lineRule="auto"/>
              <w:jc w:val="center"/>
            </w:pPr>
            <w:r>
              <w:rPr>
                <w:noProof/>
              </w:rPr>
              <w:t>ředitel</w:t>
            </w:r>
          </w:p>
        </w:tc>
        <w:tc>
          <w:tcPr>
            <w:tcW w:w="4531" w:type="dxa"/>
            <w:vAlign w:val="center"/>
          </w:tcPr>
          <w:p w:rsidR="00FE2F2F" w:rsidRDefault="00FE2F2F" w:rsidP="00535EC9">
            <w:pPr>
              <w:pStyle w:val="Bezmezer"/>
              <w:spacing w:line="276" w:lineRule="auto"/>
              <w:jc w:val="center"/>
            </w:pPr>
            <w:r>
              <w:t>……………………</w:t>
            </w:r>
          </w:p>
          <w:p w:rsidR="00FE2F2F" w:rsidRDefault="00FE2F2F" w:rsidP="00535EC9">
            <w:pPr>
              <w:spacing w:line="276" w:lineRule="auto"/>
              <w:jc w:val="center"/>
            </w:pPr>
            <w:r>
              <w:t xml:space="preserve">Tomáš Jančík </w:t>
            </w:r>
          </w:p>
          <w:p w:rsidR="00FE2F2F" w:rsidRDefault="00FE2F2F" w:rsidP="00535EC9">
            <w:pPr>
              <w:spacing w:line="276" w:lineRule="auto"/>
              <w:jc w:val="center"/>
            </w:pPr>
            <w:r>
              <w:t>ředitel regionálního centra</w:t>
            </w:r>
          </w:p>
        </w:tc>
      </w:tr>
    </w:tbl>
    <w:p w:rsidR="00FE2F2F" w:rsidRDefault="00FE2F2F" w:rsidP="00FE2F2F">
      <w:pPr>
        <w:pStyle w:val="Hlavntextlnksmlouvy"/>
        <w:numPr>
          <w:ilvl w:val="0"/>
          <w:numId w:val="0"/>
        </w:numPr>
        <w:spacing w:line="276" w:lineRule="auto"/>
        <w:ind w:left="142"/>
      </w:pPr>
    </w:p>
    <w:p w:rsidR="00FE2F2F" w:rsidRDefault="00FE2F2F" w:rsidP="00FE2F2F">
      <w:r>
        <w:br w:type="page"/>
      </w:r>
    </w:p>
    <w:p w:rsidR="00FE2F2F" w:rsidRPr="000D6F8A" w:rsidRDefault="00FE2F2F" w:rsidP="00FE2F2F">
      <w:pPr>
        <w:spacing w:after="265" w:line="245" w:lineRule="auto"/>
        <w:ind w:left="2844" w:hanging="2844"/>
        <w:rPr>
          <w:rFonts w:ascii="Times New Roman" w:eastAsia="Calibri" w:hAnsi="Times New Roman" w:cs="Times New Roman"/>
          <w:color w:val="000000"/>
          <w:sz w:val="24"/>
          <w:szCs w:val="24"/>
          <w:lang w:eastAsia="cs-CZ"/>
        </w:rPr>
      </w:pPr>
      <w:r w:rsidRPr="6718DBC0">
        <w:rPr>
          <w:rFonts w:ascii="Times New Roman" w:eastAsia="Calibri" w:hAnsi="Times New Roman" w:cs="Times New Roman"/>
          <w:b/>
          <w:bCs/>
          <w:color w:val="000000" w:themeColor="text1"/>
          <w:sz w:val="24"/>
          <w:szCs w:val="24"/>
          <w:lang w:eastAsia="cs-CZ"/>
        </w:rPr>
        <w:lastRenderedPageBreak/>
        <w:t xml:space="preserve">Příloha smlouvy – Přehled plnění a cenové specifikace </w:t>
      </w:r>
    </w:p>
    <w:tbl>
      <w:tblPr>
        <w:tblW w:w="9250" w:type="dxa"/>
        <w:tblInd w:w="-75" w:type="dxa"/>
        <w:tblCellMar>
          <w:left w:w="70" w:type="dxa"/>
          <w:right w:w="70" w:type="dxa"/>
        </w:tblCellMar>
        <w:tblLook w:val="04A0"/>
      </w:tblPr>
      <w:tblGrid>
        <w:gridCol w:w="1488"/>
        <w:gridCol w:w="7762"/>
      </w:tblGrid>
      <w:tr w:rsidR="00FE2F2F" w:rsidRPr="000D6F8A" w:rsidTr="00535EC9">
        <w:trPr>
          <w:trHeight w:val="340"/>
        </w:trPr>
        <w:tc>
          <w:tcPr>
            <w:tcW w:w="1488"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FE2F2F" w:rsidRPr="000D6F8A" w:rsidRDefault="00FE2F2F"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Produkt</w:t>
            </w:r>
          </w:p>
        </w:tc>
        <w:tc>
          <w:tcPr>
            <w:tcW w:w="7762" w:type="dxa"/>
            <w:tcBorders>
              <w:top w:val="single" w:sz="4" w:space="0" w:color="auto"/>
              <w:left w:val="nil"/>
              <w:bottom w:val="single" w:sz="4" w:space="0" w:color="auto"/>
              <w:right w:val="single" w:sz="4" w:space="0" w:color="auto"/>
            </w:tcBorders>
            <w:shd w:val="clear" w:color="auto" w:fill="E7E6E6" w:themeFill="background2"/>
            <w:noWrap/>
            <w:vAlign w:val="bottom"/>
            <w:hideMark/>
          </w:tcPr>
          <w:p w:rsidR="00FE2F2F" w:rsidRPr="000D6F8A" w:rsidRDefault="00FE2F2F"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Popis produktu</w:t>
            </w:r>
          </w:p>
        </w:tc>
      </w:tr>
      <w:tr w:rsidR="00FE2F2F" w:rsidRPr="000D6F8A" w:rsidTr="00535EC9">
        <w:trPr>
          <w:trHeight w:val="426"/>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rsidR="00FE2F2F" w:rsidRPr="000D6F8A" w:rsidRDefault="00FE2F2F"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AAD-38391</w:t>
            </w:r>
          </w:p>
        </w:tc>
        <w:tc>
          <w:tcPr>
            <w:tcW w:w="7762" w:type="dxa"/>
            <w:tcBorders>
              <w:top w:val="nil"/>
              <w:left w:val="nil"/>
              <w:bottom w:val="single" w:sz="4" w:space="0" w:color="auto"/>
              <w:right w:val="single" w:sz="4" w:space="0" w:color="auto"/>
            </w:tcBorders>
            <w:shd w:val="clear" w:color="auto" w:fill="auto"/>
            <w:noWrap/>
            <w:vAlign w:val="bottom"/>
            <w:hideMark/>
          </w:tcPr>
          <w:p w:rsidR="00FE2F2F" w:rsidRPr="000D6F8A" w:rsidRDefault="00FE2F2F"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M365 EDU A3 Unified ShrdSvr ALNG SubsVL MVL PerUsr</w:t>
            </w:r>
          </w:p>
        </w:tc>
      </w:tr>
      <w:tr w:rsidR="00FE2F2F" w:rsidRPr="000D6F8A" w:rsidTr="00535EC9">
        <w:trPr>
          <w:trHeight w:val="477"/>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rsidR="00FE2F2F" w:rsidRPr="000D6F8A" w:rsidRDefault="00FE2F2F"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AAD-38397</w:t>
            </w:r>
          </w:p>
        </w:tc>
        <w:tc>
          <w:tcPr>
            <w:tcW w:w="7762" w:type="dxa"/>
            <w:tcBorders>
              <w:top w:val="nil"/>
              <w:left w:val="nil"/>
              <w:bottom w:val="single" w:sz="4" w:space="0" w:color="auto"/>
              <w:right w:val="single" w:sz="4" w:space="0" w:color="auto"/>
            </w:tcBorders>
            <w:shd w:val="clear" w:color="auto" w:fill="auto"/>
            <w:noWrap/>
            <w:vAlign w:val="bottom"/>
            <w:hideMark/>
          </w:tcPr>
          <w:p w:rsidR="00FE2F2F" w:rsidRPr="000D6F8A" w:rsidRDefault="00FE2F2F"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M365 EDU A3 Unified ShrdSvr ALNG SubsVL MVL PerUsr STUUseBnft</w:t>
            </w:r>
          </w:p>
        </w:tc>
      </w:tr>
    </w:tbl>
    <w:p w:rsidR="00FE2F2F" w:rsidRPr="000D6F8A" w:rsidRDefault="00FE2F2F" w:rsidP="00FE2F2F">
      <w:pPr>
        <w:spacing w:after="25"/>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b/>
          <w:color w:val="000000"/>
          <w:sz w:val="24"/>
          <w:szCs w:val="24"/>
          <w:lang w:eastAsia="cs-CZ"/>
        </w:rPr>
        <w:t xml:space="preserve"> </w:t>
      </w:r>
    </w:p>
    <w:p w:rsidR="00FE2F2F" w:rsidRPr="000D6F8A" w:rsidRDefault="00FE2F2F" w:rsidP="00FE2F2F">
      <w:pPr>
        <w:spacing w:after="239" w:line="261" w:lineRule="auto"/>
        <w:ind w:left="-15" w:right="43"/>
        <w:jc w:val="both"/>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color w:val="000000"/>
          <w:sz w:val="24"/>
          <w:szCs w:val="24"/>
          <w:lang w:eastAsia="cs-CZ"/>
        </w:rPr>
        <w:t>Počet licencí odpovídá kvalifikovaným uživatelům vzdělávání.</w:t>
      </w:r>
    </w:p>
    <w:p w:rsidR="00FE2F2F" w:rsidRPr="000D6F8A" w:rsidRDefault="00FE2F2F" w:rsidP="00FE2F2F">
      <w:pPr>
        <w:spacing w:after="0"/>
        <w:rPr>
          <w:rFonts w:ascii="Calibri" w:eastAsia="Times New Roman" w:hAnsi="Calibri" w:cs="Times New Roman"/>
          <w:lang w:eastAsia="cs-CZ"/>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21"/>
        <w:gridCol w:w="1984"/>
        <w:gridCol w:w="1701"/>
        <w:gridCol w:w="3053"/>
        <w:gridCol w:w="2050"/>
      </w:tblGrid>
      <w:tr w:rsidR="00FE2F2F" w:rsidRPr="000D6F8A" w:rsidTr="00535EC9">
        <w:trPr>
          <w:trHeight w:val="228"/>
        </w:trPr>
        <w:tc>
          <w:tcPr>
            <w:tcW w:w="421" w:type="dxa"/>
            <w:shd w:val="clear" w:color="auto" w:fill="E7E6E6" w:themeFill="background2"/>
            <w:noWrap/>
            <w:vAlign w:val="center"/>
            <w:hideMark/>
          </w:tcPr>
          <w:p w:rsidR="00FE2F2F" w:rsidRPr="000D6F8A" w:rsidRDefault="00FE2F2F"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č.</w:t>
            </w:r>
          </w:p>
        </w:tc>
        <w:tc>
          <w:tcPr>
            <w:tcW w:w="1984" w:type="dxa"/>
            <w:shd w:val="clear" w:color="auto" w:fill="E7E6E6" w:themeFill="background2"/>
            <w:vAlign w:val="center"/>
            <w:hideMark/>
          </w:tcPr>
          <w:p w:rsidR="00FE2F2F" w:rsidRPr="000D6F8A" w:rsidRDefault="00FE2F2F"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Název organizace</w:t>
            </w:r>
          </w:p>
        </w:tc>
        <w:tc>
          <w:tcPr>
            <w:tcW w:w="1701" w:type="dxa"/>
            <w:shd w:val="clear" w:color="auto" w:fill="E7E6E6" w:themeFill="background2"/>
            <w:vAlign w:val="center"/>
            <w:hideMark/>
          </w:tcPr>
          <w:p w:rsidR="00FE2F2F" w:rsidRPr="000D6F8A" w:rsidRDefault="00FE2F2F"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Počáteční počet licencí CASA EES*</w:t>
            </w:r>
          </w:p>
        </w:tc>
        <w:tc>
          <w:tcPr>
            <w:tcW w:w="3053" w:type="dxa"/>
            <w:shd w:val="clear" w:color="auto" w:fill="E7E6E6" w:themeFill="background2"/>
            <w:vAlign w:val="center"/>
            <w:hideMark/>
          </w:tcPr>
          <w:p w:rsidR="00FE2F2F" w:rsidRPr="000D6F8A" w:rsidRDefault="00FE2F2F"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Jednotková cena licence CASA EES za 12 měsíců v EUR bez DPH</w:t>
            </w:r>
          </w:p>
          <w:p w:rsidR="00FE2F2F" w:rsidRPr="000D6F8A" w:rsidRDefault="00FE2F2F" w:rsidP="00535EC9">
            <w:pPr>
              <w:spacing w:after="0" w:line="240" w:lineRule="auto"/>
              <w:ind w:hanging="366"/>
              <w:jc w:val="both"/>
              <w:rPr>
                <w:rFonts w:eastAsia="Times New Roman" w:cs="Arial"/>
                <w:b/>
                <w:bCs/>
                <w:szCs w:val="20"/>
                <w:lang w:eastAsia="cs-CZ"/>
              </w:rPr>
            </w:pPr>
          </w:p>
        </w:tc>
        <w:tc>
          <w:tcPr>
            <w:tcW w:w="2050" w:type="dxa"/>
            <w:shd w:val="clear" w:color="auto" w:fill="E7E6E6" w:themeFill="background2"/>
            <w:vAlign w:val="center"/>
            <w:hideMark/>
          </w:tcPr>
          <w:p w:rsidR="00FE2F2F" w:rsidRPr="000D6F8A" w:rsidRDefault="00FE2F2F"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Jednotková cena licence CASA EES za 12 měsíců v EUR vč. DPH</w:t>
            </w:r>
          </w:p>
          <w:p w:rsidR="00FE2F2F" w:rsidRPr="000D6F8A" w:rsidRDefault="00FE2F2F" w:rsidP="00535EC9">
            <w:pPr>
              <w:spacing w:after="0" w:line="240" w:lineRule="auto"/>
              <w:ind w:hanging="366"/>
              <w:jc w:val="both"/>
              <w:rPr>
                <w:rFonts w:eastAsia="Times New Roman" w:cs="Arial"/>
                <w:b/>
                <w:bCs/>
                <w:szCs w:val="20"/>
                <w:lang w:eastAsia="cs-CZ"/>
              </w:rPr>
            </w:pPr>
          </w:p>
        </w:tc>
      </w:tr>
      <w:tr w:rsidR="00FE2F2F" w:rsidRPr="000D6F8A" w:rsidTr="00535EC9">
        <w:trPr>
          <w:trHeight w:val="149"/>
        </w:trPr>
        <w:tc>
          <w:tcPr>
            <w:tcW w:w="421" w:type="dxa"/>
            <w:shd w:val="clear" w:color="auto" w:fill="auto"/>
            <w:noWrap/>
            <w:vAlign w:val="bottom"/>
          </w:tcPr>
          <w:p w:rsidR="00FE2F2F" w:rsidRPr="000D6F8A" w:rsidRDefault="00FE2F2F" w:rsidP="00535EC9">
            <w:pPr>
              <w:spacing w:after="0" w:line="240" w:lineRule="auto"/>
              <w:jc w:val="right"/>
              <w:rPr>
                <w:rFonts w:eastAsia="Times New Roman" w:cs="Arial"/>
                <w:szCs w:val="20"/>
                <w:lang w:eastAsia="cs-CZ"/>
              </w:rPr>
            </w:pPr>
            <w:r w:rsidRPr="004E13FB">
              <w:rPr>
                <w:rFonts w:eastAsia="Times New Roman" w:cs="Arial"/>
                <w:noProof/>
                <w:szCs w:val="20"/>
                <w:lang w:eastAsia="cs-CZ"/>
              </w:rPr>
              <w:t>90</w:t>
            </w:r>
          </w:p>
        </w:tc>
        <w:tc>
          <w:tcPr>
            <w:tcW w:w="1984" w:type="dxa"/>
            <w:shd w:val="clear" w:color="auto" w:fill="auto"/>
            <w:noWrap/>
            <w:vAlign w:val="bottom"/>
          </w:tcPr>
          <w:p w:rsidR="00FE2F2F" w:rsidRPr="000D6F8A" w:rsidRDefault="00FE2F2F" w:rsidP="00535EC9">
            <w:pPr>
              <w:spacing w:after="0" w:line="240" w:lineRule="auto"/>
              <w:rPr>
                <w:rFonts w:eastAsia="Times New Roman" w:cs="Arial"/>
                <w:szCs w:val="20"/>
                <w:lang w:eastAsia="cs-CZ"/>
              </w:rPr>
            </w:pPr>
            <w:r w:rsidRPr="004E13FB">
              <w:rPr>
                <w:rFonts w:eastAsia="Times New Roman" w:cs="Arial"/>
                <w:noProof/>
                <w:szCs w:val="20"/>
                <w:lang w:eastAsia="cs-CZ"/>
              </w:rPr>
              <w:t>Dětský domov Zašová</w:t>
            </w:r>
          </w:p>
        </w:tc>
        <w:tc>
          <w:tcPr>
            <w:tcW w:w="1701" w:type="dxa"/>
            <w:shd w:val="clear" w:color="auto" w:fill="auto"/>
            <w:noWrap/>
            <w:vAlign w:val="bottom"/>
            <w:hideMark/>
          </w:tcPr>
          <w:p w:rsidR="00FE2F2F" w:rsidRPr="000D6F8A" w:rsidRDefault="00FE2F2F" w:rsidP="00535EC9">
            <w:pPr>
              <w:spacing w:after="0" w:line="240" w:lineRule="auto"/>
              <w:jc w:val="right"/>
              <w:rPr>
                <w:rFonts w:eastAsia="Times New Roman" w:cs="Arial"/>
                <w:szCs w:val="20"/>
                <w:lang w:eastAsia="cs-CZ"/>
              </w:rPr>
            </w:pPr>
            <w:r w:rsidRPr="004E13FB">
              <w:rPr>
                <w:rFonts w:eastAsia="Times New Roman" w:cs="Arial"/>
                <w:noProof/>
                <w:szCs w:val="20"/>
                <w:lang w:eastAsia="cs-CZ"/>
              </w:rPr>
              <w:t>15</w:t>
            </w:r>
          </w:p>
        </w:tc>
        <w:tc>
          <w:tcPr>
            <w:tcW w:w="3053" w:type="dxa"/>
            <w:shd w:val="clear" w:color="auto" w:fill="auto"/>
            <w:noWrap/>
            <w:vAlign w:val="bottom"/>
            <w:hideMark/>
          </w:tcPr>
          <w:p w:rsidR="00FE2F2F" w:rsidRPr="000D6F8A" w:rsidRDefault="00FE2F2F" w:rsidP="00535EC9">
            <w:pPr>
              <w:spacing w:after="0" w:line="240" w:lineRule="auto"/>
              <w:jc w:val="right"/>
              <w:rPr>
                <w:rFonts w:eastAsia="Times New Roman" w:cs="Arial"/>
                <w:szCs w:val="20"/>
                <w:lang w:eastAsia="cs-CZ"/>
              </w:rPr>
            </w:pPr>
            <w:r>
              <w:rPr>
                <w:rFonts w:eastAsia="Times New Roman" w:cs="Arial"/>
                <w:szCs w:val="20"/>
                <w:lang w:eastAsia="cs-CZ"/>
              </w:rPr>
              <w:t xml:space="preserve">42,35 </w:t>
            </w:r>
            <w:r w:rsidRPr="000D6F8A">
              <w:rPr>
                <w:rFonts w:eastAsia="Times New Roman" w:cs="Arial"/>
                <w:szCs w:val="20"/>
                <w:lang w:eastAsia="cs-CZ"/>
              </w:rPr>
              <w:t>EUR</w:t>
            </w:r>
          </w:p>
        </w:tc>
        <w:tc>
          <w:tcPr>
            <w:tcW w:w="2050" w:type="dxa"/>
            <w:shd w:val="clear" w:color="auto" w:fill="auto"/>
            <w:noWrap/>
            <w:vAlign w:val="bottom"/>
            <w:hideMark/>
          </w:tcPr>
          <w:p w:rsidR="00FE2F2F" w:rsidRPr="000D6F8A" w:rsidRDefault="00FE2F2F" w:rsidP="00535EC9">
            <w:pPr>
              <w:spacing w:after="0" w:line="240" w:lineRule="auto"/>
              <w:jc w:val="right"/>
              <w:rPr>
                <w:rFonts w:eastAsia="Times New Roman" w:cs="Arial"/>
                <w:szCs w:val="20"/>
                <w:lang w:eastAsia="cs-CZ"/>
              </w:rPr>
            </w:pPr>
            <w:r>
              <w:rPr>
                <w:rFonts w:eastAsia="Times New Roman" w:cs="Arial"/>
                <w:szCs w:val="20"/>
                <w:lang w:eastAsia="cs-CZ"/>
              </w:rPr>
              <w:t xml:space="preserve">51,24 </w:t>
            </w:r>
            <w:r w:rsidRPr="000D6F8A">
              <w:rPr>
                <w:rFonts w:eastAsia="Times New Roman" w:cs="Arial"/>
                <w:szCs w:val="20"/>
                <w:lang w:eastAsia="cs-CZ"/>
              </w:rPr>
              <w:t>EUR</w:t>
            </w:r>
          </w:p>
        </w:tc>
      </w:tr>
    </w:tbl>
    <w:p w:rsidR="00FE2F2F" w:rsidRPr="000D6F8A" w:rsidRDefault="00FE2F2F" w:rsidP="00FE2F2F">
      <w:pPr>
        <w:spacing w:after="0"/>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color w:val="000000"/>
          <w:sz w:val="24"/>
          <w:szCs w:val="24"/>
          <w:lang w:eastAsia="cs-CZ"/>
        </w:rPr>
        <w:t xml:space="preserve"> </w:t>
      </w:r>
    </w:p>
    <w:p w:rsidR="00FE2F2F" w:rsidRPr="000D6F8A" w:rsidRDefault="00FE2F2F" w:rsidP="00FE2F2F">
      <w:pPr>
        <w:spacing w:after="0"/>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b/>
          <w:color w:val="000000"/>
          <w:sz w:val="24"/>
          <w:szCs w:val="24"/>
          <w:lang w:eastAsia="cs-CZ"/>
        </w:rPr>
        <w:t xml:space="preserve"> </w:t>
      </w:r>
    </w:p>
    <w:p w:rsidR="00FE2F2F" w:rsidRPr="000D6F8A" w:rsidRDefault="00FE2F2F" w:rsidP="00FE2F2F">
      <w:pPr>
        <w:spacing w:after="0"/>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b/>
          <w:color w:val="000000"/>
          <w:sz w:val="24"/>
          <w:szCs w:val="24"/>
          <w:lang w:eastAsia="cs-CZ"/>
        </w:rPr>
        <w:t xml:space="preserve"> </w:t>
      </w:r>
    </w:p>
    <w:p w:rsidR="00953D22" w:rsidRPr="00FE2F2F" w:rsidRDefault="00953D22" w:rsidP="00FE2F2F"/>
    <w:sectPr w:rsidR="00953D22" w:rsidRPr="00FE2F2F" w:rsidSect="006C22D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889" w:rsidRDefault="00D84889" w:rsidP="006C22D3">
      <w:pPr>
        <w:spacing w:after="0" w:line="240" w:lineRule="auto"/>
      </w:pPr>
      <w:r>
        <w:separator/>
      </w:r>
    </w:p>
  </w:endnote>
  <w:endnote w:type="continuationSeparator" w:id="0">
    <w:p w:rsidR="00D84889" w:rsidRDefault="00D84889" w:rsidP="006C22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7082838"/>
      <w:docPartObj>
        <w:docPartGallery w:val="Page Numbers (Bottom of Page)"/>
        <w:docPartUnique/>
      </w:docPartObj>
    </w:sdtPr>
    <w:sdtContent>
      <w:sdt>
        <w:sdtPr>
          <w:id w:val="-216823523"/>
          <w:docPartObj>
            <w:docPartGallery w:val="Page Numbers (Top of Page)"/>
            <w:docPartUnique/>
          </w:docPartObj>
        </w:sdtPr>
        <w:sdtContent>
          <w:p w:rsidR="00D73D53" w:rsidRDefault="00FE2F2F">
            <w:pPr>
              <w:pStyle w:val="Zpat"/>
            </w:pPr>
            <w:r>
              <w:t xml:space="preserve">Stránka </w:t>
            </w:r>
            <w:r w:rsidR="006C22D3">
              <w:rPr>
                <w:b/>
                <w:bCs/>
                <w:color w:val="2B579A"/>
                <w:sz w:val="24"/>
                <w:szCs w:val="24"/>
                <w:shd w:val="clear" w:color="auto" w:fill="E6E6E6"/>
              </w:rPr>
              <w:fldChar w:fldCharType="begin"/>
            </w:r>
            <w:r>
              <w:rPr>
                <w:b/>
                <w:bCs/>
              </w:rPr>
              <w:instrText>PAGE</w:instrText>
            </w:r>
            <w:r w:rsidR="006C22D3">
              <w:rPr>
                <w:b/>
                <w:bCs/>
                <w:color w:val="2B579A"/>
                <w:sz w:val="24"/>
                <w:szCs w:val="24"/>
                <w:shd w:val="clear" w:color="auto" w:fill="E6E6E6"/>
              </w:rPr>
              <w:fldChar w:fldCharType="separate"/>
            </w:r>
            <w:r w:rsidR="009C11E3">
              <w:rPr>
                <w:b/>
                <w:bCs/>
                <w:noProof/>
              </w:rPr>
              <w:t>1</w:t>
            </w:r>
            <w:r w:rsidR="006C22D3">
              <w:rPr>
                <w:b/>
                <w:bCs/>
                <w:color w:val="2B579A"/>
                <w:sz w:val="24"/>
                <w:szCs w:val="24"/>
                <w:shd w:val="clear" w:color="auto" w:fill="E6E6E6"/>
              </w:rPr>
              <w:fldChar w:fldCharType="end"/>
            </w:r>
            <w:r>
              <w:t xml:space="preserve"> z </w:t>
            </w:r>
            <w:r w:rsidRPr="00724057">
              <w:rPr>
                <w:b/>
              </w:rPr>
              <w:t>7</w:t>
            </w:r>
          </w:p>
        </w:sdtContent>
      </w:sdt>
    </w:sdtContent>
  </w:sdt>
  <w:p w:rsidR="00D73D53" w:rsidRDefault="00D8488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889" w:rsidRDefault="00D84889" w:rsidP="006C22D3">
      <w:pPr>
        <w:spacing w:after="0" w:line="240" w:lineRule="auto"/>
      </w:pPr>
      <w:r>
        <w:separator/>
      </w:r>
    </w:p>
  </w:footnote>
  <w:footnote w:type="continuationSeparator" w:id="0">
    <w:p w:rsidR="00D84889" w:rsidRDefault="00D84889" w:rsidP="006C22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976E1"/>
    <w:multiLevelType w:val="multilevel"/>
    <w:tmpl w:val="79821448"/>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2rove"/>
      <w:lvlText w:val="%1.%2"/>
      <w:lvlJc w:val="left"/>
      <w:pPr>
        <w:ind w:left="567" w:hanging="567"/>
      </w:pPr>
      <w:rPr>
        <w:rFonts w:ascii="Arial" w:hAnsi="Arial" w:hint="default"/>
        <w:b w:val="0"/>
        <w:i w:val="0"/>
        <w:color w:val="auto"/>
        <w:sz w:val="20"/>
      </w:rPr>
    </w:lvl>
    <w:lvl w:ilvl="2">
      <w:start w:val="1"/>
      <w:numFmt w:val="lowerLetter"/>
      <w:pStyle w:val="3rove-kodstrann"/>
      <w:lvlText w:val="%1.%2.%3)"/>
      <w:lvlJc w:val="left"/>
      <w:pPr>
        <w:ind w:left="1304" w:hanging="737"/>
      </w:pPr>
      <w:rPr>
        <w:rFonts w:ascii="Arial" w:hAnsi="Arial" w:cstheme="minorBidi" w:hint="default"/>
        <w:b w:val="0"/>
        <w:i/>
        <w:color w:val="5B9BD5" w:themeColor="accent1"/>
        <w:sz w:val="20"/>
        <w:szCs w:val="16"/>
        <w:u w:val="none"/>
      </w:rPr>
    </w:lvl>
    <w:lvl w:ilvl="3">
      <w:start w:val="1"/>
      <w:numFmt w:val="lowerLetter"/>
      <w:pStyle w:val="3rove-trval"/>
      <w:lvlText w:val="%1.%2.%4)"/>
      <w:lvlJc w:val="left"/>
      <w:pPr>
        <w:tabs>
          <w:tab w:val="num" w:pos="992"/>
        </w:tabs>
        <w:ind w:left="1304" w:hanging="737"/>
      </w:pPr>
      <w:rPr>
        <w:rFonts w:ascii="Arial" w:hAnsi="Arial" w:hint="default"/>
        <w:b w:val="0"/>
        <w:i w:val="0"/>
        <w:color w:val="auto"/>
        <w:sz w:val="20"/>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1">
    <w:nsid w:val="31925955"/>
    <w:multiLevelType w:val="multilevel"/>
    <w:tmpl w:val="7864110A"/>
    <w:lvl w:ilvl="0">
      <w:start w:val="1"/>
      <w:numFmt w:val="decimal"/>
      <w:lvlText w:val="%1."/>
      <w:lvlJc w:val="center"/>
      <w:pPr>
        <w:ind w:left="431" w:hanging="142"/>
      </w:pPr>
      <w:rPr>
        <w:rFonts w:ascii="Arial" w:hAnsi="Arial" w:hint="default"/>
        <w:b/>
        <w:i w:val="0"/>
        <w:color w:val="auto"/>
        <w:sz w:val="20"/>
        <w:u w:val="none"/>
      </w:rPr>
    </w:lvl>
    <w:lvl w:ilvl="1">
      <w:start w:val="1"/>
      <w:numFmt w:val="decimal"/>
      <w:pStyle w:val="Hlavntextlnksmlouvy"/>
      <w:lvlText w:val="%1.%2"/>
      <w:lvlJc w:val="left"/>
      <w:pPr>
        <w:ind w:left="567" w:hanging="567"/>
      </w:pPr>
      <w:rPr>
        <w:rFonts w:ascii="Arial" w:hAnsi="Arial" w:hint="default"/>
        <w:b w:val="0"/>
        <w:i w:val="0"/>
        <w:color w:val="auto"/>
        <w:sz w:val="20"/>
      </w:rPr>
    </w:lvl>
    <w:lvl w:ilvl="2">
      <w:start w:val="1"/>
      <w:numFmt w:val="lowerLetter"/>
      <w:lvlText w:val="%1.%2.%3)"/>
      <w:lvlJc w:val="left"/>
      <w:pPr>
        <w:ind w:left="709" w:hanging="142"/>
      </w:pPr>
      <w:rPr>
        <w:rFonts w:ascii="Arial" w:eastAsiaTheme="minorHAnsi" w:hAnsi="Arial" w:cstheme="minorBidi" w:hint="default"/>
        <w:b w:val="0"/>
        <w:i w:val="0"/>
        <w:color w:val="auto"/>
        <w:sz w:val="20"/>
        <w:szCs w:val="16"/>
        <w:u w:val="none"/>
      </w:rPr>
    </w:lvl>
    <w:lvl w:ilvl="3">
      <w:start w:val="1"/>
      <w:numFmt w:val="lowerLetter"/>
      <w:lvlText w:val="%1.%2.%4)"/>
      <w:lvlJc w:val="left"/>
      <w:pPr>
        <w:tabs>
          <w:tab w:val="num" w:pos="992"/>
        </w:tabs>
        <w:ind w:left="1134" w:hanging="283"/>
      </w:pPr>
      <w:rPr>
        <w:rFonts w:ascii="Arial" w:hAnsi="Arial" w:hint="default"/>
        <w:b w:val="0"/>
        <w:i/>
        <w:color w:val="5B9BD5" w:themeColor="accent1"/>
        <w:sz w:val="16"/>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1"/>
    <w:footnote w:id="0"/>
  </w:footnotePr>
  <w:endnotePr>
    <w:endnote w:id="-1"/>
    <w:endnote w:id="0"/>
  </w:endnotePr>
  <w:compat/>
  <w:rsids>
    <w:rsidRoot w:val="00FE2F2F"/>
    <w:rsid w:val="00445391"/>
    <w:rsid w:val="006C22D3"/>
    <w:rsid w:val="00953D22"/>
    <w:rsid w:val="009C11E3"/>
    <w:rsid w:val="00D84889"/>
    <w:rsid w:val="00FE2F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22D3"/>
  </w:style>
  <w:style w:type="paragraph" w:styleId="Nadpis1">
    <w:name w:val="heading 1"/>
    <w:aliases w:val="Nadpis článku smlouvy,1. úroveň"/>
    <w:basedOn w:val="Normln"/>
    <w:next w:val="Hlavntextlnksmlouvy"/>
    <w:link w:val="Nadpis1Char"/>
    <w:qFormat/>
    <w:rsid w:val="00FE2F2F"/>
    <w:pPr>
      <w:keepNext/>
      <w:numPr>
        <w:numId w:val="2"/>
      </w:numPr>
      <w:spacing w:before="360"/>
      <w:jc w:val="center"/>
      <w:outlineLvl w:val="0"/>
    </w:pPr>
    <w:rPr>
      <w:rFonts w:ascii="Arial" w:hAnsi="Arial"/>
      <w:b/>
      <w:kern w:val="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článku smlouvy Char,1. úroveň Char"/>
    <w:basedOn w:val="Standardnpsmoodstavce"/>
    <w:link w:val="Nadpis1"/>
    <w:rsid w:val="00FE2F2F"/>
    <w:rPr>
      <w:rFonts w:ascii="Arial" w:hAnsi="Arial"/>
      <w:b/>
      <w:kern w:val="0"/>
      <w:sz w:val="20"/>
    </w:rPr>
  </w:style>
  <w:style w:type="paragraph" w:customStyle="1" w:styleId="Hlavntextlnksmlouvy">
    <w:name w:val="Hlavní text článků smlouvy"/>
    <w:basedOn w:val="Normln"/>
    <w:uiPriority w:val="1"/>
    <w:qFormat/>
    <w:rsid w:val="00FE2F2F"/>
    <w:pPr>
      <w:numPr>
        <w:ilvl w:val="1"/>
        <w:numId w:val="1"/>
      </w:numPr>
      <w:jc w:val="both"/>
    </w:pPr>
    <w:rPr>
      <w:rFonts w:ascii="Arial" w:hAnsi="Arial"/>
      <w:kern w:val="0"/>
      <w:sz w:val="20"/>
    </w:rPr>
  </w:style>
  <w:style w:type="paragraph" w:styleId="Zpat">
    <w:name w:val="footer"/>
    <w:basedOn w:val="Normln"/>
    <w:link w:val="ZpatChar"/>
    <w:uiPriority w:val="99"/>
    <w:semiHidden/>
    <w:rsid w:val="00FE2F2F"/>
    <w:pPr>
      <w:tabs>
        <w:tab w:val="center" w:pos="4536"/>
        <w:tab w:val="right" w:pos="9072"/>
      </w:tabs>
      <w:spacing w:after="0" w:line="240" w:lineRule="auto"/>
    </w:pPr>
    <w:rPr>
      <w:rFonts w:ascii="Arial" w:hAnsi="Arial"/>
      <w:kern w:val="0"/>
      <w:sz w:val="20"/>
    </w:rPr>
  </w:style>
  <w:style w:type="character" w:customStyle="1" w:styleId="ZpatChar">
    <w:name w:val="Zápatí Char"/>
    <w:basedOn w:val="Standardnpsmoodstavce"/>
    <w:link w:val="Zpat"/>
    <w:uiPriority w:val="99"/>
    <w:semiHidden/>
    <w:rsid w:val="00FE2F2F"/>
    <w:rPr>
      <w:rFonts w:ascii="Arial" w:hAnsi="Arial"/>
      <w:kern w:val="0"/>
      <w:sz w:val="20"/>
    </w:rPr>
  </w:style>
  <w:style w:type="paragraph" w:styleId="Bezmezer">
    <w:name w:val="No Spacing"/>
    <w:uiPriority w:val="4"/>
    <w:qFormat/>
    <w:rsid w:val="00FE2F2F"/>
    <w:pPr>
      <w:spacing w:after="0" w:line="240" w:lineRule="auto"/>
    </w:pPr>
    <w:rPr>
      <w:rFonts w:ascii="Arial" w:hAnsi="Arial"/>
      <w:kern w:val="0"/>
      <w:sz w:val="20"/>
    </w:rPr>
  </w:style>
  <w:style w:type="table" w:styleId="Mkatabulky">
    <w:name w:val="Table Grid"/>
    <w:basedOn w:val="Normlntabulka"/>
    <w:uiPriority w:val="39"/>
    <w:rsid w:val="00FE2F2F"/>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
    <w:link w:val="ZkladntextChar"/>
    <w:uiPriority w:val="99"/>
    <w:rsid w:val="00FE2F2F"/>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kern w:val="0"/>
      <w:sz w:val="24"/>
      <w:szCs w:val="20"/>
      <w:lang w:eastAsia="cs-CZ"/>
    </w:rPr>
  </w:style>
  <w:style w:type="character" w:customStyle="1" w:styleId="ZkladntextChar">
    <w:name w:val="Základní text Char"/>
    <w:basedOn w:val="Standardnpsmoodstavce"/>
    <w:link w:val="Zkladntext"/>
    <w:uiPriority w:val="99"/>
    <w:rsid w:val="00FE2F2F"/>
    <w:rPr>
      <w:rFonts w:ascii="Courier New" w:eastAsia="Times New Roman" w:hAnsi="Courier New" w:cs="Times New Roman"/>
      <w:kern w:val="0"/>
      <w:sz w:val="24"/>
      <w:szCs w:val="20"/>
      <w:lang w:eastAsia="cs-CZ"/>
    </w:rPr>
  </w:style>
  <w:style w:type="paragraph" w:customStyle="1" w:styleId="2rove">
    <w:name w:val="2. úroveň"/>
    <w:basedOn w:val="Normln"/>
    <w:uiPriority w:val="1"/>
    <w:qFormat/>
    <w:rsid w:val="00FE2F2F"/>
    <w:pPr>
      <w:numPr>
        <w:ilvl w:val="1"/>
        <w:numId w:val="2"/>
      </w:numPr>
      <w:spacing w:before="60" w:after="60" w:line="240" w:lineRule="auto"/>
      <w:jc w:val="both"/>
      <w:outlineLvl w:val="1"/>
    </w:pPr>
    <w:rPr>
      <w:rFonts w:ascii="Arial" w:hAnsi="Arial"/>
      <w:kern w:val="0"/>
      <w:sz w:val="20"/>
    </w:rPr>
  </w:style>
  <w:style w:type="paragraph" w:customStyle="1" w:styleId="3rove-kodstrann">
    <w:name w:val="3. úroveň - k odstranění"/>
    <w:basedOn w:val="2rove"/>
    <w:uiPriority w:val="2"/>
    <w:qFormat/>
    <w:rsid w:val="00FE2F2F"/>
    <w:pPr>
      <w:numPr>
        <w:ilvl w:val="2"/>
      </w:numPr>
      <w:spacing w:before="0"/>
      <w:outlineLvl w:val="2"/>
    </w:pPr>
  </w:style>
  <w:style w:type="paragraph" w:customStyle="1" w:styleId="3rove-trval">
    <w:name w:val="3. úroveň - trvalá"/>
    <w:basedOn w:val="3rove-kodstrann"/>
    <w:uiPriority w:val="3"/>
    <w:qFormat/>
    <w:rsid w:val="00FE2F2F"/>
    <w:pPr>
      <w:numPr>
        <w:ilvl w:val="3"/>
      </w:numPr>
    </w:pPr>
  </w:style>
  <w:style w:type="character" w:customStyle="1" w:styleId="Kvbruaodstrann">
    <w:name w:val="K výběru a odstranění"/>
    <w:basedOn w:val="Standardnpsmoodstavce"/>
    <w:uiPriority w:val="1"/>
    <w:qFormat/>
    <w:rsid w:val="00FE2F2F"/>
    <w:rPr>
      <w:i/>
      <w:color w:val="5B9BD5" w:themeColor="accent1"/>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2681</Words>
  <Characters>15819</Characters>
  <Application>Microsoft Office Word</Application>
  <DocSecurity>0</DocSecurity>
  <Lines>131</Lines>
  <Paragraphs>36</Paragraphs>
  <ScaleCrop>false</ScaleCrop>
  <Company>KR Zlinsky E3</Company>
  <LinksUpToDate>false</LinksUpToDate>
  <CharactersWithSpaces>18464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Šipka Radek</dc:creator>
  <cp:lastModifiedBy>hospodarka</cp:lastModifiedBy>
  <cp:revision>2</cp:revision>
  <dcterms:created xsi:type="dcterms:W3CDTF">2023-09-07T11:52:00Z</dcterms:created>
  <dcterms:modified xsi:type="dcterms:W3CDTF">2023-09-07T11:52:00Z</dcterms:modified>
</cp:coreProperties>
</file>