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5" w:type="pct"/>
        <w:jc w:val="center"/>
        <w:tblLook w:val="0000" w:firstRow="0" w:lastRow="0" w:firstColumn="0" w:lastColumn="0" w:noHBand="0" w:noVBand="0"/>
      </w:tblPr>
      <w:tblGrid>
        <w:gridCol w:w="1365"/>
        <w:gridCol w:w="6631"/>
        <w:gridCol w:w="1373"/>
      </w:tblGrid>
      <w:tr w:rsidR="00F64DDB" w:rsidRPr="00BE2300" w14:paraId="07280C0F" w14:textId="77777777" w:rsidTr="00800E9C">
        <w:trPr>
          <w:trHeight w:val="2049"/>
          <w:jc w:val="center"/>
        </w:trPr>
        <w:tc>
          <w:tcPr>
            <w:tcW w:w="5000" w:type="pct"/>
            <w:gridSpan w:val="3"/>
          </w:tcPr>
          <w:p w14:paraId="141218E0" w14:textId="77777777" w:rsidR="00F64DDB" w:rsidRPr="00BE2300" w:rsidRDefault="00F64DDB" w:rsidP="00800E9C">
            <w:pPr>
              <w:spacing w:line="240" w:lineRule="auto"/>
              <w:ind w:left="0"/>
              <w:jc w:val="right"/>
              <w:rPr>
                <w:caps/>
                <w:sz w:val="18"/>
                <w:szCs w:val="18"/>
              </w:rPr>
            </w:pPr>
          </w:p>
          <w:p w14:paraId="155107B8" w14:textId="77777777" w:rsidR="00F64DDB" w:rsidRPr="00BE2300" w:rsidRDefault="00F64DDB" w:rsidP="00800E9C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60A1D61D" w14:textId="77777777" w:rsidR="00F64DDB" w:rsidRPr="00BE2300" w:rsidRDefault="00F64DDB" w:rsidP="00800E9C">
            <w:pPr>
              <w:spacing w:line="240" w:lineRule="auto"/>
              <w:ind w:left="0"/>
              <w:jc w:val="center"/>
            </w:pPr>
          </w:p>
          <w:p w14:paraId="3BA0002F" w14:textId="77777777" w:rsidR="00F64DDB" w:rsidRPr="00BE2300" w:rsidRDefault="00F64DDB" w:rsidP="00800E9C">
            <w:pPr>
              <w:spacing w:line="240" w:lineRule="auto"/>
              <w:ind w:left="0"/>
              <w:jc w:val="center"/>
            </w:pPr>
          </w:p>
          <w:p w14:paraId="0433E943" w14:textId="77777777" w:rsidR="00F64DDB" w:rsidRPr="00BE2300" w:rsidRDefault="00F64DDB" w:rsidP="00800E9C">
            <w:pPr>
              <w:spacing w:line="240" w:lineRule="auto"/>
              <w:ind w:left="0"/>
              <w:jc w:val="center"/>
            </w:pPr>
          </w:p>
          <w:p w14:paraId="56886F2D" w14:textId="77777777" w:rsidR="00F64DDB" w:rsidRPr="00BE2300" w:rsidRDefault="00F64DDB" w:rsidP="00800E9C">
            <w:pPr>
              <w:spacing w:line="240" w:lineRule="auto"/>
              <w:ind w:left="0"/>
              <w:jc w:val="center"/>
            </w:pPr>
          </w:p>
          <w:p w14:paraId="4B1E0842" w14:textId="77777777" w:rsidR="00F64DDB" w:rsidRPr="00BE2300" w:rsidRDefault="00F64DDB" w:rsidP="00800E9C">
            <w:pPr>
              <w:spacing w:line="240" w:lineRule="auto"/>
              <w:ind w:left="0"/>
              <w:jc w:val="center"/>
            </w:pPr>
          </w:p>
          <w:p w14:paraId="5A2FAFEE" w14:textId="77777777" w:rsidR="00F64DDB" w:rsidRPr="00BE2300" w:rsidRDefault="00F64DDB" w:rsidP="005F1176">
            <w:pPr>
              <w:spacing w:before="1080" w:line="240" w:lineRule="auto"/>
              <w:ind w:left="0"/>
              <w:jc w:val="center"/>
            </w:pPr>
            <w:r w:rsidRPr="00BE2300">
              <w:t>KE ZLIČÍNU S.R.O.</w:t>
            </w:r>
          </w:p>
          <w:p w14:paraId="727D2323" w14:textId="76028B60" w:rsidR="00F64DDB" w:rsidRPr="00BE2300" w:rsidRDefault="00FD72E5" w:rsidP="00800E9C">
            <w:pPr>
              <w:spacing w:line="240" w:lineRule="auto"/>
              <w:ind w:left="0"/>
              <w:jc w:val="center"/>
            </w:pPr>
            <w:r>
              <w:t>a</w:t>
            </w:r>
          </w:p>
          <w:p w14:paraId="45B9E236" w14:textId="5AA9C5D4" w:rsidR="00F64DDB" w:rsidRPr="00BE2300" w:rsidRDefault="00FD72E5" w:rsidP="005F1176">
            <w:pPr>
              <w:spacing w:after="3120" w:line="240" w:lineRule="auto"/>
              <w:ind w:left="0"/>
              <w:jc w:val="center"/>
            </w:pPr>
            <w:r>
              <w:t xml:space="preserve">Městská část Praha – Zličín  </w:t>
            </w:r>
          </w:p>
        </w:tc>
      </w:tr>
      <w:tr w:rsidR="00F64DDB" w:rsidRPr="00BE2300" w14:paraId="6AC8772B" w14:textId="77777777" w:rsidTr="00800E9C">
        <w:trPr>
          <w:trHeight w:val="1087"/>
          <w:jc w:val="center"/>
        </w:trPr>
        <w:tc>
          <w:tcPr>
            <w:tcW w:w="728" w:type="pct"/>
            <w:vAlign w:val="center"/>
          </w:tcPr>
          <w:p w14:paraId="26635825" w14:textId="77777777" w:rsidR="00F64DDB" w:rsidRPr="00BE2300" w:rsidRDefault="00F64DDB" w:rsidP="00800E9C">
            <w:pPr>
              <w:pStyle w:val="Normln-sted"/>
            </w:pPr>
          </w:p>
        </w:tc>
        <w:tc>
          <w:tcPr>
            <w:tcW w:w="353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C393BDD" w14:textId="3159DAED" w:rsidR="00F64DDB" w:rsidRPr="00BE2300" w:rsidRDefault="00F64DDB" w:rsidP="00800E9C">
            <w:pPr>
              <w:pStyle w:val="Normln-sted"/>
              <w:spacing w:before="240" w:after="240"/>
              <w:rPr>
                <w:caps/>
              </w:rPr>
            </w:pPr>
            <w:r w:rsidRPr="00BE2300">
              <w:rPr>
                <w:bCs/>
                <w:caps/>
              </w:rPr>
              <w:t>KUPNÍ smlouva</w:t>
            </w:r>
          </w:p>
        </w:tc>
        <w:tc>
          <w:tcPr>
            <w:tcW w:w="733" w:type="pct"/>
            <w:vAlign w:val="center"/>
          </w:tcPr>
          <w:p w14:paraId="4ABA5E82" w14:textId="77777777" w:rsidR="00F64DDB" w:rsidRPr="00BE2300" w:rsidRDefault="00F64DDB" w:rsidP="00800E9C">
            <w:pPr>
              <w:pStyle w:val="Normln-sted"/>
            </w:pPr>
          </w:p>
        </w:tc>
      </w:tr>
    </w:tbl>
    <w:p w14:paraId="556202C4" w14:textId="17E9A904" w:rsidR="00133CBF" w:rsidRPr="00BE2300" w:rsidRDefault="00133CBF" w:rsidP="00185C60">
      <w:pPr>
        <w:pStyle w:val="Normln-vlevo"/>
        <w:pageBreakBefore/>
        <w:jc w:val="both"/>
      </w:pPr>
      <w:r w:rsidRPr="00BE2300">
        <w:rPr>
          <w:b/>
          <w:bCs/>
          <w:caps/>
        </w:rPr>
        <w:lastRenderedPageBreak/>
        <w:t>T</w:t>
      </w:r>
      <w:r w:rsidRPr="00BE2300">
        <w:rPr>
          <w:b/>
          <w:caps/>
        </w:rPr>
        <w:t xml:space="preserve">ATO </w:t>
      </w:r>
      <w:r w:rsidR="0039570D" w:rsidRPr="00BE2300">
        <w:rPr>
          <w:b/>
          <w:caps/>
        </w:rPr>
        <w:t>k</w:t>
      </w:r>
      <w:r w:rsidR="00185C60" w:rsidRPr="00BE2300">
        <w:rPr>
          <w:b/>
          <w:bCs/>
          <w:caps/>
        </w:rPr>
        <w:t>upní</w:t>
      </w:r>
      <w:r w:rsidR="0039570D" w:rsidRPr="00BE2300">
        <w:rPr>
          <w:b/>
          <w:bCs/>
          <w:caps/>
        </w:rPr>
        <w:t xml:space="preserve"> smlouva</w:t>
      </w:r>
      <w:r w:rsidRPr="00BE2300">
        <w:rPr>
          <w:b/>
          <w:bCs/>
          <w:caps/>
        </w:rPr>
        <w:t xml:space="preserve"> </w:t>
      </w:r>
      <w:r w:rsidRPr="00BE2300">
        <w:t>(tato "</w:t>
      </w:r>
      <w:r w:rsidRPr="00BE2300">
        <w:rPr>
          <w:b/>
        </w:rPr>
        <w:t>Smlouva</w:t>
      </w:r>
      <w:r w:rsidRPr="00BE2300">
        <w:t xml:space="preserve">") </w:t>
      </w:r>
      <w:r w:rsidRPr="00BE2300">
        <w:rPr>
          <w:bCs/>
        </w:rPr>
        <w:t>byla uzavřena níže uvedeného dne, měsíce a roku</w:t>
      </w:r>
    </w:p>
    <w:p w14:paraId="2C1100FB" w14:textId="77777777" w:rsidR="00133CBF" w:rsidRPr="00BE2300" w:rsidRDefault="00133CBF" w:rsidP="00133CBF">
      <w:pPr>
        <w:pStyle w:val="Normln-vlevo"/>
      </w:pPr>
      <w:r w:rsidRPr="00BE2300">
        <w:rPr>
          <w:b/>
        </w:rPr>
        <w:t>MEZI</w:t>
      </w:r>
      <w:r w:rsidRPr="00BE2300">
        <w:t>:</w:t>
      </w:r>
    </w:p>
    <w:p w14:paraId="61C3F14F" w14:textId="27C875EE" w:rsidR="00053E9F" w:rsidRPr="00BE2300" w:rsidRDefault="00053E9F" w:rsidP="00053E9F">
      <w:pPr>
        <w:pStyle w:val="ListArabic1"/>
      </w:pPr>
      <w:r w:rsidRPr="00BE2300">
        <w:rPr>
          <w:b/>
        </w:rPr>
        <w:t>Ke Zličínu s.r.o.</w:t>
      </w:r>
      <w:r w:rsidRPr="00BE2300">
        <w:t xml:space="preserve">, se sídlem Za Bažantnicí 51, Poděbrady III, 290 01 Poděbrady, IČO: 059 26 718, zapsaná v obchodním rejstříku vedeném Městským soudem v Praze, </w:t>
      </w:r>
      <w:proofErr w:type="spellStart"/>
      <w:r w:rsidRPr="00BE2300">
        <w:t>sp</w:t>
      </w:r>
      <w:proofErr w:type="spellEnd"/>
      <w:r w:rsidRPr="00BE2300">
        <w:t>. zn. C 272948 (dále jen "</w:t>
      </w:r>
      <w:r w:rsidRPr="00BE2300">
        <w:rPr>
          <w:b/>
          <w:bCs/>
        </w:rPr>
        <w:t>Prodávající</w:t>
      </w:r>
      <w:r w:rsidRPr="00BE2300">
        <w:t>"); a</w:t>
      </w:r>
    </w:p>
    <w:p w14:paraId="350D50DF" w14:textId="6F376351" w:rsidR="00053E9F" w:rsidRPr="00BE2300" w:rsidRDefault="00FD72E5" w:rsidP="009020F0">
      <w:pPr>
        <w:pStyle w:val="ListArabic1"/>
      </w:pPr>
      <w:r>
        <w:rPr>
          <w:b/>
        </w:rPr>
        <w:t xml:space="preserve">Městská </w:t>
      </w:r>
      <w:proofErr w:type="gramStart"/>
      <w:r>
        <w:rPr>
          <w:b/>
        </w:rPr>
        <w:t>část  Praha</w:t>
      </w:r>
      <w:proofErr w:type="gramEnd"/>
      <w:r>
        <w:rPr>
          <w:b/>
        </w:rPr>
        <w:t xml:space="preserve"> – Zličín</w:t>
      </w:r>
      <w:r w:rsidRPr="00795780">
        <w:rPr>
          <w:bCs/>
        </w:rPr>
        <w:t xml:space="preserve">, se sídlem Tylovická 207/2, 155 21  Praha – Zličín, IČ: 00241881, zastoupená JUDr. Martou </w:t>
      </w:r>
      <w:proofErr w:type="spellStart"/>
      <w:r w:rsidRPr="00795780">
        <w:rPr>
          <w:bCs/>
        </w:rPr>
        <w:t>Koropeckou</w:t>
      </w:r>
      <w:proofErr w:type="spellEnd"/>
      <w:r w:rsidRPr="00795780">
        <w:rPr>
          <w:bCs/>
        </w:rPr>
        <w:t xml:space="preserve">, starostkou MČ  </w:t>
      </w:r>
      <w:r w:rsidR="00053E9F" w:rsidRPr="00795780">
        <w:rPr>
          <w:bCs/>
        </w:rPr>
        <w:t xml:space="preserve">(dále </w:t>
      </w:r>
      <w:r w:rsidR="00053E9F" w:rsidRPr="00BE2300">
        <w:t>jen "</w:t>
      </w:r>
      <w:r w:rsidR="00053E9F" w:rsidRPr="00BE2300">
        <w:rPr>
          <w:b/>
          <w:bCs/>
        </w:rPr>
        <w:t>Kupující</w:t>
      </w:r>
      <w:r w:rsidR="00053E9F" w:rsidRPr="00BE2300">
        <w:t>").</w:t>
      </w:r>
    </w:p>
    <w:p w14:paraId="04382602" w14:textId="77777777" w:rsidR="00C35D81" w:rsidRPr="00BE2300" w:rsidRDefault="00C35D81" w:rsidP="00C35D81">
      <w:pPr>
        <w:pStyle w:val="Normln-vlevo"/>
        <w:jc w:val="both"/>
      </w:pPr>
      <w:r w:rsidRPr="00BE2300">
        <w:t>(</w:t>
      </w:r>
      <w:r w:rsidR="0039570D" w:rsidRPr="00BE2300">
        <w:t>P</w:t>
      </w:r>
      <w:r w:rsidRPr="00BE2300">
        <w:t xml:space="preserve">rodávající a </w:t>
      </w:r>
      <w:r w:rsidR="0039570D" w:rsidRPr="00BE2300">
        <w:t>K</w:t>
      </w:r>
      <w:r w:rsidRPr="00BE2300">
        <w:t>upující dále společně jen "</w:t>
      </w:r>
      <w:r w:rsidRPr="00BE2300">
        <w:rPr>
          <w:b/>
        </w:rPr>
        <w:t>Strany</w:t>
      </w:r>
      <w:r w:rsidRPr="00BE2300">
        <w:t>", samostatně též "</w:t>
      </w:r>
      <w:r w:rsidRPr="00BE2300">
        <w:rPr>
          <w:b/>
        </w:rPr>
        <w:t>Strana</w:t>
      </w:r>
      <w:r w:rsidRPr="00BE2300">
        <w:t>".)</w:t>
      </w:r>
    </w:p>
    <w:p w14:paraId="7916DCBC" w14:textId="77777777" w:rsidR="00133CBF" w:rsidRPr="00BE2300" w:rsidRDefault="00133CBF" w:rsidP="00133CBF">
      <w:pPr>
        <w:pStyle w:val="Normln-vlevo"/>
      </w:pPr>
      <w:r w:rsidRPr="00BE2300">
        <w:rPr>
          <w:b/>
        </w:rPr>
        <w:t>VZHLEDEM K TOMU, ŽE</w:t>
      </w:r>
      <w:r w:rsidRPr="00BE2300">
        <w:t>:</w:t>
      </w:r>
    </w:p>
    <w:p w14:paraId="7D1F1978" w14:textId="698F8A32" w:rsidR="00C35D81" w:rsidRPr="00BE2300" w:rsidRDefault="0039570D" w:rsidP="00EC4AB7">
      <w:pPr>
        <w:pStyle w:val="LISTALPHACAPS1"/>
      </w:pPr>
      <w:r w:rsidRPr="00BE2300">
        <w:t>P</w:t>
      </w:r>
      <w:r w:rsidR="00C35D81" w:rsidRPr="00BE2300">
        <w:t>rodávající je výlučným vlastníkem</w:t>
      </w:r>
      <w:r w:rsidR="00BF1E48" w:rsidRPr="00BE2300">
        <w:t xml:space="preserve"> </w:t>
      </w:r>
      <w:r w:rsidR="00EC4AB7" w:rsidRPr="00BE2300">
        <w:t>Předmětu převodu</w:t>
      </w:r>
      <w:r w:rsidR="00C35D81" w:rsidRPr="00BE2300">
        <w:t xml:space="preserve"> (jak je tento pojem definován níže)</w:t>
      </w:r>
      <w:r w:rsidR="00EC4AB7" w:rsidRPr="00BE2300">
        <w:t>.</w:t>
      </w:r>
    </w:p>
    <w:p w14:paraId="2D21167E" w14:textId="64913C3D" w:rsidR="00C35D81" w:rsidRPr="00BE2300" w:rsidRDefault="0039570D" w:rsidP="00C35D81">
      <w:pPr>
        <w:pStyle w:val="LISTALPHACAPS1"/>
      </w:pPr>
      <w:r w:rsidRPr="00BE2300">
        <w:t>P</w:t>
      </w:r>
      <w:r w:rsidR="00C35D81" w:rsidRPr="00BE2300">
        <w:t xml:space="preserve">rodávající má zájem prodat </w:t>
      </w:r>
      <w:r w:rsidR="0004745C" w:rsidRPr="00BE2300">
        <w:t>Předm</w:t>
      </w:r>
      <w:r w:rsidR="001A57B1" w:rsidRPr="00BE2300">
        <w:t>ět</w:t>
      </w:r>
      <w:r w:rsidR="0004745C" w:rsidRPr="00BE2300">
        <w:t xml:space="preserve"> převodu </w:t>
      </w:r>
      <w:r w:rsidRPr="00BE2300">
        <w:t>K</w:t>
      </w:r>
      <w:r w:rsidR="00C35D81" w:rsidRPr="00BE2300">
        <w:t xml:space="preserve">upujícímu a </w:t>
      </w:r>
      <w:r w:rsidRPr="00BE2300">
        <w:t>K</w:t>
      </w:r>
      <w:r w:rsidR="00C35D81" w:rsidRPr="00BE2300">
        <w:t xml:space="preserve">upující si přeje </w:t>
      </w:r>
      <w:r w:rsidR="0004745C" w:rsidRPr="00BE2300">
        <w:t xml:space="preserve">Předmět převodu </w:t>
      </w:r>
      <w:r w:rsidR="00C35D81" w:rsidRPr="00BE2300">
        <w:t xml:space="preserve">koupit </w:t>
      </w:r>
      <w:r w:rsidR="00FD72E5" w:rsidRPr="00BF1E48">
        <w:t xml:space="preserve">do </w:t>
      </w:r>
      <w:r w:rsidR="00FD72E5">
        <w:t>vlastnictví Hl. m. Prahy se svěřenou správou pro Městskou část  Praha – Zličín</w:t>
      </w:r>
      <w:r w:rsidR="00FD72E5" w:rsidRPr="00BF1E48">
        <w:t>,</w:t>
      </w:r>
      <w:r w:rsidR="00FD72E5">
        <w:t xml:space="preserve">. </w:t>
      </w:r>
      <w:r w:rsidR="00C35D81" w:rsidRPr="00BE2300">
        <w:t xml:space="preserve">za </w:t>
      </w:r>
      <w:r w:rsidR="0004745C" w:rsidRPr="00BE2300">
        <w:t>podmínek uvedených v této Smlouvě</w:t>
      </w:r>
      <w:r w:rsidR="00C35D81" w:rsidRPr="00BE2300">
        <w:t>.</w:t>
      </w:r>
    </w:p>
    <w:p w14:paraId="6968AA06" w14:textId="77777777" w:rsidR="00133CBF" w:rsidRPr="00BE2300" w:rsidRDefault="00133CBF" w:rsidP="00133CBF">
      <w:pPr>
        <w:pStyle w:val="Normln-vlevo"/>
        <w:keepNext/>
      </w:pPr>
      <w:r w:rsidRPr="00BE2300">
        <w:rPr>
          <w:b/>
          <w:caps/>
        </w:rPr>
        <w:t>BYLO DOHODNUTO následující</w:t>
      </w:r>
      <w:r w:rsidRPr="00BE2300">
        <w:t>:</w:t>
      </w:r>
    </w:p>
    <w:p w14:paraId="6F4FA89B" w14:textId="77777777" w:rsidR="00D56DFD" w:rsidRPr="00BE2300" w:rsidRDefault="00D56DFD" w:rsidP="00D56DFD">
      <w:pPr>
        <w:pStyle w:val="Nadpis1"/>
      </w:pPr>
      <w:bookmarkStart w:id="0" w:name="_Ref481965076"/>
      <w:bookmarkStart w:id="1" w:name="_Toc264633897"/>
      <w:bookmarkStart w:id="2" w:name="_Toc351627972"/>
      <w:bookmarkStart w:id="3" w:name="_Toc364416020"/>
      <w:bookmarkStart w:id="4" w:name="_Toc375311507"/>
      <w:bookmarkStart w:id="5" w:name="_Toc378171305"/>
      <w:bookmarkStart w:id="6" w:name="_Toc57022037"/>
      <w:bookmarkStart w:id="7" w:name="_Toc57174977"/>
      <w:bookmarkStart w:id="8" w:name="_Toc59004853"/>
      <w:bookmarkStart w:id="9" w:name="_Toc225131724"/>
      <w:bookmarkStart w:id="10" w:name="_Toc520518103"/>
      <w:bookmarkStart w:id="11" w:name="_Toc532187168"/>
      <w:bookmarkStart w:id="12" w:name="_Toc2404211"/>
      <w:bookmarkStart w:id="13" w:name="_Toc370309036"/>
      <w:bookmarkStart w:id="14" w:name="_Toc612708"/>
      <w:bookmarkStart w:id="15" w:name="_Toc222815651"/>
      <w:bookmarkStart w:id="16" w:name="_Toc535217181"/>
      <w:bookmarkStart w:id="17" w:name="_Toc535823242"/>
      <w:bookmarkStart w:id="18" w:name="_Toc352101879"/>
      <w:bookmarkStart w:id="19" w:name="_Toc355694233"/>
      <w:bookmarkStart w:id="20" w:name="_Toc531690923"/>
      <w:r w:rsidRPr="00BE2300">
        <w:t>Převod vlastnického práva</w:t>
      </w:r>
      <w:bookmarkEnd w:id="0"/>
    </w:p>
    <w:p w14:paraId="5E0428E2" w14:textId="3042F15A" w:rsidR="00D56DFD" w:rsidRPr="00BE2300" w:rsidRDefault="00D56DFD" w:rsidP="00D56DFD">
      <w:pPr>
        <w:pStyle w:val="Nadpis2"/>
      </w:pPr>
      <w:r w:rsidRPr="00BE2300">
        <w:t xml:space="preserve">Prodávající </w:t>
      </w:r>
      <w:r w:rsidR="0004745C" w:rsidRPr="00BE2300">
        <w:t>prohlašuje, že je</w:t>
      </w:r>
      <w:r w:rsidR="00BF1E48" w:rsidRPr="00BE2300">
        <w:t xml:space="preserve"> </w:t>
      </w:r>
      <w:r w:rsidR="003E1D29" w:rsidRPr="00BE2300">
        <w:t xml:space="preserve">výlučným </w:t>
      </w:r>
      <w:r w:rsidR="0004745C" w:rsidRPr="00BE2300">
        <w:t>vlastníkem</w:t>
      </w:r>
      <w:r w:rsidR="00BF1E48" w:rsidRPr="00BE2300">
        <w:t xml:space="preserve"> </w:t>
      </w:r>
      <w:r w:rsidR="003E1D29" w:rsidRPr="00BE2300">
        <w:t>následující</w:t>
      </w:r>
      <w:r w:rsidR="001F0425">
        <w:t>ch</w:t>
      </w:r>
      <w:r w:rsidR="005B0A2A" w:rsidRPr="00BE2300">
        <w:t xml:space="preserve"> nemovit</w:t>
      </w:r>
      <w:r w:rsidR="001F0425">
        <w:t>ých</w:t>
      </w:r>
      <w:r w:rsidR="005B0A2A" w:rsidRPr="00BE2300">
        <w:t xml:space="preserve"> věc</w:t>
      </w:r>
      <w:r w:rsidR="001F0425">
        <w:t xml:space="preserve">í </w:t>
      </w:r>
      <w:r w:rsidR="001F0425" w:rsidRPr="00BE2300">
        <w:t>(dále jen "</w:t>
      </w:r>
      <w:r w:rsidR="001F0425" w:rsidRPr="00BE2300">
        <w:rPr>
          <w:b/>
        </w:rPr>
        <w:t>Předmět převodu</w:t>
      </w:r>
      <w:r w:rsidR="001F0425" w:rsidRPr="00BE2300">
        <w:t>")</w:t>
      </w:r>
      <w:r w:rsidRPr="00BE2300">
        <w:t>:</w:t>
      </w:r>
    </w:p>
    <w:p w14:paraId="4E3428D1" w14:textId="330F5366" w:rsidR="00FA6DFB" w:rsidRDefault="00FA6DFB" w:rsidP="00BE2300">
      <w:pPr>
        <w:pStyle w:val="Nadpis3"/>
      </w:pPr>
      <w:bookmarkStart w:id="21" w:name="_Ref264617935"/>
      <w:bookmarkStart w:id="22" w:name="_Toc378171308"/>
      <w:bookmarkEnd w:id="1"/>
      <w:bookmarkEnd w:id="2"/>
      <w:bookmarkEnd w:id="3"/>
      <w:bookmarkEnd w:id="4"/>
      <w:bookmarkEnd w:id="5"/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>. č. 8/</w:t>
      </w:r>
      <w:r>
        <w:t>6</w:t>
      </w:r>
      <w:r w:rsidRPr="00BE2300">
        <w:t xml:space="preserve">, druh pozemku: </w:t>
      </w:r>
      <w:r w:rsidRPr="00883F2C">
        <w:t>ostatní plocha</w:t>
      </w:r>
      <w:r w:rsidRPr="00BE2300">
        <w:t xml:space="preserve">, o evidované výměře </w:t>
      </w:r>
      <w:r>
        <w:t>111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>;</w:t>
      </w:r>
    </w:p>
    <w:p w14:paraId="061CD73E" w14:textId="085F317B" w:rsidR="00BE2300" w:rsidRDefault="00BE2300" w:rsidP="00BE2300">
      <w:pPr>
        <w:pStyle w:val="Nadpis3"/>
      </w:pPr>
      <w:r w:rsidRPr="00BE2300">
        <w:t>pozemk</w:t>
      </w:r>
      <w:r w:rsidR="001F0425"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>. č. 8/</w:t>
      </w:r>
      <w:r w:rsidR="00F51769">
        <w:t>10</w:t>
      </w:r>
      <w:r w:rsidRPr="00BE2300">
        <w:t xml:space="preserve">, druh pozemku: </w:t>
      </w:r>
      <w:r w:rsidR="0013131D" w:rsidRPr="00883F2C">
        <w:t>ostatní plocha</w:t>
      </w:r>
      <w:r w:rsidRPr="00BE2300">
        <w:t xml:space="preserve">, o evidované výměře </w:t>
      </w:r>
      <w:r w:rsidR="00F51769">
        <w:t>52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</w:t>
      </w:r>
      <w:r w:rsidR="0013131D">
        <w:t>třech</w:t>
      </w:r>
      <w:r w:rsidR="0013131D" w:rsidRPr="00BE2300">
        <w:t xml:space="preserve"> </w:t>
      </w:r>
      <w:r w:rsidRPr="00BE2300">
        <w:t>(</w:t>
      </w:r>
      <w:r w:rsidR="0013131D">
        <w:t>3</w:t>
      </w:r>
      <w:r w:rsidRPr="00BE2300">
        <w:t>) parkovacích stání, kter</w:t>
      </w:r>
      <w:r w:rsidR="00E529A7">
        <w:t>á</w:t>
      </w:r>
      <w:r w:rsidRPr="00BE2300">
        <w:t xml:space="preserve"> se na pozemku nachází;</w:t>
      </w:r>
    </w:p>
    <w:p w14:paraId="310902C6" w14:textId="564D262B" w:rsidR="00F51769" w:rsidRPr="00111DBA" w:rsidRDefault="00F51769" w:rsidP="00111DBA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>. č. 8/</w:t>
      </w:r>
      <w:r>
        <w:t>11</w:t>
      </w:r>
      <w:r w:rsidRPr="00BE2300">
        <w:t xml:space="preserve">, druh pozemku: </w:t>
      </w:r>
      <w:r w:rsidRPr="00883F2C">
        <w:t>ostatní plocha</w:t>
      </w:r>
      <w:r w:rsidRPr="00BE2300">
        <w:t>, o evidované výměře</w:t>
      </w:r>
      <w:r>
        <w:t xml:space="preserve"> 47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 xml:space="preserve">, včetně </w:t>
      </w:r>
      <w:r>
        <w:t>třech</w:t>
      </w:r>
      <w:r w:rsidRPr="00BE2300">
        <w:t xml:space="preserve"> (</w:t>
      </w:r>
      <w:r>
        <w:t>3</w:t>
      </w:r>
      <w:r w:rsidRPr="00BE2300">
        <w:t>) parkovacích stání, kter</w:t>
      </w:r>
      <w:r>
        <w:t>á</w:t>
      </w:r>
      <w:r w:rsidRPr="00BE2300">
        <w:t xml:space="preserve"> se na pozemku nachází;</w:t>
      </w:r>
    </w:p>
    <w:p w14:paraId="2525EB74" w14:textId="3761A12E" w:rsidR="00BE2300" w:rsidRP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883F2C">
        <w:t>parc</w:t>
      </w:r>
      <w:proofErr w:type="spellEnd"/>
      <w:r w:rsidR="00BE2300" w:rsidRPr="00883F2C">
        <w:t>. č. 9/1, druh pozemku: ostatní plocha, o evidované výměře 1330 m</w:t>
      </w:r>
      <w:r w:rsidR="00BE2300" w:rsidRPr="00883F2C">
        <w:rPr>
          <w:vertAlign w:val="superscript"/>
        </w:rPr>
        <w:t>2</w:t>
      </w:r>
      <w:r w:rsidR="00BE2300" w:rsidRPr="00883F2C">
        <w:t>, včetně komunikace a čtyř (4) parkovacích stání, které se na pozemku nachází;</w:t>
      </w:r>
    </w:p>
    <w:p w14:paraId="1B7A1DB9" w14:textId="721C9DC3" w:rsidR="00BE2300" w:rsidRP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12/1, </w:t>
      </w:r>
      <w:r w:rsidR="00EA015C" w:rsidRPr="00883F2C">
        <w:t>druh pozemku: ostatní plocha, o evidované výměře</w:t>
      </w:r>
      <w:r w:rsidR="0072216C">
        <w:t xml:space="preserve"> 770</w:t>
      </w:r>
      <w:r w:rsidR="00EA015C">
        <w:t xml:space="preserve"> </w:t>
      </w:r>
      <w:r w:rsidR="00EA015C" w:rsidRPr="00883F2C">
        <w:t>m</w:t>
      </w:r>
      <w:r w:rsidR="00EA015C" w:rsidRPr="00883F2C">
        <w:rPr>
          <w:vertAlign w:val="superscript"/>
        </w:rPr>
        <w:t>2</w:t>
      </w:r>
      <w:r w:rsidR="00EA015C">
        <w:t>, v</w:t>
      </w:r>
      <w:r w:rsidR="00BE2300" w:rsidRPr="00BE2300">
        <w:t xml:space="preserve">četně dětského hřiště a zpevněné plochy (pro umístění nádob na tříděný odpad), které </w:t>
      </w:r>
      <w:r w:rsidR="00EA015C">
        <w:t>se na pozemku nachází</w:t>
      </w:r>
      <w:r w:rsidR="00BE2300" w:rsidRPr="00BE2300">
        <w:t>;</w:t>
      </w:r>
    </w:p>
    <w:p w14:paraId="36D2FE86" w14:textId="1814D6EF" w:rsidR="00BE2300" w:rsidRP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10/12, </w:t>
      </w:r>
      <w:r w:rsidR="00EA015C" w:rsidRPr="00BE2300">
        <w:t xml:space="preserve">druh pozemku: </w:t>
      </w:r>
      <w:r w:rsidR="0072216C" w:rsidRPr="00883F2C">
        <w:t>ostatní ploch</w:t>
      </w:r>
      <w:r w:rsidR="0072216C">
        <w:t>a,</w:t>
      </w:r>
      <w:r w:rsidR="00EA015C" w:rsidRPr="00BE2300">
        <w:t xml:space="preserve"> o evidované výměře </w:t>
      </w:r>
      <w:r w:rsidR="0072216C">
        <w:t xml:space="preserve">30 </w:t>
      </w:r>
      <w:r w:rsidR="00EA015C" w:rsidRPr="00BE2300">
        <w:t>m</w:t>
      </w:r>
      <w:r w:rsidR="00EA015C" w:rsidRPr="00BE2300">
        <w:rPr>
          <w:vertAlign w:val="superscript"/>
        </w:rPr>
        <w:t>2</w:t>
      </w:r>
      <w:r w:rsidR="00BE2300" w:rsidRPr="00BE2300">
        <w:t>, včetně dvou (2) parkovacích stání, která se na pozemku nachází;</w:t>
      </w:r>
    </w:p>
    <w:p w14:paraId="577B3CFC" w14:textId="717C246B" w:rsidR="00BE2300" w:rsidRP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10/15, </w:t>
      </w:r>
      <w:r w:rsidR="00EA015C" w:rsidRPr="00BE2300">
        <w:t xml:space="preserve">druh pozemku: </w:t>
      </w:r>
      <w:r w:rsidR="0072216C" w:rsidRPr="00883F2C">
        <w:t>ostatní ploch</w:t>
      </w:r>
      <w:r w:rsidR="0072216C">
        <w:t>a,</w:t>
      </w:r>
      <w:r w:rsidR="0072216C" w:rsidRPr="00BE2300">
        <w:t xml:space="preserve"> </w:t>
      </w:r>
      <w:r w:rsidR="00EA015C" w:rsidRPr="00BE2300">
        <w:t xml:space="preserve">o evidované výměře </w:t>
      </w:r>
      <w:r w:rsidR="0072216C">
        <w:t xml:space="preserve">20 </w:t>
      </w:r>
      <w:r w:rsidR="00EA015C" w:rsidRPr="00BE2300">
        <w:t>m</w:t>
      </w:r>
      <w:r w:rsidR="00EA015C" w:rsidRPr="00BE2300">
        <w:rPr>
          <w:vertAlign w:val="superscript"/>
        </w:rPr>
        <w:t>2</w:t>
      </w:r>
      <w:r w:rsidR="00EA015C" w:rsidRPr="00BE2300">
        <w:t xml:space="preserve">, včetně </w:t>
      </w:r>
      <w:r w:rsidR="00BE2300" w:rsidRPr="00BE2300">
        <w:t>jednoho (1) parkovacího stání, kter</w:t>
      </w:r>
      <w:r w:rsidR="00D9255B">
        <w:t>é</w:t>
      </w:r>
      <w:r w:rsidR="00BE2300" w:rsidRPr="00BE2300">
        <w:t xml:space="preserve"> se na pozemku nachází;</w:t>
      </w:r>
    </w:p>
    <w:p w14:paraId="2DDF7560" w14:textId="43B2F5BB" w:rsid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10/16, </w:t>
      </w:r>
      <w:r w:rsidR="00EA015C" w:rsidRPr="00BE2300">
        <w:t xml:space="preserve">druh pozemku: </w:t>
      </w:r>
      <w:r w:rsidR="0072216C" w:rsidRPr="00883F2C">
        <w:t>ostatní ploch</w:t>
      </w:r>
      <w:r w:rsidR="0072216C">
        <w:t xml:space="preserve">a, </w:t>
      </w:r>
      <w:r w:rsidR="00EA015C" w:rsidRPr="00BE2300">
        <w:t xml:space="preserve">o evidované výměře </w:t>
      </w:r>
      <w:r w:rsidR="0072216C">
        <w:t>54</w:t>
      </w:r>
      <w:r w:rsidR="00EA015C" w:rsidRPr="00BE2300">
        <w:t xml:space="preserve"> m</w:t>
      </w:r>
      <w:r w:rsidR="00EA015C" w:rsidRPr="00BE2300">
        <w:rPr>
          <w:vertAlign w:val="superscript"/>
        </w:rPr>
        <w:t>2</w:t>
      </w:r>
      <w:r w:rsidR="00EA015C" w:rsidRPr="00BE2300">
        <w:t>, včetně</w:t>
      </w:r>
      <w:r w:rsidR="00BE2300" w:rsidRPr="00BE2300">
        <w:t xml:space="preserve"> chodníku, který </w:t>
      </w:r>
      <w:r w:rsidR="00D9255B">
        <w:t xml:space="preserve">se </w:t>
      </w:r>
      <w:r w:rsidR="00BE2300" w:rsidRPr="00BE2300">
        <w:t xml:space="preserve">na pozemku </w:t>
      </w:r>
      <w:r w:rsidR="00EA015C">
        <w:t>nachází</w:t>
      </w:r>
      <w:r w:rsidR="00BE2300" w:rsidRPr="00BE2300">
        <w:t>;</w:t>
      </w:r>
    </w:p>
    <w:p w14:paraId="28A62C60" w14:textId="56074B6F" w:rsidR="00FA6DFB" w:rsidRDefault="00FA6DFB" w:rsidP="00FA6DFB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</w:t>
      </w:r>
      <w:r>
        <w:t>10</w:t>
      </w:r>
      <w:r w:rsidRPr="00BE2300">
        <w:t>/</w:t>
      </w:r>
      <w:r>
        <w:t>17</w:t>
      </w:r>
      <w:r w:rsidRPr="00BE2300">
        <w:t xml:space="preserve">, druh pozemku: </w:t>
      </w:r>
      <w:r w:rsidRPr="00883F2C">
        <w:t>ostatní plocha</w:t>
      </w:r>
      <w:r w:rsidRPr="00BE2300">
        <w:t xml:space="preserve">, o evidované výměře </w:t>
      </w:r>
      <w:r>
        <w:t>34</w:t>
      </w:r>
      <w:r w:rsidRPr="00BE2300">
        <w:t xml:space="preserve"> m</w:t>
      </w:r>
      <w:r w:rsidRPr="00BE2300">
        <w:rPr>
          <w:vertAlign w:val="superscript"/>
        </w:rPr>
        <w:t>2</w:t>
      </w:r>
      <w:r w:rsidRPr="00BE2300">
        <w:t>;</w:t>
      </w:r>
    </w:p>
    <w:p w14:paraId="70A6B7F1" w14:textId="7C531E83" w:rsidR="00BE2300" w:rsidRDefault="001F0425" w:rsidP="00BE2300">
      <w:pPr>
        <w:pStyle w:val="Nadpis3"/>
      </w:pPr>
      <w:r w:rsidRPr="00BE2300">
        <w:lastRenderedPageBreak/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10/19, </w:t>
      </w:r>
      <w:r w:rsidR="00D9255B" w:rsidRPr="00BE2300">
        <w:t xml:space="preserve">druh pozemku: </w:t>
      </w:r>
      <w:r w:rsidR="0072216C" w:rsidRPr="00883F2C">
        <w:t>ostatní plocha</w:t>
      </w:r>
      <w:r w:rsidR="00D9255B" w:rsidRPr="00BE2300">
        <w:t>, o evidované výměře</w:t>
      </w:r>
      <w:r w:rsidR="0072216C">
        <w:t xml:space="preserve"> 43</w:t>
      </w:r>
      <w:r w:rsidR="00D9255B" w:rsidRPr="00BE2300">
        <w:t xml:space="preserve"> m</w:t>
      </w:r>
      <w:r w:rsidR="00D9255B" w:rsidRPr="00BE2300">
        <w:rPr>
          <w:vertAlign w:val="superscript"/>
        </w:rPr>
        <w:t>2</w:t>
      </w:r>
      <w:r w:rsidR="00D9255B" w:rsidRPr="00BE2300">
        <w:t xml:space="preserve">, včetně </w:t>
      </w:r>
      <w:r w:rsidR="00BE2300" w:rsidRPr="00BE2300">
        <w:t xml:space="preserve">třech (3) parkovacích stání, která </w:t>
      </w:r>
      <w:r w:rsidR="00D9255B">
        <w:t xml:space="preserve">se </w:t>
      </w:r>
      <w:r w:rsidR="00BE2300" w:rsidRPr="00BE2300">
        <w:t xml:space="preserve">na pozemku </w:t>
      </w:r>
      <w:r w:rsidR="00D9255B">
        <w:t>nachází</w:t>
      </w:r>
      <w:r w:rsidR="00BE2300" w:rsidRPr="00BE2300">
        <w:t>;</w:t>
      </w:r>
    </w:p>
    <w:p w14:paraId="11AB6942" w14:textId="274C7E64" w:rsidR="00FA6DFB" w:rsidRDefault="00FA6DFB" w:rsidP="00FA6DFB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Pr="00BE2300">
        <w:t>parc</w:t>
      </w:r>
      <w:proofErr w:type="spellEnd"/>
      <w:r w:rsidRPr="00BE2300">
        <w:t xml:space="preserve">. č. </w:t>
      </w:r>
      <w:r>
        <w:t>10</w:t>
      </w:r>
      <w:r w:rsidRPr="00BE2300">
        <w:t>/</w:t>
      </w:r>
      <w:r>
        <w:t>20</w:t>
      </w:r>
      <w:r w:rsidRPr="00BE2300">
        <w:t xml:space="preserve">, druh pozemku: </w:t>
      </w:r>
      <w:r w:rsidRPr="00883F2C">
        <w:t>ostatní plocha</w:t>
      </w:r>
      <w:r w:rsidRPr="00BE2300">
        <w:t xml:space="preserve">, o evidované výměře </w:t>
      </w:r>
      <w:r>
        <w:t>26</w:t>
      </w:r>
      <w:r w:rsidRPr="00BE2300">
        <w:t xml:space="preserve"> m</w:t>
      </w:r>
      <w:r w:rsidRPr="00FA6DFB">
        <w:rPr>
          <w:vertAlign w:val="superscript"/>
        </w:rPr>
        <w:t>2</w:t>
      </w:r>
      <w:r w:rsidRPr="00BE2300">
        <w:t>;</w:t>
      </w:r>
    </w:p>
    <w:p w14:paraId="46EB911C" w14:textId="1A3E7F94" w:rsidR="00BE2300" w:rsidRP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10/21, </w:t>
      </w:r>
      <w:r w:rsidR="00D9255B" w:rsidRPr="00BE2300">
        <w:t xml:space="preserve">druh pozemku: </w:t>
      </w:r>
      <w:r w:rsidR="0072216C" w:rsidRPr="00883F2C">
        <w:t>ostatní plocha</w:t>
      </w:r>
      <w:r w:rsidR="00D9255B" w:rsidRPr="00BE2300">
        <w:t xml:space="preserve">, o evidované výměře </w:t>
      </w:r>
      <w:r w:rsidR="0072216C">
        <w:t>110</w:t>
      </w:r>
      <w:r w:rsidR="00D9255B" w:rsidRPr="00BE2300">
        <w:t xml:space="preserve"> m</w:t>
      </w:r>
      <w:r w:rsidR="00D9255B" w:rsidRPr="00BE2300">
        <w:rPr>
          <w:vertAlign w:val="superscript"/>
        </w:rPr>
        <w:t>2</w:t>
      </w:r>
      <w:r w:rsidR="00D9255B" w:rsidRPr="00BE2300">
        <w:t xml:space="preserve">, včetně </w:t>
      </w:r>
      <w:r w:rsidR="00BE2300" w:rsidRPr="00BE2300">
        <w:t xml:space="preserve">devíti (9) parkovacích stání, která </w:t>
      </w:r>
      <w:r w:rsidR="00D9255B">
        <w:t xml:space="preserve">se </w:t>
      </w:r>
      <w:r w:rsidR="00BE2300" w:rsidRPr="00BE2300">
        <w:t xml:space="preserve">na pozemku </w:t>
      </w:r>
      <w:r w:rsidR="00D9255B">
        <w:t>nachází</w:t>
      </w:r>
      <w:r w:rsidR="00BE2300" w:rsidRPr="00BE2300">
        <w:t>;</w:t>
      </w:r>
    </w:p>
    <w:p w14:paraId="562AC30D" w14:textId="37D9CCE4" w:rsidR="00BE2300" w:rsidRP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10/22, </w:t>
      </w:r>
      <w:r w:rsidR="00D9255B" w:rsidRPr="00BE2300">
        <w:t xml:space="preserve">druh pozemku: </w:t>
      </w:r>
      <w:r w:rsidR="0072216C" w:rsidRPr="00883F2C">
        <w:t>ostatní plocha</w:t>
      </w:r>
      <w:r w:rsidR="00D9255B" w:rsidRPr="00BE2300">
        <w:t xml:space="preserve">, o evidované výměře </w:t>
      </w:r>
      <w:r w:rsidR="0072216C">
        <w:t xml:space="preserve">200 </w:t>
      </w:r>
      <w:r w:rsidR="00D9255B" w:rsidRPr="00BE2300">
        <w:t>m</w:t>
      </w:r>
      <w:r w:rsidR="00D9255B" w:rsidRPr="00BE2300">
        <w:rPr>
          <w:vertAlign w:val="superscript"/>
        </w:rPr>
        <w:t>2</w:t>
      </w:r>
      <w:r w:rsidR="00D9255B" w:rsidRPr="00BE2300">
        <w:t xml:space="preserve">, včetně </w:t>
      </w:r>
      <w:r w:rsidR="00BE2300" w:rsidRPr="00BE2300">
        <w:t>komunikace, která</w:t>
      </w:r>
      <w:r w:rsidR="00D9255B">
        <w:t xml:space="preserve"> se</w:t>
      </w:r>
      <w:r w:rsidR="00BE2300" w:rsidRPr="00BE2300">
        <w:t xml:space="preserve"> na pozemku </w:t>
      </w:r>
      <w:r w:rsidR="00D9255B">
        <w:t>nachází</w:t>
      </w:r>
      <w:r w:rsidR="00BE2300" w:rsidRPr="00BE2300">
        <w:t>;</w:t>
      </w:r>
    </w:p>
    <w:p w14:paraId="4189A86F" w14:textId="11081063" w:rsidR="00BE2300" w:rsidRPr="00BE2300" w:rsidRDefault="001F0425" w:rsidP="00BE2300">
      <w:pPr>
        <w:pStyle w:val="Nadpis3"/>
      </w:pPr>
      <w:r w:rsidRPr="00BE2300">
        <w:t>pozemk</w:t>
      </w:r>
      <w:r>
        <w:t>u</w:t>
      </w:r>
      <w:r w:rsidRPr="00BE2300">
        <w:t xml:space="preserve"> </w:t>
      </w:r>
      <w:proofErr w:type="spellStart"/>
      <w:r w:rsidR="00BE2300" w:rsidRPr="00BE2300">
        <w:t>parc</w:t>
      </w:r>
      <w:proofErr w:type="spellEnd"/>
      <w:r w:rsidR="00BE2300" w:rsidRPr="00BE2300">
        <w:t xml:space="preserve">. č. 10/23, </w:t>
      </w:r>
      <w:r w:rsidR="00D9255B" w:rsidRPr="00BE2300">
        <w:t xml:space="preserve">druh pozemku: </w:t>
      </w:r>
      <w:r w:rsidR="00091719" w:rsidRPr="00883F2C">
        <w:t>ostatní plocha</w:t>
      </w:r>
      <w:r w:rsidR="00D9255B" w:rsidRPr="00BE2300">
        <w:t xml:space="preserve">, o evidované výměře </w:t>
      </w:r>
      <w:r w:rsidR="00091719">
        <w:t>48</w:t>
      </w:r>
      <w:r w:rsidR="00D9255B" w:rsidRPr="00BE2300">
        <w:t xml:space="preserve"> m</w:t>
      </w:r>
      <w:r w:rsidR="00D9255B" w:rsidRPr="00BE2300">
        <w:rPr>
          <w:vertAlign w:val="superscript"/>
        </w:rPr>
        <w:t>2</w:t>
      </w:r>
      <w:r w:rsidR="00D9255B" w:rsidRPr="00BE2300">
        <w:t xml:space="preserve">, včetně </w:t>
      </w:r>
      <w:r w:rsidR="00BE2300" w:rsidRPr="00BE2300">
        <w:t xml:space="preserve">chodníku, který </w:t>
      </w:r>
      <w:r w:rsidR="00D9255B">
        <w:t xml:space="preserve">se </w:t>
      </w:r>
      <w:r w:rsidR="00BE2300" w:rsidRPr="00BE2300">
        <w:t>na pozemku</w:t>
      </w:r>
      <w:r w:rsidR="00D9255B">
        <w:t xml:space="preserve"> nachází</w:t>
      </w:r>
      <w:r w:rsidR="00BE2300" w:rsidRPr="00BE2300">
        <w:t>;</w:t>
      </w:r>
    </w:p>
    <w:p w14:paraId="40F82BD4" w14:textId="77777777" w:rsidR="00BE2300" w:rsidRPr="00BE2300" w:rsidRDefault="00BE2300" w:rsidP="00BE2300">
      <w:pPr>
        <w:pStyle w:val="Nadpis3"/>
        <w:numPr>
          <w:ilvl w:val="0"/>
          <w:numId w:val="0"/>
        </w:numPr>
        <w:ind w:left="624"/>
      </w:pPr>
      <w:r w:rsidRPr="00BE2300">
        <w:t xml:space="preserve">vše v katastrálním území </w:t>
      </w:r>
      <w:r w:rsidRPr="00BE2300">
        <w:rPr>
          <w:noProof/>
        </w:rPr>
        <w:t>Sobín</w:t>
      </w:r>
      <w:r w:rsidRPr="00BE2300">
        <w:t xml:space="preserve">, obci </w:t>
      </w:r>
      <w:r w:rsidRPr="00BE2300">
        <w:rPr>
          <w:noProof/>
        </w:rPr>
        <w:t>Praha</w:t>
      </w:r>
      <w:r w:rsidRPr="00BE2300">
        <w:t>.</w:t>
      </w:r>
    </w:p>
    <w:p w14:paraId="5F8FCFF1" w14:textId="30B490F4" w:rsidR="0004745C" w:rsidRPr="00BE2300" w:rsidRDefault="00261F98" w:rsidP="00795780">
      <w:pPr>
        <w:pStyle w:val="Nadpis2"/>
      </w:pPr>
      <w:r w:rsidRPr="00BE2300">
        <w:t xml:space="preserve">Prodávající prodává Kupujícímu Předmět převodu </w:t>
      </w:r>
      <w:r w:rsidR="0004745C" w:rsidRPr="00BE2300">
        <w:t>se všemi součástmi a příslušenstvím za</w:t>
      </w:r>
      <w:r w:rsidR="004C50AA" w:rsidRPr="00BE2300">
        <w:t> </w:t>
      </w:r>
      <w:r w:rsidR="00B22DC9" w:rsidRPr="00BE2300">
        <w:t>k</w:t>
      </w:r>
      <w:r w:rsidR="0004745C" w:rsidRPr="00BE2300">
        <w:t xml:space="preserve">upní cenu </w:t>
      </w:r>
      <w:r w:rsidR="00B22DC9" w:rsidRPr="00BE2300">
        <w:t xml:space="preserve">ve výši </w:t>
      </w:r>
      <w:proofErr w:type="gramStart"/>
      <w:r w:rsidR="00BF1E48" w:rsidRPr="00BE2300">
        <w:rPr>
          <w:b/>
          <w:bCs/>
          <w:noProof/>
        </w:rPr>
        <w:t>1</w:t>
      </w:r>
      <w:r w:rsidR="003160C5" w:rsidRPr="00BE2300">
        <w:rPr>
          <w:b/>
          <w:bCs/>
          <w:noProof/>
        </w:rPr>
        <w:t>000</w:t>
      </w:r>
      <w:r w:rsidR="00B22DC9" w:rsidRPr="00BE2300">
        <w:rPr>
          <w:b/>
        </w:rPr>
        <w:t>,</w:t>
      </w:r>
      <w:r w:rsidR="00B22DC9" w:rsidRPr="00BE2300">
        <w:rPr>
          <w:b/>
        </w:rPr>
        <w:noBreakHyphen/>
      </w:r>
      <w:proofErr w:type="gramEnd"/>
      <w:r w:rsidR="00B22DC9" w:rsidRPr="00BE2300">
        <w:rPr>
          <w:b/>
        </w:rPr>
        <w:t> Kč</w:t>
      </w:r>
      <w:r w:rsidR="00B22DC9" w:rsidRPr="00BE2300">
        <w:t xml:space="preserve"> (slovy: </w:t>
      </w:r>
      <w:r w:rsidR="003160C5" w:rsidRPr="00BE2300">
        <w:rPr>
          <w:noProof/>
        </w:rPr>
        <w:t>jeden tisíc</w:t>
      </w:r>
      <w:r w:rsidR="00B22DC9" w:rsidRPr="00BE2300">
        <w:t xml:space="preserve"> korun česk</w:t>
      </w:r>
      <w:r w:rsidR="003160C5" w:rsidRPr="00BE2300">
        <w:t>ých</w:t>
      </w:r>
      <w:r w:rsidR="00B22DC9" w:rsidRPr="00BE2300">
        <w:t>) (dále jen "</w:t>
      </w:r>
      <w:r w:rsidR="00B22DC9" w:rsidRPr="00BE2300">
        <w:rPr>
          <w:b/>
        </w:rPr>
        <w:t>Kupní cena</w:t>
      </w:r>
      <w:r w:rsidR="00B22DC9" w:rsidRPr="00BE2300">
        <w:t>")</w:t>
      </w:r>
      <w:r w:rsidR="001A57B1" w:rsidRPr="00BE2300">
        <w:t xml:space="preserve"> a </w:t>
      </w:r>
      <w:r w:rsidR="0004745C" w:rsidRPr="00BE2300">
        <w:t xml:space="preserve">Kupující </w:t>
      </w:r>
      <w:r w:rsidR="001A57B1" w:rsidRPr="00BE2300">
        <w:t xml:space="preserve">Předmět převodu </w:t>
      </w:r>
      <w:r w:rsidR="0004745C" w:rsidRPr="00BE2300">
        <w:t>za</w:t>
      </w:r>
      <w:r w:rsidR="001A57B1" w:rsidRPr="00BE2300">
        <w:t> </w:t>
      </w:r>
      <w:r w:rsidR="0004745C" w:rsidRPr="00BE2300">
        <w:t xml:space="preserve">Kupní cenu </w:t>
      </w:r>
      <w:r w:rsidR="001A57B1" w:rsidRPr="00BE2300">
        <w:t>kupuje</w:t>
      </w:r>
      <w:r w:rsidR="00CB0D5E" w:rsidRPr="00BE2300">
        <w:t xml:space="preserve"> do </w:t>
      </w:r>
      <w:r w:rsidR="00FD72E5">
        <w:t xml:space="preserve"> </w:t>
      </w:r>
      <w:r w:rsidR="00FD72E5" w:rsidRPr="00BF1E48">
        <w:t xml:space="preserve"> </w:t>
      </w:r>
      <w:r w:rsidR="00FD72E5">
        <w:t>vlastnictví Hl. m. Prahy se svěřenou správou pro Městskou část  Praha – Zličín</w:t>
      </w:r>
      <w:r w:rsidR="00FD72E5" w:rsidRPr="00BF1E48">
        <w:t>,</w:t>
      </w:r>
      <w:r w:rsidR="00001AA0" w:rsidRPr="00BE2300">
        <w:t xml:space="preserve"> a to ve stavu, ve kterém se Předmět převodu nachází při uzavření této Smlouvy</w:t>
      </w:r>
      <w:r w:rsidR="001A57B1" w:rsidRPr="00BE2300">
        <w:t>.</w:t>
      </w:r>
      <w:r w:rsidR="00FD72E5">
        <w:t xml:space="preserve"> Kupující prohlašuje, že tuto smlouvu uzavírá jménem hlavního města Prahy v souladu se zákonem č. 131/2000 Sb., o hlavním městě Praze. </w:t>
      </w:r>
    </w:p>
    <w:p w14:paraId="661B06B0" w14:textId="77777777" w:rsidR="00E63A00" w:rsidRPr="00BE2300" w:rsidRDefault="00E63A00" w:rsidP="00BE2300">
      <w:pPr>
        <w:pStyle w:val="Nadpis1"/>
        <w:keepNext w:val="0"/>
        <w:widowControl w:val="0"/>
      </w:pPr>
      <w:bookmarkStart w:id="23" w:name="_Toc316851487"/>
      <w:bookmarkStart w:id="24" w:name="_Toc383781838"/>
      <w:bookmarkStart w:id="25" w:name="_Toc434505521"/>
      <w:bookmarkStart w:id="26" w:name="_Toc376785624"/>
      <w:bookmarkStart w:id="27" w:name="_Toc378171311"/>
      <w:bookmarkStart w:id="28" w:name="_Toc57174980"/>
      <w:bookmarkStart w:id="29" w:name="_Toc59004856"/>
      <w:bookmarkStart w:id="30" w:name="_Toc225131726"/>
      <w:bookmarkEnd w:id="6"/>
      <w:bookmarkEnd w:id="7"/>
      <w:bookmarkEnd w:id="8"/>
      <w:bookmarkEnd w:id="9"/>
      <w:bookmarkEnd w:id="21"/>
      <w:bookmarkEnd w:id="22"/>
      <w:r w:rsidRPr="00BE2300">
        <w:t>splatnost Kupní ceny</w:t>
      </w:r>
      <w:bookmarkEnd w:id="23"/>
      <w:bookmarkEnd w:id="24"/>
      <w:bookmarkEnd w:id="25"/>
    </w:p>
    <w:p w14:paraId="4CBA8CF6" w14:textId="11816112" w:rsidR="003160C5" w:rsidRPr="00BE2300" w:rsidRDefault="007477C4" w:rsidP="00BE2300">
      <w:pPr>
        <w:pStyle w:val="Nadpis2"/>
        <w:widowControl w:val="0"/>
        <w:numPr>
          <w:ilvl w:val="0"/>
          <w:numId w:val="0"/>
        </w:numPr>
        <w:ind w:left="624"/>
      </w:pPr>
      <w:bookmarkStart w:id="31" w:name="_Ref480876867"/>
      <w:r w:rsidRPr="00BE2300">
        <w:t xml:space="preserve">Kupující </w:t>
      </w:r>
      <w:r w:rsidR="003160C5" w:rsidRPr="00BE2300">
        <w:t>zapla</w:t>
      </w:r>
      <w:r w:rsidRPr="00BE2300">
        <w:t>tí Kupní cenu</w:t>
      </w:r>
      <w:r w:rsidR="003160C5" w:rsidRPr="00BE2300">
        <w:t xml:space="preserve"> do sedmi (7) dnů ode dne </w:t>
      </w:r>
      <w:r w:rsidR="00F11E21">
        <w:t xml:space="preserve">doručení rozhodnutí či vyrozumění katastrálního úřadu o vkladu vlastnického práva k Předmětu převodu pro Kupujícího Kupujícímu, a to </w:t>
      </w:r>
      <w:r w:rsidR="003160C5" w:rsidRPr="00BE2300">
        <w:t xml:space="preserve">na bankovní účet Prodávajícího č. </w:t>
      </w:r>
      <w:r w:rsidRPr="00BE2300">
        <w:rPr>
          <w:b/>
          <w:bCs/>
        </w:rPr>
        <w:t>7325772/0800</w:t>
      </w:r>
      <w:r w:rsidRPr="00BE2300">
        <w:t xml:space="preserve"> vedený u Česká spořitelna, a.s.</w:t>
      </w:r>
    </w:p>
    <w:bookmarkEnd w:id="31"/>
    <w:p w14:paraId="53C5D425" w14:textId="77777777" w:rsidR="001438F8" w:rsidRPr="00BE2300" w:rsidRDefault="001438F8" w:rsidP="00BE2300">
      <w:pPr>
        <w:pStyle w:val="Nadpis1"/>
        <w:keepLines/>
        <w:widowControl w:val="0"/>
      </w:pPr>
      <w:r w:rsidRPr="00BE2300">
        <w:t>VKLAD DO KATASTRU NEMOVITOSTI</w:t>
      </w:r>
    </w:p>
    <w:p w14:paraId="67687D6F" w14:textId="1A29A6B4" w:rsidR="001438F8" w:rsidRDefault="001438F8" w:rsidP="00795780">
      <w:pPr>
        <w:pStyle w:val="Nadpis2"/>
      </w:pPr>
      <w:r w:rsidRPr="00BE2300">
        <w:t>Podání návrhu na vklad vlastnického práva k</w:t>
      </w:r>
      <w:r w:rsidR="007815F7" w:rsidRPr="00BE2300">
        <w:t> Předmětu převodu</w:t>
      </w:r>
      <w:r w:rsidRPr="00BE2300">
        <w:t xml:space="preserve"> ve prospěch Kupujícího příslušnému katastrálnímu úřadu zajistí </w:t>
      </w:r>
      <w:r w:rsidR="00ED55C3" w:rsidRPr="00BE2300">
        <w:t>Kupující</w:t>
      </w:r>
      <w:r w:rsidRPr="00BE2300">
        <w:t>. Návrh na vklad bude podepsán všemi Stranami při podpisu této Smlouvy. Správní poplatek za</w:t>
      </w:r>
      <w:r w:rsidR="00572E35" w:rsidRPr="00BE2300">
        <w:t> </w:t>
      </w:r>
      <w:r w:rsidRPr="00BE2300">
        <w:t xml:space="preserve">podání návrhu na vklad </w:t>
      </w:r>
      <w:r w:rsidR="00433A3C" w:rsidRPr="00BE2300">
        <w:t>hradí Kupující</w:t>
      </w:r>
      <w:r w:rsidR="000F7754" w:rsidRPr="00BE2300">
        <w:t>.</w:t>
      </w:r>
    </w:p>
    <w:p w14:paraId="3911714D" w14:textId="19EB057C" w:rsidR="00FD72E5" w:rsidRDefault="00FD72E5" w:rsidP="00795780">
      <w:pPr>
        <w:pStyle w:val="Nadpis2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Kupující </w:t>
      </w:r>
      <w:r w:rsidRPr="00590535">
        <w:rPr>
          <w:color w:val="000000"/>
          <w:lang w:eastAsia="cs-CZ"/>
        </w:rPr>
        <w:t>j</w:t>
      </w:r>
      <w:r w:rsidRPr="00590535">
        <w:t xml:space="preserve">e povinen podle § 21 Statutu </w:t>
      </w:r>
      <w:proofErr w:type="spellStart"/>
      <w:r w:rsidRPr="00590535">
        <w:t>hl.m</w:t>
      </w:r>
      <w:proofErr w:type="spellEnd"/>
      <w:r w:rsidRPr="00590535">
        <w:t xml:space="preserve">. Prahy před podáním návrhu o povolení vkladu do katastru nemovitostí předložit podepsanou </w:t>
      </w:r>
      <w:r>
        <w:t xml:space="preserve">kupní </w:t>
      </w:r>
      <w:r w:rsidRPr="00590535">
        <w:t xml:space="preserve">smlouvu, vč. návrhu na vklad a příloh, Magistrátu </w:t>
      </w:r>
      <w:proofErr w:type="spellStart"/>
      <w:r w:rsidRPr="00590535">
        <w:t>hl.m</w:t>
      </w:r>
      <w:proofErr w:type="spellEnd"/>
      <w:r w:rsidRPr="00590535">
        <w:t xml:space="preserve">. Prahy k potvrzení správnosti předkládané žádosti pro katastrální úřad. Potvrzení Magistrátu hl. m. Prahy o správnosti této smlouvy a její schválení, že je možno tuto smlouvu s návrhem na vklad podat katastrálnímu úřadu k zápisu vkladu vlastnického práva, je povinnou přílohou při podání návrhu na zahájení řízení o povolení vkladu vlastnického práva do katastru nemovitostí. </w:t>
      </w:r>
    </w:p>
    <w:p w14:paraId="6D34729C" w14:textId="6CD7BEA9" w:rsidR="00FD72E5" w:rsidRPr="006A51E0" w:rsidRDefault="00FD72E5" w:rsidP="00795780">
      <w:pPr>
        <w:pStyle w:val="Nadpis2"/>
        <w:rPr>
          <w:lang w:eastAsia="cs-CZ"/>
        </w:rPr>
      </w:pPr>
      <w:r w:rsidRPr="00590535">
        <w:rPr>
          <w:lang w:eastAsia="cs-CZ"/>
        </w:rPr>
        <w:t xml:space="preserve">Na základě této smlouvy smluvní strany navrhují, aby </w:t>
      </w:r>
      <w:r w:rsidRPr="00590535">
        <w:t xml:space="preserve">Katastrální úřad pro hlavní město Prahu, Katastrální pracoviště </w:t>
      </w:r>
      <w:r w:rsidRPr="00590535">
        <w:rPr>
          <w:shd w:val="clear" w:color="auto" w:fill="FFFFFF"/>
          <w:lang w:eastAsia="cs-CZ"/>
        </w:rPr>
        <w:t>Praha</w:t>
      </w:r>
      <w:r w:rsidRPr="00590535">
        <w:t xml:space="preserve">, </w:t>
      </w:r>
      <w:r w:rsidRPr="00590535">
        <w:rPr>
          <w:lang w:eastAsia="cs-CZ"/>
        </w:rPr>
        <w:t xml:space="preserve">povolil vklad vlastnického práva k </w:t>
      </w:r>
      <w:r>
        <w:rPr>
          <w:lang w:eastAsia="cs-CZ"/>
        </w:rPr>
        <w:t>P</w:t>
      </w:r>
      <w:r w:rsidRPr="00590535">
        <w:rPr>
          <w:lang w:eastAsia="cs-CZ"/>
        </w:rPr>
        <w:t xml:space="preserve">ředmětu převodu ve prospěch </w:t>
      </w:r>
      <w:r>
        <w:rPr>
          <w:lang w:eastAsia="cs-CZ"/>
        </w:rPr>
        <w:t xml:space="preserve">Kupujícího. </w:t>
      </w:r>
      <w:r w:rsidRPr="00590535">
        <w:rPr>
          <w:lang w:eastAsia="cs-CZ"/>
        </w:rPr>
        <w:t xml:space="preserve"> </w:t>
      </w:r>
    </w:p>
    <w:p w14:paraId="060A5D32" w14:textId="77777777" w:rsidR="00FD72E5" w:rsidRPr="00FD72E5" w:rsidRDefault="00FD72E5" w:rsidP="00795780">
      <w:pPr>
        <w:pStyle w:val="Zkladntext"/>
      </w:pPr>
    </w:p>
    <w:p w14:paraId="2EA0FE0A" w14:textId="77777777" w:rsidR="00474622" w:rsidRPr="00BE2300" w:rsidRDefault="00474622" w:rsidP="00474622">
      <w:pPr>
        <w:pStyle w:val="Nadpis1"/>
      </w:pPr>
      <w:r w:rsidRPr="00BE2300">
        <w:lastRenderedPageBreak/>
        <w:t>NABYTÍ VLASTNICKÉHO PRÁVA</w:t>
      </w:r>
    </w:p>
    <w:p w14:paraId="5BBCD8BA" w14:textId="4963B982" w:rsidR="00FD72E5" w:rsidRDefault="00FD72E5" w:rsidP="00795780">
      <w:pPr>
        <w:pStyle w:val="Nadpis2"/>
        <w:numPr>
          <w:ilvl w:val="0"/>
          <w:numId w:val="0"/>
        </w:numPr>
        <w:ind w:left="624"/>
      </w:pPr>
      <w:r w:rsidRPr="00590535">
        <w:rPr>
          <w:lang w:eastAsia="cs-CZ"/>
        </w:rPr>
        <w:t xml:space="preserve">Vlastnické právo k předmětu převodu nabývá </w:t>
      </w:r>
      <w:r w:rsidR="00FA6DFB">
        <w:rPr>
          <w:lang w:eastAsia="cs-CZ"/>
        </w:rPr>
        <w:t xml:space="preserve">Kupující </w:t>
      </w:r>
      <w:r w:rsidRPr="00590535">
        <w:rPr>
          <w:lang w:eastAsia="cs-CZ"/>
        </w:rPr>
        <w:t>se všemi právy a povinnostmi dnem vkladu vlastnického práva do katastru nemovitostí, přičemž právní účinky vkladu práva vznikají na základě rozhodnutí o povolení vkladu do katastru nemovitostí ke dni, kdy bude návrh na zápis vlastnického práva do katastru nemovitostí doručen příslušnému katastrálnímu úřadu.</w:t>
      </w:r>
    </w:p>
    <w:p w14:paraId="25109BA0" w14:textId="0A87B383" w:rsidR="00052AA3" w:rsidRPr="00BE2300" w:rsidRDefault="00052AA3" w:rsidP="00572E35">
      <w:pPr>
        <w:pStyle w:val="Nadpis1"/>
      </w:pPr>
      <w:bookmarkStart w:id="32" w:name="_Toc316851491"/>
      <w:bookmarkStart w:id="33" w:name="_Toc383781842"/>
      <w:bookmarkStart w:id="34" w:name="_Toc396319553"/>
      <w:r w:rsidRPr="00BE2300">
        <w:t xml:space="preserve">Prohlášení </w:t>
      </w:r>
      <w:bookmarkEnd w:id="32"/>
      <w:bookmarkEnd w:id="33"/>
      <w:r w:rsidRPr="00BE2300">
        <w:t>Prodávajícího</w:t>
      </w:r>
      <w:bookmarkEnd w:id="34"/>
    </w:p>
    <w:p w14:paraId="092F182E" w14:textId="77777777" w:rsidR="00052AA3" w:rsidRPr="00BE2300" w:rsidRDefault="00052AA3" w:rsidP="00572E35">
      <w:pPr>
        <w:pStyle w:val="Nadpis2"/>
        <w:keepNext/>
      </w:pPr>
      <w:bookmarkStart w:id="35" w:name="_Ref330753409"/>
      <w:r w:rsidRPr="00BE2300">
        <w:t>Prodávající prohlašuje a zaručuje Kupujícímu, že:</w:t>
      </w:r>
      <w:bookmarkEnd w:id="35"/>
    </w:p>
    <w:p w14:paraId="42E3DAC6" w14:textId="723E2B4C" w:rsidR="00F872E9" w:rsidRPr="00BE2300" w:rsidRDefault="00F872E9" w:rsidP="00F872E9">
      <w:pPr>
        <w:pStyle w:val="Nadpis3"/>
        <w:keepNext/>
      </w:pPr>
      <w:r w:rsidRPr="00BE2300">
        <w:t>Předmět převodu není zatížen žádnými věcnými břemeny, služebnostmi nebo reálnými břemeny, zástavními právy, předkupními právy, nájemními právy, pachty nebo jinými užívacími právy třetích osob</w:t>
      </w:r>
      <w:r w:rsidR="004323DA" w:rsidRPr="004323DA">
        <w:t xml:space="preserve"> </w:t>
      </w:r>
      <w:r w:rsidR="004323DA">
        <w:t>či jinými právními nebo faktickými vadami</w:t>
      </w:r>
      <w:r w:rsidRPr="00BE2300">
        <w:t>, vyjma těch, která jsou ke dni podpisu této Smlouvy zapsána v katastru nemovitostí;</w:t>
      </w:r>
    </w:p>
    <w:p w14:paraId="189F429D" w14:textId="0E4CC965" w:rsidR="00F872E9" w:rsidRPr="00BE2300" w:rsidRDefault="00F872E9" w:rsidP="00F872E9">
      <w:pPr>
        <w:pStyle w:val="Nadpis3"/>
      </w:pPr>
      <w:r w:rsidRPr="00BE2300">
        <w:t xml:space="preserve">uzavřením této Smlouvy neporušuje žádnou svou smluvní nebo zákonnou povinnost; </w:t>
      </w:r>
    </w:p>
    <w:p w14:paraId="07243979" w14:textId="6076B822" w:rsidR="00F872E9" w:rsidRPr="00BE2300" w:rsidRDefault="00F872E9" w:rsidP="00F872E9">
      <w:pPr>
        <w:pStyle w:val="Nadpis3"/>
      </w:pPr>
      <w:r w:rsidRPr="00BE2300">
        <w:t>získal všechna oprávnění a souhlasy vyžadované platnými právními předpisy k uzavření této Smlouvy a plnění závazků zde uvedených;</w:t>
      </w:r>
    </w:p>
    <w:p w14:paraId="13BD7FB9" w14:textId="4582D235" w:rsidR="00F872E9" w:rsidRDefault="00F872E9" w:rsidP="00F872E9">
      <w:pPr>
        <w:pStyle w:val="Nadpis3"/>
      </w:pPr>
      <w:r w:rsidRPr="00BE2300">
        <w:t>není proti němu vedeno jakékoli insolvenční, exekuční nebo vykonávací řízení</w:t>
      </w:r>
      <w:r w:rsidR="004323DA">
        <w:t>;</w:t>
      </w:r>
    </w:p>
    <w:p w14:paraId="7FA49754" w14:textId="77777777" w:rsidR="004323DA" w:rsidRPr="00187899" w:rsidRDefault="004323DA" w:rsidP="004323DA">
      <w:pPr>
        <w:pStyle w:val="Nadpis3"/>
      </w:pPr>
      <w:r w:rsidRPr="00187899">
        <w:t xml:space="preserve">Předmět převodu není </w:t>
      </w:r>
      <w:r w:rsidRPr="00187899">
        <w:rPr>
          <w:iCs/>
        </w:rPr>
        <w:t>kontaminován a jeho stav neodporuje ekologickým nebo jiným právním předpisům.</w:t>
      </w:r>
    </w:p>
    <w:p w14:paraId="14CBA61B" w14:textId="77777777" w:rsidR="00052AA3" w:rsidRPr="00BE2300" w:rsidRDefault="00052AA3" w:rsidP="00052AA3">
      <w:pPr>
        <w:pStyle w:val="Nadpis1"/>
      </w:pPr>
      <w:bookmarkStart w:id="36" w:name="_Toc396319554"/>
      <w:r w:rsidRPr="00BE2300">
        <w:t>Prohlášení Kupujícího</w:t>
      </w:r>
      <w:bookmarkEnd w:id="36"/>
    </w:p>
    <w:p w14:paraId="63B01586" w14:textId="77777777" w:rsidR="00052AA3" w:rsidRPr="00BE2300" w:rsidRDefault="00052AA3" w:rsidP="00052AA3">
      <w:pPr>
        <w:pStyle w:val="Nadpis2"/>
      </w:pPr>
      <w:r w:rsidRPr="00BE2300">
        <w:t>Kupující prohlašuje a zaručuje Prodávajícímu, že:</w:t>
      </w:r>
    </w:p>
    <w:p w14:paraId="7536ACF6" w14:textId="77777777" w:rsidR="00083658" w:rsidRPr="00BE2300" w:rsidRDefault="00083658" w:rsidP="00083658">
      <w:pPr>
        <w:pStyle w:val="Nadpis3"/>
      </w:pPr>
      <w:r w:rsidRPr="00BE2300">
        <w:t>uzavřením této Smlouvy neporušuje žádnou svou smluvní nebo zákonnou povinnost;</w:t>
      </w:r>
    </w:p>
    <w:p w14:paraId="4D96602A" w14:textId="77777777" w:rsidR="00052AA3" w:rsidRPr="00BE2300" w:rsidRDefault="00052AA3" w:rsidP="00052AA3">
      <w:pPr>
        <w:pStyle w:val="Nadpis3"/>
      </w:pPr>
      <w:r w:rsidRPr="00BE2300">
        <w:t>získal všechna oprávnění a souhlasy vyžadované platnými právními předpisy k uzavření této Smlouvy a plnění závazků zde uvedených;</w:t>
      </w:r>
    </w:p>
    <w:p w14:paraId="1CF3FC68" w14:textId="77777777" w:rsidR="00083658" w:rsidRPr="00BE2300" w:rsidRDefault="00083658" w:rsidP="00083658">
      <w:pPr>
        <w:pStyle w:val="Nadpis3"/>
      </w:pPr>
      <w:r w:rsidRPr="00BE2300">
        <w:t>není proti němu vedeno jakékoli insolvenční, exekuční nebo vykonávací řízení; a</w:t>
      </w:r>
    </w:p>
    <w:p w14:paraId="5726F0C1" w14:textId="1B67DF3F" w:rsidR="00083658" w:rsidRPr="00BE2300" w:rsidRDefault="00052AA3" w:rsidP="00052AA3">
      <w:pPr>
        <w:pStyle w:val="Nadpis3"/>
      </w:pPr>
      <w:r w:rsidRPr="00BE2300">
        <w:t>je seznámen s</w:t>
      </w:r>
      <w:r w:rsidR="00083658" w:rsidRPr="00BE2300">
        <w:t> právním a technickým</w:t>
      </w:r>
      <w:r w:rsidRPr="00BE2300">
        <w:t xml:space="preserve"> stavem </w:t>
      </w:r>
      <w:r w:rsidR="00083658" w:rsidRPr="00BE2300">
        <w:t>Předmětu převodu</w:t>
      </w:r>
      <w:r w:rsidR="00F872E9" w:rsidRPr="00BE2300">
        <w:t xml:space="preserve"> a </w:t>
      </w:r>
      <w:r w:rsidRPr="00BE2300">
        <w:t>stav</w:t>
      </w:r>
      <w:r w:rsidR="00F872E9" w:rsidRPr="00BE2300">
        <w:t>em</w:t>
      </w:r>
      <w:r w:rsidRPr="00BE2300">
        <w:t xml:space="preserve"> údajů</w:t>
      </w:r>
      <w:r w:rsidR="00F872E9" w:rsidRPr="00BE2300">
        <w:t xml:space="preserve"> </w:t>
      </w:r>
      <w:r w:rsidRPr="00BE2300">
        <w:t xml:space="preserve">vyplývajících z výpisu z katastru nemovitostí </w:t>
      </w:r>
      <w:r w:rsidR="00F872E9" w:rsidRPr="00BE2300">
        <w:t xml:space="preserve">k </w:t>
      </w:r>
      <w:r w:rsidR="00083658" w:rsidRPr="00BE2300">
        <w:t>Předmětu převodu ke dni podpisu této Smlouvy.</w:t>
      </w:r>
    </w:p>
    <w:p w14:paraId="0BEF0730" w14:textId="77777777" w:rsidR="0076751B" w:rsidRPr="00BE2300" w:rsidRDefault="0076751B" w:rsidP="0076751B">
      <w:pPr>
        <w:pStyle w:val="Nadpis1"/>
      </w:pPr>
      <w:r w:rsidRPr="00BE2300">
        <w:t>odstoupení od smlouvy</w:t>
      </w:r>
    </w:p>
    <w:p w14:paraId="6BF38591" w14:textId="1B5BBEC7" w:rsidR="000F7754" w:rsidRPr="00BE2300" w:rsidRDefault="000F7754" w:rsidP="000F7754">
      <w:pPr>
        <w:pStyle w:val="Nadpis2"/>
      </w:pPr>
      <w:r w:rsidRPr="00BE2300">
        <w:t>Strany jsou oprávněny odstoupit od této Smlouvy ze zákonných důvodů</w:t>
      </w:r>
      <w:r w:rsidR="003D64CA" w:rsidRPr="00BE2300">
        <w:t xml:space="preserve"> nebo</w:t>
      </w:r>
      <w:r w:rsidRPr="00BE2300">
        <w:t xml:space="preserve"> z důvodů uvedených v této Smlouvě.</w:t>
      </w:r>
    </w:p>
    <w:p w14:paraId="30FA7210" w14:textId="3ED81855" w:rsidR="004323DA" w:rsidRDefault="003D64CA" w:rsidP="004323DA">
      <w:pPr>
        <w:pStyle w:val="Nadpis2"/>
      </w:pPr>
      <w:r w:rsidRPr="00BE2300">
        <w:t>Strany jsou</w:t>
      </w:r>
      <w:r w:rsidR="0076751B" w:rsidRPr="00BE2300">
        <w:t xml:space="preserve"> oprávněn</w:t>
      </w:r>
      <w:r w:rsidRPr="00BE2300">
        <w:t>y</w:t>
      </w:r>
      <w:r w:rsidR="0076751B" w:rsidRPr="00BE2300">
        <w:t xml:space="preserve"> odstoupit od této Smlouvy v případě, že nedojde k</w:t>
      </w:r>
      <w:r w:rsidR="007815F7" w:rsidRPr="00BE2300">
        <w:t xml:space="preserve"> povolení vkladu </w:t>
      </w:r>
      <w:r w:rsidR="0076751B" w:rsidRPr="00BE2300">
        <w:t>vlastnického práva Kupujícího k</w:t>
      </w:r>
      <w:r w:rsidRPr="00BE2300">
        <w:t> Předmětu převodu</w:t>
      </w:r>
      <w:r w:rsidR="0076751B" w:rsidRPr="00BE2300">
        <w:t xml:space="preserve"> do katastru nemovitostí, a to ani do </w:t>
      </w:r>
      <w:r w:rsidR="000F7754" w:rsidRPr="00BE2300">
        <w:t>šesti</w:t>
      </w:r>
      <w:r w:rsidR="0076751B" w:rsidRPr="00BE2300">
        <w:t xml:space="preserve"> (</w:t>
      </w:r>
      <w:r w:rsidR="000F7754" w:rsidRPr="00BE2300">
        <w:t>6</w:t>
      </w:r>
      <w:r w:rsidR="0076751B" w:rsidRPr="00BE2300">
        <w:t>) měsíců od podpisu této Smlouvy.</w:t>
      </w:r>
    </w:p>
    <w:p w14:paraId="032A5444" w14:textId="16685D12" w:rsidR="004323DA" w:rsidRPr="004323DA" w:rsidRDefault="004323DA" w:rsidP="004323DA">
      <w:pPr>
        <w:pStyle w:val="Zkladntext"/>
        <w:ind w:hanging="624"/>
      </w:pPr>
      <w:r>
        <w:rPr>
          <w:sz w:val="20"/>
          <w:szCs w:val="20"/>
        </w:rPr>
        <w:t>7</w:t>
      </w:r>
      <w:r w:rsidRPr="00F63ECA">
        <w:rPr>
          <w:sz w:val="20"/>
          <w:szCs w:val="20"/>
        </w:rPr>
        <w:t>.3</w:t>
      </w:r>
      <w:r w:rsidRPr="00F63ECA">
        <w:t xml:space="preserve"> </w:t>
      </w:r>
      <w:r w:rsidRPr="00F63ECA">
        <w:tab/>
        <w:t xml:space="preserve">Kupující je oprávněn odstoupit od této </w:t>
      </w:r>
      <w:r>
        <w:t>S</w:t>
      </w:r>
      <w:r w:rsidRPr="00187899">
        <w:t xml:space="preserve">mlouvy, pokud se některé prohlášení Prodávajícího </w:t>
      </w:r>
      <w:r w:rsidRPr="00F63ECA">
        <w:t xml:space="preserve">učiněné v čl. </w:t>
      </w:r>
      <w:r>
        <w:t>5</w:t>
      </w:r>
      <w:r w:rsidRPr="00F63ECA">
        <w:t xml:space="preserve"> této Smlouvy ukáže býti nepravdivým.</w:t>
      </w:r>
    </w:p>
    <w:p w14:paraId="1064A5B8" w14:textId="0302C3FE" w:rsidR="0076751B" w:rsidRPr="00BE2300" w:rsidRDefault="0076751B" w:rsidP="004323DA">
      <w:pPr>
        <w:pStyle w:val="Nadpis2"/>
        <w:numPr>
          <w:ilvl w:val="1"/>
          <w:numId w:val="6"/>
        </w:numPr>
      </w:pPr>
      <w:r w:rsidRPr="00BE2300">
        <w:lastRenderedPageBreak/>
        <w:t xml:space="preserve">V případě odstoupení od Smlouvy se Strany zavazují vypořádat vzájemná práva a povinnosti z této Smlouvy nejpozději do šedesáti (60) dnů ode dne účinnosti odstoupení tak, aby žádné ze Stran nevzniklo bezdůvodné obohacení. </w:t>
      </w:r>
    </w:p>
    <w:p w14:paraId="3D6DEC64" w14:textId="77777777" w:rsidR="00433A3C" w:rsidRPr="00BE2300" w:rsidRDefault="00433A3C" w:rsidP="00083658">
      <w:pPr>
        <w:pStyle w:val="Nadpis1"/>
        <w:keepNext w:val="0"/>
        <w:widowControl w:val="0"/>
      </w:pPr>
      <w:bookmarkStart w:id="37" w:name="_Toc468230127"/>
      <w:bookmarkStart w:id="38" w:name="_Toc531690924"/>
      <w:bookmarkStart w:id="39" w:name="_Toc341722341"/>
      <w:bookmarkStart w:id="40" w:name="_Ref372109198"/>
      <w:bookmarkStart w:id="41" w:name="_Toc373161101"/>
      <w:bookmarkStart w:id="42" w:name="_Toc378171324"/>
      <w:bookmarkStart w:id="43" w:name="_Toc376860022"/>
      <w:bookmarkStart w:id="44" w:name="_Toc355694250"/>
      <w:bookmarkStart w:id="45" w:name="_Toc352101898"/>
      <w:bookmarkStart w:id="46" w:name="_Toc352017176"/>
      <w:bookmarkStart w:id="47" w:name="_Toc355694251"/>
      <w:bookmarkStart w:id="48" w:name="_Toc352101899"/>
      <w:bookmarkStart w:id="49" w:name="_Toc352017177"/>
      <w:bookmarkStart w:id="50" w:name="_Toc378171329"/>
      <w:bookmarkEnd w:id="26"/>
      <w:bookmarkEnd w:id="27"/>
      <w:bookmarkEnd w:id="28"/>
      <w:bookmarkEnd w:id="29"/>
      <w:bookmarkEnd w:id="30"/>
      <w:r w:rsidRPr="00BE2300">
        <w:t>součinnost</w:t>
      </w:r>
      <w:bookmarkEnd w:id="37"/>
    </w:p>
    <w:p w14:paraId="3D12976A" w14:textId="17B12650" w:rsidR="00B962EA" w:rsidRPr="00BE2300" w:rsidRDefault="00B962EA" w:rsidP="00083658">
      <w:pPr>
        <w:pStyle w:val="Nadpis2"/>
        <w:widowControl w:val="0"/>
      </w:pPr>
      <w:r w:rsidRPr="00BE2300">
        <w:t>Strany budou postupovat v souladu s oprávněnými zájmy druhé Strany a uskuteční veškerá právní jednání, která se ukáž</w:t>
      </w:r>
      <w:r w:rsidR="00F872E9" w:rsidRPr="00BE2300">
        <w:t>ou</w:t>
      </w:r>
      <w:r w:rsidRPr="00BE2300">
        <w:t xml:space="preserve"> být nezbytná pro realizaci práv a povinností založených touto Smlouvou. Závazek součinnosti se vztahuje pouze na takové jednání, které přispěje či má přispět k dosažení účelu této Smlouvy.</w:t>
      </w:r>
    </w:p>
    <w:p w14:paraId="0D47843E" w14:textId="77777777" w:rsidR="00433A3C" w:rsidRPr="00BE2300" w:rsidRDefault="00433A3C" w:rsidP="00083658">
      <w:pPr>
        <w:pStyle w:val="Nadpis2"/>
        <w:widowControl w:val="0"/>
      </w:pPr>
      <w:r w:rsidRPr="00BE2300">
        <w:t>Pokud z jakéhokoliv důvodu katastrální úřad neprovede vklad vlastnického práva Kupujícího k Předmětu převodu do katastru nemovitostí, zavazují se Strany učinit vše nezbytné, aby byl vklad proveden, zejména odstranit jakékoliv nedostatky návrhu na vklad nebo uzavřít novou smlouvu, která bude způsobilá k úspěšnému vkladu vlastnického práva Kupujícího k Předmětu převodu a přitom bude v nejvyšší možné míře obsahově odpovídat této Smlouvě.</w:t>
      </w:r>
    </w:p>
    <w:p w14:paraId="0BA903FC" w14:textId="77777777" w:rsidR="00E63A00" w:rsidRPr="00BE2300" w:rsidRDefault="00E63A00" w:rsidP="00083658">
      <w:pPr>
        <w:pStyle w:val="Nadpis1"/>
        <w:keepNext w:val="0"/>
        <w:widowControl w:val="0"/>
      </w:pPr>
      <w:r w:rsidRPr="00BE2300">
        <w:t>Řešení sporů</w:t>
      </w:r>
    </w:p>
    <w:p w14:paraId="6E0A9CA2" w14:textId="77777777" w:rsidR="00E63A00" w:rsidRPr="00BE2300" w:rsidRDefault="00E63A00" w:rsidP="00083658">
      <w:pPr>
        <w:widowControl w:val="0"/>
      </w:pPr>
      <w:r w:rsidRPr="00BE2300">
        <w:t xml:space="preserve">Veškeré spory v rozsahu přípustném platnými právními předpisy České republiky vzniklé z této Smlouvy či v souvislosti s ní budou řešeny především smírnou cestou. Pokud se nepodaří takovéto spory vyřešit do třiceti (30) dnů od jejich vzniku, budou rozhodnuty s konečnou platností příslušným soudem. </w:t>
      </w:r>
      <w:bookmarkEnd w:id="38"/>
      <w:bookmarkEnd w:id="39"/>
      <w:bookmarkEnd w:id="40"/>
      <w:bookmarkEnd w:id="41"/>
      <w:bookmarkEnd w:id="42"/>
    </w:p>
    <w:p w14:paraId="2827D4A3" w14:textId="77777777" w:rsidR="00E63A00" w:rsidRPr="00BE2300" w:rsidRDefault="00E63A00" w:rsidP="00083658">
      <w:pPr>
        <w:pStyle w:val="Nadpis1"/>
        <w:keepNext w:val="0"/>
        <w:widowControl w:val="0"/>
      </w:pPr>
      <w:r w:rsidRPr="00BE2300">
        <w:t>změny smlouvy</w:t>
      </w:r>
      <w:bookmarkEnd w:id="43"/>
      <w:bookmarkEnd w:id="44"/>
      <w:bookmarkEnd w:id="45"/>
      <w:bookmarkEnd w:id="46"/>
    </w:p>
    <w:p w14:paraId="1B152657" w14:textId="77777777" w:rsidR="00E63A00" w:rsidRPr="00BE2300" w:rsidRDefault="00E63A00" w:rsidP="00083658">
      <w:pPr>
        <w:widowControl w:val="0"/>
      </w:pPr>
      <w:r w:rsidRPr="00BE2300">
        <w:t xml:space="preserve">Tato Smlouva může být měněna a doplňována pouze písemnými dodatky podepsanými všemi Stranami. Změna této Smlouvy v jiné než písemné formě je tímto vyloučena. Za písemnou formu nebude pro tento účel považována výměna e-mailových či jiných elektronických zpráv. </w:t>
      </w:r>
      <w:bookmarkEnd w:id="47"/>
      <w:bookmarkEnd w:id="48"/>
      <w:bookmarkEnd w:id="49"/>
    </w:p>
    <w:p w14:paraId="156CA921" w14:textId="77777777" w:rsidR="00E63A00" w:rsidRPr="00BE2300" w:rsidRDefault="00E63A00" w:rsidP="00083658">
      <w:pPr>
        <w:pStyle w:val="Nadpis1"/>
        <w:keepNext w:val="0"/>
        <w:widowControl w:val="0"/>
      </w:pPr>
      <w:bookmarkStart w:id="51" w:name="_Toc378171330"/>
      <w:bookmarkEnd w:id="50"/>
      <w:r w:rsidRPr="00BE2300">
        <w:t>Rozhodné právo</w:t>
      </w:r>
      <w:bookmarkEnd w:id="51"/>
    </w:p>
    <w:p w14:paraId="04A12272" w14:textId="77777777" w:rsidR="00E63A00" w:rsidRPr="00BE2300" w:rsidRDefault="00E63A00" w:rsidP="00083658">
      <w:pPr>
        <w:widowControl w:val="0"/>
      </w:pPr>
      <w:r w:rsidRPr="00BE2300">
        <w:t xml:space="preserve">Tato Smlouva a její platnost se budou řídit právními předpisy České republiky, zejména ustanoveními zákona č. 89/2012 Sb., občanský zákoník, v platném znění. </w:t>
      </w:r>
    </w:p>
    <w:p w14:paraId="34B31F85" w14:textId="77777777" w:rsidR="00E63A00" w:rsidRPr="00BE2300" w:rsidRDefault="00E63A00" w:rsidP="00FD47FC">
      <w:pPr>
        <w:pStyle w:val="Nadpis1"/>
        <w:keepNext w:val="0"/>
        <w:widowControl w:val="0"/>
      </w:pPr>
      <w:bookmarkStart w:id="52" w:name="_Toc378171331"/>
      <w:r w:rsidRPr="00BE2300">
        <w:t>Počet vyhotovení</w:t>
      </w:r>
      <w:bookmarkEnd w:id="52"/>
    </w:p>
    <w:p w14:paraId="56CCFC52" w14:textId="032C14B3" w:rsidR="00BB4188" w:rsidRPr="00BE2300" w:rsidRDefault="00BB4188" w:rsidP="00FD47FC">
      <w:pPr>
        <w:widowControl w:val="0"/>
      </w:pPr>
      <w:r w:rsidRPr="00BE2300">
        <w:t xml:space="preserve">Tato Smlouva je uzavírána ve </w:t>
      </w:r>
      <w:r w:rsidR="00F872E9" w:rsidRPr="00BE2300">
        <w:t>třech</w:t>
      </w:r>
      <w:r w:rsidRPr="00BE2300">
        <w:t xml:space="preserve"> (</w:t>
      </w:r>
      <w:r w:rsidR="00F872E9" w:rsidRPr="00BE2300">
        <w:t>3</w:t>
      </w:r>
      <w:r w:rsidRPr="00BE2300">
        <w:t>) vyhotoveních, přičemž každá Strana obdrží po</w:t>
      </w:r>
      <w:r w:rsidR="00846487" w:rsidRPr="00BE2300">
        <w:t> jednom (1) vyhotovení,</w:t>
      </w:r>
      <w:r w:rsidRPr="00BE2300">
        <w:t xml:space="preserve"> jedno (1) vyhotovení je určeno katastrálnímu úřadu jako příloha návrhu na</w:t>
      </w:r>
      <w:r w:rsidR="000F7754" w:rsidRPr="00BE2300">
        <w:t> </w:t>
      </w:r>
      <w:r w:rsidRPr="00BE2300">
        <w:t>vklad vlastnického práva Kupujícího k</w:t>
      </w:r>
      <w:r w:rsidR="000F7754" w:rsidRPr="00BE2300">
        <w:t> Předmětu převodu</w:t>
      </w:r>
      <w:r w:rsidRPr="00BE2300">
        <w:t xml:space="preserve"> do katastru nemovitostí.</w:t>
      </w:r>
    </w:p>
    <w:p w14:paraId="4AC4CB1B" w14:textId="1CC05F97" w:rsidR="00FD72E5" w:rsidRDefault="00FD72E5" w:rsidP="00FD72E5">
      <w:pPr>
        <w:pStyle w:val="Nadpis1"/>
      </w:pPr>
      <w:bookmarkStart w:id="53" w:name="_Hlk71714239"/>
      <w:bookmarkStart w:id="54" w:name="_Toc325876799"/>
      <w:bookmarkStart w:id="55" w:name="_Toc339888575"/>
      <w:bookmarkStart w:id="56" w:name="_Toc433655809"/>
      <w:bookmarkStart w:id="57" w:name="_Toc434505539"/>
      <w:bookmarkStart w:id="58" w:name="_Toc173739131"/>
      <w:bookmarkStart w:id="59" w:name="_Toc173739319"/>
      <w:bookmarkStart w:id="60" w:name="_Toc173844856"/>
      <w:bookmarkStart w:id="61" w:name="_Toc204570533"/>
      <w:bookmarkStart w:id="62" w:name="_Toc204570602"/>
      <w:bookmarkStart w:id="63" w:name="_Toc20457019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 xml:space="preserve">ZÁVĚREČNÁ USTANOVENÍ </w:t>
      </w:r>
    </w:p>
    <w:p w14:paraId="7AB0992E" w14:textId="27D46C50" w:rsidR="00FD72E5" w:rsidRDefault="00FD72E5" w:rsidP="00795780">
      <w:pPr>
        <w:pStyle w:val="Nadpis2"/>
      </w:pPr>
      <w:r>
        <w:t xml:space="preserve">O nabytí předmětu převodu do vlastnictví Hl. m. Prahy a svěřené správy Městské </w:t>
      </w:r>
      <w:proofErr w:type="gramStart"/>
      <w:r>
        <w:t>části  Praha</w:t>
      </w:r>
      <w:proofErr w:type="gramEnd"/>
      <w:r>
        <w:t xml:space="preserve"> – Zličín rozhodlo Zastupitelstvo MČ Praha – Zličín na svém zasedání dne </w:t>
      </w:r>
      <w:r w:rsidR="006178A2" w:rsidRPr="006178A2">
        <w:rPr>
          <w:b/>
          <w:bCs/>
        </w:rPr>
        <w:t>9.8.2023</w:t>
      </w:r>
      <w:r w:rsidR="006178A2">
        <w:t xml:space="preserve"> </w:t>
      </w:r>
      <w:r>
        <w:t xml:space="preserve">usnesením č. </w:t>
      </w:r>
      <w:r w:rsidR="006178A2">
        <w:t xml:space="preserve">5/4.1.  </w:t>
      </w:r>
      <w:r>
        <w:t xml:space="preserve">(§89 </w:t>
      </w:r>
      <w:proofErr w:type="spellStart"/>
      <w:r>
        <w:t>odst</w:t>
      </w:r>
      <w:proofErr w:type="spellEnd"/>
      <w:r>
        <w:t xml:space="preserve">, 2 písm. e) zákona č. 131/2000 Sb., o hlavním městě Praze).   </w:t>
      </w:r>
    </w:p>
    <w:p w14:paraId="63F179C3" w14:textId="1A61ACD9" w:rsidR="00FD72E5" w:rsidRDefault="00FD72E5" w:rsidP="00795780">
      <w:pPr>
        <w:pStyle w:val="Nadpis2"/>
      </w:pPr>
      <w:r>
        <w:t xml:space="preserve">Kupující potvrzuje ve smyslu ustanovení § </w:t>
      </w:r>
      <w:r w:rsidRPr="00D708D5">
        <w:t>4</w:t>
      </w:r>
      <w:r>
        <w:t xml:space="preserve">3 odst. 1 zákona č. 131/2000 Sb., </w:t>
      </w:r>
      <w:r w:rsidRPr="00D708D5">
        <w:t>o</w:t>
      </w:r>
      <w:r w:rsidRPr="00506F8A">
        <w:t xml:space="preserve"> hlavním městě Praze</w:t>
      </w:r>
      <w:r>
        <w:t xml:space="preserve">, ve znění pozdějších předpisů, že uzavření této Smlouvy </w:t>
      </w:r>
      <w:proofErr w:type="gramStart"/>
      <w:r>
        <w:t>schválilo  Zastupitelstvo</w:t>
      </w:r>
      <w:proofErr w:type="gramEnd"/>
      <w:r>
        <w:t xml:space="preserve"> MČ Praha – Zličín na svém zasedání dne</w:t>
      </w:r>
      <w:r w:rsidR="006178A2">
        <w:t xml:space="preserve"> </w:t>
      </w:r>
      <w:r w:rsidR="006178A2" w:rsidRPr="006178A2">
        <w:rPr>
          <w:b/>
          <w:bCs/>
        </w:rPr>
        <w:t>9.8.2023</w:t>
      </w:r>
      <w:r w:rsidR="006178A2">
        <w:t xml:space="preserve"> </w:t>
      </w:r>
      <w:r>
        <w:t xml:space="preserve">usnesením č. </w:t>
      </w:r>
      <w:r w:rsidR="006178A2">
        <w:t xml:space="preserve"> 5/4.2. </w:t>
      </w:r>
    </w:p>
    <w:p w14:paraId="41D91803" w14:textId="09148121" w:rsidR="00FD72E5" w:rsidRPr="006A51E0" w:rsidRDefault="00FD72E5" w:rsidP="00795780">
      <w:pPr>
        <w:pStyle w:val="Nadpis2"/>
      </w:pPr>
      <w:r>
        <w:t xml:space="preserve">Smluvní strany berou na vědomí, že tato smlouva bude uveřejněna v registru smluv podle </w:t>
      </w:r>
      <w:r w:rsidRPr="00590535">
        <w:rPr>
          <w:lang w:eastAsia="cs-CZ"/>
        </w:rPr>
        <w:t xml:space="preserve">zákona č. 340/2015 Sb., o zvláštních podmínkách účinnosti některých smluv, uveřejňování těchto smluv </w:t>
      </w:r>
      <w:r w:rsidRPr="00590535">
        <w:rPr>
          <w:lang w:eastAsia="cs-CZ"/>
        </w:rPr>
        <w:lastRenderedPageBreak/>
        <w:t xml:space="preserve">a o registru smluv (zákon o registru smluv), a s tímto uveřejněním souhlasí. Vložení smlouvy do registru smluv zajistí </w:t>
      </w:r>
      <w:r>
        <w:rPr>
          <w:lang w:eastAsia="cs-CZ"/>
        </w:rPr>
        <w:t xml:space="preserve">Kupující. </w:t>
      </w:r>
    </w:p>
    <w:bookmarkEnd w:id="53"/>
    <w:p w14:paraId="5B89FDF1" w14:textId="77777777" w:rsidR="006178A2" w:rsidRDefault="006178A2" w:rsidP="00F96B0F">
      <w:pPr>
        <w:widowControl w:val="0"/>
        <w:spacing w:before="240" w:after="0" w:line="240" w:lineRule="auto"/>
        <w:ind w:left="0"/>
        <w:jc w:val="left"/>
        <w:rPr>
          <w:b/>
          <w:caps/>
        </w:rPr>
      </w:pPr>
    </w:p>
    <w:p w14:paraId="3DD7AB3C" w14:textId="3030CF35" w:rsidR="00E63A00" w:rsidRPr="00BE2300" w:rsidRDefault="00E63A00" w:rsidP="00F96B0F">
      <w:pPr>
        <w:widowControl w:val="0"/>
        <w:spacing w:before="240" w:after="0" w:line="240" w:lineRule="auto"/>
        <w:ind w:left="0"/>
        <w:jc w:val="left"/>
      </w:pPr>
      <w:r w:rsidRPr="00BE2300">
        <w:rPr>
          <w:b/>
          <w:caps/>
        </w:rPr>
        <w:t>Na důkaz čehož</w:t>
      </w:r>
      <w:r w:rsidRPr="00BE2300">
        <w:t xml:space="preserve"> připojují Strany vlastnoruční podpisy následovně:</w:t>
      </w:r>
    </w:p>
    <w:p w14:paraId="1039770D" w14:textId="77777777" w:rsidR="006178A2" w:rsidRDefault="006178A2" w:rsidP="005247B1">
      <w:pPr>
        <w:widowControl w:val="0"/>
        <w:spacing w:before="240" w:after="0" w:line="240" w:lineRule="auto"/>
        <w:ind w:left="0"/>
        <w:jc w:val="left"/>
        <w:rPr>
          <w:b/>
        </w:rPr>
      </w:pPr>
      <w:bookmarkStart w:id="64" w:name="_Toc465298871"/>
    </w:p>
    <w:p w14:paraId="6EEA9FF3" w14:textId="51E66EE7" w:rsidR="005247B1" w:rsidRPr="00BE2300" w:rsidRDefault="007D2D4A" w:rsidP="005247B1">
      <w:pPr>
        <w:widowControl w:val="0"/>
        <w:spacing w:before="240" w:after="0" w:line="240" w:lineRule="auto"/>
        <w:ind w:left="0"/>
        <w:jc w:val="left"/>
        <w:rPr>
          <w:b/>
        </w:rPr>
      </w:pPr>
      <w:r w:rsidRPr="00BE2300">
        <w:rPr>
          <w:b/>
        </w:rPr>
        <w:t>P</w:t>
      </w:r>
      <w:r w:rsidR="005247B1" w:rsidRPr="00BE2300">
        <w:rPr>
          <w:b/>
        </w:rPr>
        <w:t>rodávající:</w:t>
      </w:r>
    </w:p>
    <w:p w14:paraId="3A072696" w14:textId="77777777" w:rsidR="005247B1" w:rsidRPr="00BE2300" w:rsidRDefault="005247B1" w:rsidP="005247B1">
      <w:pPr>
        <w:widowControl w:val="0"/>
        <w:spacing w:after="0" w:line="240" w:lineRule="auto"/>
        <w:ind w:left="0"/>
        <w:jc w:val="left"/>
      </w:pPr>
    </w:p>
    <w:tbl>
      <w:tblPr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5247B1" w:rsidRPr="00BE2300" w14:paraId="1313CE3E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3F602554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12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Podpis:</w:t>
            </w:r>
            <w:r w:rsidRPr="00BE2300">
              <w:rPr>
                <w:sz w:val="22"/>
                <w:szCs w:val="22"/>
                <w:lang w:val="cs-CZ"/>
              </w:rPr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6684E360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12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Podpis:</w:t>
            </w:r>
            <w:r w:rsidRPr="00BE2300">
              <w:rPr>
                <w:sz w:val="22"/>
                <w:szCs w:val="22"/>
                <w:lang w:val="cs-CZ"/>
              </w:rPr>
              <w:tab/>
              <w:t>_________________________</w:t>
            </w:r>
          </w:p>
        </w:tc>
      </w:tr>
      <w:tr w:rsidR="005247B1" w:rsidRPr="00BE2300" w14:paraId="5D529E07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79DBD75E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Jméno:</w:t>
            </w:r>
            <w:r w:rsidRPr="00BE2300">
              <w:rPr>
                <w:sz w:val="22"/>
                <w:szCs w:val="22"/>
                <w:lang w:val="cs-CZ"/>
              </w:rPr>
              <w:tab/>
            </w:r>
            <w:r w:rsidRPr="006178A2">
              <w:rPr>
                <w:b/>
                <w:bCs/>
                <w:sz w:val="22"/>
                <w:szCs w:val="22"/>
                <w:lang w:val="cs-CZ"/>
              </w:rPr>
              <w:t>Ing. Pavel Němeček</w:t>
            </w:r>
          </w:p>
        </w:tc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01E22FDB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Jméno:</w:t>
            </w:r>
            <w:r w:rsidRPr="00BE2300">
              <w:rPr>
                <w:sz w:val="22"/>
                <w:szCs w:val="22"/>
                <w:lang w:val="cs-CZ"/>
              </w:rPr>
              <w:tab/>
            </w:r>
            <w:r w:rsidRPr="006178A2">
              <w:rPr>
                <w:b/>
                <w:bCs/>
                <w:sz w:val="22"/>
                <w:szCs w:val="22"/>
                <w:lang w:val="cs-CZ"/>
              </w:rPr>
              <w:t>Jiří Konhefr</w:t>
            </w:r>
          </w:p>
        </w:tc>
      </w:tr>
      <w:tr w:rsidR="005247B1" w:rsidRPr="00BE2300" w14:paraId="7647C44B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45855899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Funkce:</w:t>
            </w:r>
            <w:r w:rsidRPr="00BE2300">
              <w:rPr>
                <w:sz w:val="22"/>
                <w:szCs w:val="22"/>
                <w:lang w:val="cs-CZ"/>
              </w:rPr>
              <w:tab/>
              <w:t>jednatel</w:t>
            </w:r>
          </w:p>
        </w:tc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27A4BF33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Funkce:</w:t>
            </w:r>
            <w:r w:rsidRPr="00BE2300">
              <w:rPr>
                <w:sz w:val="22"/>
                <w:szCs w:val="22"/>
                <w:lang w:val="cs-CZ"/>
              </w:rPr>
              <w:tab/>
              <w:t>jednatel</w:t>
            </w:r>
          </w:p>
        </w:tc>
      </w:tr>
      <w:tr w:rsidR="005247B1" w:rsidRPr="00BE2300" w14:paraId="767C4380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3A425700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12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Datum:</w:t>
            </w:r>
            <w:r w:rsidRPr="00BE2300">
              <w:rPr>
                <w:sz w:val="22"/>
                <w:szCs w:val="22"/>
                <w:lang w:val="cs-CZ"/>
              </w:rPr>
              <w:tab/>
            </w:r>
          </w:p>
        </w:tc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1E106841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12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Datum:</w:t>
            </w:r>
            <w:r w:rsidRPr="00BE2300">
              <w:rPr>
                <w:sz w:val="22"/>
                <w:szCs w:val="22"/>
                <w:lang w:val="cs-CZ"/>
              </w:rPr>
              <w:tab/>
            </w:r>
          </w:p>
        </w:tc>
      </w:tr>
    </w:tbl>
    <w:bookmarkEnd w:id="64"/>
    <w:p w14:paraId="1836870E" w14:textId="2CFC3D88" w:rsidR="005247B1" w:rsidRPr="00BE2300" w:rsidRDefault="007D2D4A" w:rsidP="005247B1">
      <w:pPr>
        <w:widowControl w:val="0"/>
        <w:spacing w:before="360" w:after="0" w:line="240" w:lineRule="auto"/>
        <w:ind w:left="0"/>
        <w:jc w:val="left"/>
        <w:rPr>
          <w:b/>
        </w:rPr>
      </w:pPr>
      <w:r w:rsidRPr="00BE2300">
        <w:rPr>
          <w:b/>
        </w:rPr>
        <w:t>K</w:t>
      </w:r>
      <w:r w:rsidR="005247B1" w:rsidRPr="00BE2300">
        <w:rPr>
          <w:b/>
        </w:rPr>
        <w:t>upující:</w:t>
      </w:r>
    </w:p>
    <w:p w14:paraId="7EE7D9CE" w14:textId="77777777" w:rsidR="005247B1" w:rsidRPr="00BE2300" w:rsidRDefault="005247B1" w:rsidP="005247B1">
      <w:pPr>
        <w:widowControl w:val="0"/>
        <w:spacing w:after="0" w:line="240" w:lineRule="auto"/>
        <w:ind w:left="0"/>
        <w:jc w:val="left"/>
      </w:pPr>
    </w:p>
    <w:tbl>
      <w:tblPr>
        <w:tblW w:w="4322" w:type="dxa"/>
        <w:tblLook w:val="04A0" w:firstRow="1" w:lastRow="0" w:firstColumn="1" w:lastColumn="0" w:noHBand="0" w:noVBand="1"/>
      </w:tblPr>
      <w:tblGrid>
        <w:gridCol w:w="4322"/>
      </w:tblGrid>
      <w:tr w:rsidR="005247B1" w:rsidRPr="00BE2300" w14:paraId="3FBE577F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1F9BBD1B" w14:textId="77777777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120" w:after="0" w:line="288" w:lineRule="auto"/>
              <w:ind w:left="0" w:firstLine="0"/>
              <w:jc w:val="both"/>
              <w:rPr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Podpis:</w:t>
            </w:r>
            <w:r w:rsidRPr="00BE2300">
              <w:rPr>
                <w:sz w:val="22"/>
                <w:szCs w:val="22"/>
                <w:lang w:val="cs-CZ"/>
              </w:rPr>
              <w:tab/>
              <w:t>_________________________</w:t>
            </w:r>
          </w:p>
        </w:tc>
      </w:tr>
      <w:tr w:rsidR="005247B1" w:rsidRPr="00BE2300" w14:paraId="19DA99F2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042F7856" w14:textId="17DF6AED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Jméno:</w:t>
            </w:r>
            <w:r w:rsidRPr="00BE2300">
              <w:rPr>
                <w:sz w:val="22"/>
                <w:szCs w:val="22"/>
                <w:lang w:val="cs-CZ"/>
              </w:rPr>
              <w:tab/>
            </w:r>
            <w:r w:rsidR="00FD72E5" w:rsidRPr="006178A2">
              <w:rPr>
                <w:b/>
                <w:bCs/>
                <w:sz w:val="22"/>
                <w:szCs w:val="22"/>
                <w:lang w:val="cs-CZ"/>
              </w:rPr>
              <w:t>JUDr. Marta Koropecká</w:t>
            </w:r>
          </w:p>
        </w:tc>
      </w:tr>
      <w:tr w:rsidR="005247B1" w:rsidRPr="00BE2300" w14:paraId="00420C54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72508FE9" w14:textId="3D4F353F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Funkce:</w:t>
            </w:r>
            <w:r w:rsidRPr="00BE2300">
              <w:rPr>
                <w:sz w:val="22"/>
                <w:szCs w:val="22"/>
                <w:lang w:val="cs-CZ"/>
              </w:rPr>
              <w:tab/>
            </w:r>
            <w:r w:rsidR="00FD72E5">
              <w:rPr>
                <w:sz w:val="22"/>
                <w:szCs w:val="22"/>
                <w:lang w:val="cs-CZ"/>
              </w:rPr>
              <w:t xml:space="preserve">starostka MČ </w:t>
            </w:r>
          </w:p>
        </w:tc>
      </w:tr>
      <w:tr w:rsidR="005247B1" w:rsidRPr="00BE2300" w14:paraId="771204C2" w14:textId="77777777" w:rsidTr="005247B1">
        <w:tc>
          <w:tcPr>
            <w:tcW w:w="4322" w:type="dxa"/>
            <w:shd w:val="clear" w:color="auto" w:fill="auto"/>
            <w:tcMar>
              <w:left w:w="0" w:type="dxa"/>
              <w:right w:w="0" w:type="dxa"/>
            </w:tcMar>
          </w:tcPr>
          <w:p w14:paraId="00DFB2F5" w14:textId="1EB91DF6" w:rsidR="005247B1" w:rsidRPr="00BE2300" w:rsidRDefault="005247B1" w:rsidP="005247B1">
            <w:pPr>
              <w:pStyle w:val="SignatureBlock"/>
              <w:keepLines w:val="0"/>
              <w:widowControl w:val="0"/>
              <w:tabs>
                <w:tab w:val="clear" w:pos="5731"/>
                <w:tab w:val="left" w:pos="900"/>
                <w:tab w:val="left" w:pos="5387"/>
              </w:tabs>
              <w:spacing w:before="0" w:after="120" w:line="288" w:lineRule="auto"/>
              <w:ind w:left="0" w:firstLine="0"/>
              <w:jc w:val="both"/>
              <w:rPr>
                <w:sz w:val="22"/>
                <w:szCs w:val="22"/>
                <w:lang w:val="cs-CZ"/>
              </w:rPr>
            </w:pPr>
            <w:r w:rsidRPr="00BE2300">
              <w:rPr>
                <w:sz w:val="22"/>
                <w:szCs w:val="22"/>
                <w:lang w:val="cs-CZ"/>
              </w:rPr>
              <w:t>Datum:</w:t>
            </w:r>
            <w:r w:rsidRPr="00BE2300">
              <w:rPr>
                <w:sz w:val="22"/>
                <w:szCs w:val="22"/>
                <w:lang w:val="cs-CZ"/>
              </w:rPr>
              <w:tab/>
            </w:r>
            <w:r w:rsidR="00C4417F">
              <w:rPr>
                <w:sz w:val="22"/>
                <w:szCs w:val="22"/>
                <w:lang w:val="cs-CZ"/>
              </w:rPr>
              <w:t>21.8.2023</w:t>
            </w:r>
          </w:p>
        </w:tc>
      </w:t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tbl>
    <w:p w14:paraId="43D9A19F" w14:textId="77777777" w:rsidR="004B0640" w:rsidRDefault="004B0640" w:rsidP="004B0640">
      <w:pPr>
        <w:pStyle w:val="AHAttachment"/>
        <w:spacing w:before="0" w:after="0" w:line="240" w:lineRule="auto"/>
        <w:rPr>
          <w:sz w:val="24"/>
          <w:szCs w:val="24"/>
        </w:rPr>
      </w:pPr>
    </w:p>
    <w:p w14:paraId="2B7457B0" w14:textId="77777777" w:rsidR="004B0640" w:rsidRDefault="004B0640" w:rsidP="004B0640">
      <w:pPr>
        <w:pStyle w:val="AHAttachment"/>
        <w:spacing w:before="0" w:after="0" w:line="240" w:lineRule="auto"/>
        <w:rPr>
          <w:sz w:val="24"/>
          <w:szCs w:val="24"/>
        </w:rPr>
      </w:pPr>
    </w:p>
    <w:p w14:paraId="5070939B" w14:textId="66A6E38C" w:rsidR="004B0640" w:rsidRDefault="004B0640" w:rsidP="004B0640">
      <w:pPr>
        <w:pStyle w:val="AHAttachment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01338250" w14:textId="192DC875" w:rsidR="004B0640" w:rsidRPr="004B0640" w:rsidRDefault="004B0640" w:rsidP="004B0640">
      <w:pPr>
        <w:pStyle w:val="AHAttachment"/>
        <w:numPr>
          <w:ilvl w:val="0"/>
          <w:numId w:val="11"/>
        </w:numPr>
        <w:spacing w:before="0" w:after="0" w:line="240" w:lineRule="auto"/>
        <w:rPr>
          <w:b w:val="0"/>
          <w:bCs/>
          <w:sz w:val="24"/>
          <w:szCs w:val="24"/>
        </w:rPr>
      </w:pPr>
      <w:r w:rsidRPr="004B0640">
        <w:rPr>
          <w:b w:val="0"/>
          <w:bCs/>
          <w:sz w:val="24"/>
          <w:szCs w:val="24"/>
        </w:rPr>
        <w:t>SITUACE</w:t>
      </w:r>
    </w:p>
    <w:p w14:paraId="3CD1971D" w14:textId="5C54CBC3" w:rsidR="004B0640" w:rsidRPr="004B0640" w:rsidRDefault="004B0640" w:rsidP="004B0640">
      <w:pPr>
        <w:pStyle w:val="AHAttachment"/>
        <w:numPr>
          <w:ilvl w:val="0"/>
          <w:numId w:val="11"/>
        </w:numPr>
        <w:spacing w:before="0" w:after="0" w:line="240" w:lineRule="auto"/>
        <w:rPr>
          <w:b w:val="0"/>
          <w:bCs/>
          <w:sz w:val="24"/>
          <w:szCs w:val="24"/>
        </w:rPr>
      </w:pPr>
      <w:r w:rsidRPr="004B0640">
        <w:rPr>
          <w:b w:val="0"/>
          <w:bCs/>
          <w:sz w:val="24"/>
          <w:szCs w:val="24"/>
        </w:rPr>
        <w:t xml:space="preserve">SNÍMEK KATASTRÁLNÍ MAPY </w:t>
      </w:r>
    </w:p>
    <w:sectPr w:rsidR="004B0640" w:rsidRPr="004B0640" w:rsidSect="00032F1A">
      <w:headerReference w:type="default" r:id="rId8"/>
      <w:footerReference w:type="default" r:id="rId9"/>
      <w:endnotePr>
        <w:numFmt w:val="lowerLetter"/>
      </w:endnotePr>
      <w:pgSz w:w="11906" w:h="16838" w:code="9"/>
      <w:pgMar w:top="1418" w:right="1418" w:bottom="1418" w:left="1418" w:header="851" w:footer="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1B3D" w14:textId="77777777" w:rsidR="00117176" w:rsidRDefault="00117176">
      <w:pPr>
        <w:spacing w:after="0" w:line="240" w:lineRule="auto"/>
      </w:pPr>
      <w:r>
        <w:separator/>
      </w:r>
    </w:p>
  </w:endnote>
  <w:endnote w:type="continuationSeparator" w:id="0">
    <w:p w14:paraId="550FE71F" w14:textId="77777777" w:rsidR="00117176" w:rsidRDefault="00117176">
      <w:pPr>
        <w:spacing w:after="0" w:line="240" w:lineRule="auto"/>
      </w:pPr>
      <w:r>
        <w:continuationSeparator/>
      </w:r>
    </w:p>
  </w:endnote>
  <w:endnote w:type="continuationNotice" w:id="1">
    <w:p w14:paraId="6CDF4FFD" w14:textId="77777777" w:rsidR="00117176" w:rsidRDefault="00117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2814" w14:textId="77777777" w:rsidR="006C0C57" w:rsidRDefault="006C0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2FE5" w14:textId="77777777" w:rsidR="00117176" w:rsidRDefault="00117176">
      <w:pPr>
        <w:spacing w:after="0" w:line="240" w:lineRule="auto"/>
      </w:pPr>
      <w:r>
        <w:separator/>
      </w:r>
    </w:p>
  </w:footnote>
  <w:footnote w:type="continuationSeparator" w:id="0">
    <w:p w14:paraId="555C165D" w14:textId="77777777" w:rsidR="00117176" w:rsidRDefault="00117176">
      <w:pPr>
        <w:spacing w:after="0" w:line="240" w:lineRule="auto"/>
      </w:pPr>
      <w:r>
        <w:continuationSeparator/>
      </w:r>
    </w:p>
  </w:footnote>
  <w:footnote w:type="continuationNotice" w:id="1">
    <w:p w14:paraId="58E51AEF" w14:textId="77777777" w:rsidR="00117176" w:rsidRDefault="001171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F1E" w14:textId="77777777" w:rsidR="006C0C57" w:rsidRDefault="006C0C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6B7"/>
    <w:multiLevelType w:val="hybridMultilevel"/>
    <w:tmpl w:val="57642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783"/>
    <w:multiLevelType w:val="hybridMultilevel"/>
    <w:tmpl w:val="F2D6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FD4168"/>
    <w:multiLevelType w:val="hybridMultilevel"/>
    <w:tmpl w:val="F1B6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36E"/>
    <w:multiLevelType w:val="multilevel"/>
    <w:tmpl w:val="977AD1D6"/>
    <w:lvl w:ilvl="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upperLetter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5" w15:restartNumberingAfterBreak="0">
    <w:nsid w:val="2D067609"/>
    <w:multiLevelType w:val="multilevel"/>
    <w:tmpl w:val="06B80D1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6" w15:restartNumberingAfterBreak="0">
    <w:nsid w:val="64BF408A"/>
    <w:multiLevelType w:val="multilevel"/>
    <w:tmpl w:val="F946BD74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EBA260A"/>
    <w:multiLevelType w:val="hybridMultilevel"/>
    <w:tmpl w:val="1A3CC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411DC"/>
    <w:multiLevelType w:val="hybridMultilevel"/>
    <w:tmpl w:val="A56A7AD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7DB56C49"/>
    <w:multiLevelType w:val="hybridMultilevel"/>
    <w:tmpl w:val="E98C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851734">
    <w:abstractNumId w:val="5"/>
  </w:num>
  <w:num w:numId="2" w16cid:durableId="1915973924">
    <w:abstractNumId w:val="6"/>
  </w:num>
  <w:num w:numId="3" w16cid:durableId="733940317">
    <w:abstractNumId w:val="2"/>
  </w:num>
  <w:num w:numId="4" w16cid:durableId="1253389851">
    <w:abstractNumId w:val="8"/>
  </w:num>
  <w:num w:numId="5" w16cid:durableId="1654407178">
    <w:abstractNumId w:val="4"/>
  </w:num>
  <w:num w:numId="6" w16cid:durableId="83720957">
    <w:abstractNumId w:val="5"/>
    <w:lvlOverride w:ilvl="0">
      <w:startOverride w:val="7"/>
    </w:lvlOverride>
    <w:lvlOverride w:ilvl="1">
      <w:startOverride w:val="4"/>
    </w:lvlOverride>
  </w:num>
  <w:num w:numId="7" w16cid:durableId="1238587537">
    <w:abstractNumId w:val="0"/>
  </w:num>
  <w:num w:numId="8" w16cid:durableId="825898414">
    <w:abstractNumId w:val="3"/>
  </w:num>
  <w:num w:numId="9" w16cid:durableId="397094123">
    <w:abstractNumId w:val="9"/>
  </w:num>
  <w:num w:numId="10" w16cid:durableId="1550650397">
    <w:abstractNumId w:val="7"/>
  </w:num>
  <w:num w:numId="11" w16cid:durableId="195895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BF"/>
    <w:rsid w:val="00001AA0"/>
    <w:rsid w:val="00002C36"/>
    <w:rsid w:val="0001603B"/>
    <w:rsid w:val="00022A1E"/>
    <w:rsid w:val="00024841"/>
    <w:rsid w:val="00032F1A"/>
    <w:rsid w:val="00035133"/>
    <w:rsid w:val="000376CD"/>
    <w:rsid w:val="000407E8"/>
    <w:rsid w:val="00043C20"/>
    <w:rsid w:val="0004745C"/>
    <w:rsid w:val="00052AA3"/>
    <w:rsid w:val="00053E9F"/>
    <w:rsid w:val="000636D5"/>
    <w:rsid w:val="00076761"/>
    <w:rsid w:val="00083658"/>
    <w:rsid w:val="00091719"/>
    <w:rsid w:val="00094117"/>
    <w:rsid w:val="0009680C"/>
    <w:rsid w:val="00097178"/>
    <w:rsid w:val="000A14C0"/>
    <w:rsid w:val="000A7678"/>
    <w:rsid w:val="000D45ED"/>
    <w:rsid w:val="000E0355"/>
    <w:rsid w:val="000E2566"/>
    <w:rsid w:val="000E2C8E"/>
    <w:rsid w:val="000F7754"/>
    <w:rsid w:val="000F7846"/>
    <w:rsid w:val="00102680"/>
    <w:rsid w:val="00107281"/>
    <w:rsid w:val="001074A6"/>
    <w:rsid w:val="00111DBA"/>
    <w:rsid w:val="001142C0"/>
    <w:rsid w:val="00117176"/>
    <w:rsid w:val="0013131D"/>
    <w:rsid w:val="00131DA0"/>
    <w:rsid w:val="00133CBF"/>
    <w:rsid w:val="001350B6"/>
    <w:rsid w:val="001371C0"/>
    <w:rsid w:val="001413AF"/>
    <w:rsid w:val="001438F8"/>
    <w:rsid w:val="001558A5"/>
    <w:rsid w:val="001567A7"/>
    <w:rsid w:val="0016112E"/>
    <w:rsid w:val="001612BE"/>
    <w:rsid w:val="00162C0D"/>
    <w:rsid w:val="00175763"/>
    <w:rsid w:val="00175A16"/>
    <w:rsid w:val="00185C60"/>
    <w:rsid w:val="0019472A"/>
    <w:rsid w:val="001A48CC"/>
    <w:rsid w:val="001A57B1"/>
    <w:rsid w:val="001C6141"/>
    <w:rsid w:val="001D041E"/>
    <w:rsid w:val="001D75A8"/>
    <w:rsid w:val="001F0425"/>
    <w:rsid w:val="001F3487"/>
    <w:rsid w:val="002037B2"/>
    <w:rsid w:val="0021092D"/>
    <w:rsid w:val="00217D0D"/>
    <w:rsid w:val="00242DAF"/>
    <w:rsid w:val="00261F98"/>
    <w:rsid w:val="00262436"/>
    <w:rsid w:val="002644B2"/>
    <w:rsid w:val="002669EF"/>
    <w:rsid w:val="00273371"/>
    <w:rsid w:val="00282C08"/>
    <w:rsid w:val="00284A9D"/>
    <w:rsid w:val="00285D98"/>
    <w:rsid w:val="002917B7"/>
    <w:rsid w:val="00292E41"/>
    <w:rsid w:val="002A0B29"/>
    <w:rsid w:val="002A6E00"/>
    <w:rsid w:val="002A7B29"/>
    <w:rsid w:val="002B080E"/>
    <w:rsid w:val="002B18AC"/>
    <w:rsid w:val="002B3170"/>
    <w:rsid w:val="002B5A9D"/>
    <w:rsid w:val="002B79BB"/>
    <w:rsid w:val="002C07C7"/>
    <w:rsid w:val="002F307E"/>
    <w:rsid w:val="002F57FD"/>
    <w:rsid w:val="002F5F84"/>
    <w:rsid w:val="003101B3"/>
    <w:rsid w:val="00314BD3"/>
    <w:rsid w:val="0031524E"/>
    <w:rsid w:val="0031540A"/>
    <w:rsid w:val="003160C5"/>
    <w:rsid w:val="00321832"/>
    <w:rsid w:val="00343586"/>
    <w:rsid w:val="00360458"/>
    <w:rsid w:val="00360E01"/>
    <w:rsid w:val="0039570D"/>
    <w:rsid w:val="003A26E6"/>
    <w:rsid w:val="003A7BD4"/>
    <w:rsid w:val="003B15F2"/>
    <w:rsid w:val="003D64CA"/>
    <w:rsid w:val="003E1D29"/>
    <w:rsid w:val="003E41AE"/>
    <w:rsid w:val="00405504"/>
    <w:rsid w:val="004058B3"/>
    <w:rsid w:val="00410F77"/>
    <w:rsid w:val="00411B20"/>
    <w:rsid w:val="00425BC0"/>
    <w:rsid w:val="004272CE"/>
    <w:rsid w:val="004323DA"/>
    <w:rsid w:val="00433A3C"/>
    <w:rsid w:val="00443F78"/>
    <w:rsid w:val="00445D9A"/>
    <w:rsid w:val="004520D6"/>
    <w:rsid w:val="00455C78"/>
    <w:rsid w:val="00474622"/>
    <w:rsid w:val="004851B1"/>
    <w:rsid w:val="00491B64"/>
    <w:rsid w:val="00496C99"/>
    <w:rsid w:val="004A1F1B"/>
    <w:rsid w:val="004A36BC"/>
    <w:rsid w:val="004B0640"/>
    <w:rsid w:val="004B267C"/>
    <w:rsid w:val="004B701A"/>
    <w:rsid w:val="004B7F64"/>
    <w:rsid w:val="004C50AA"/>
    <w:rsid w:val="004C699B"/>
    <w:rsid w:val="004D4DD2"/>
    <w:rsid w:val="004D5058"/>
    <w:rsid w:val="004E4729"/>
    <w:rsid w:val="004F106E"/>
    <w:rsid w:val="004F4123"/>
    <w:rsid w:val="00501126"/>
    <w:rsid w:val="0050395D"/>
    <w:rsid w:val="0050652F"/>
    <w:rsid w:val="00506F8A"/>
    <w:rsid w:val="00510A14"/>
    <w:rsid w:val="00514D54"/>
    <w:rsid w:val="005247B1"/>
    <w:rsid w:val="005313F3"/>
    <w:rsid w:val="00534A30"/>
    <w:rsid w:val="00567A3B"/>
    <w:rsid w:val="00572E35"/>
    <w:rsid w:val="005803EC"/>
    <w:rsid w:val="0058733D"/>
    <w:rsid w:val="00591376"/>
    <w:rsid w:val="005A6F53"/>
    <w:rsid w:val="005B0A2A"/>
    <w:rsid w:val="005C7738"/>
    <w:rsid w:val="005D343C"/>
    <w:rsid w:val="005D5AEC"/>
    <w:rsid w:val="005D73EF"/>
    <w:rsid w:val="005E3258"/>
    <w:rsid w:val="005F059A"/>
    <w:rsid w:val="005F1176"/>
    <w:rsid w:val="005F6092"/>
    <w:rsid w:val="00600621"/>
    <w:rsid w:val="00600CCE"/>
    <w:rsid w:val="00606595"/>
    <w:rsid w:val="006178A2"/>
    <w:rsid w:val="006314DD"/>
    <w:rsid w:val="006337FF"/>
    <w:rsid w:val="00637E65"/>
    <w:rsid w:val="00652192"/>
    <w:rsid w:val="00654F59"/>
    <w:rsid w:val="006552BB"/>
    <w:rsid w:val="00657830"/>
    <w:rsid w:val="006632A1"/>
    <w:rsid w:val="00667A57"/>
    <w:rsid w:val="0067554D"/>
    <w:rsid w:val="00683603"/>
    <w:rsid w:val="00692C9F"/>
    <w:rsid w:val="00693B59"/>
    <w:rsid w:val="00696920"/>
    <w:rsid w:val="006B7C68"/>
    <w:rsid w:val="006C0C57"/>
    <w:rsid w:val="006C208B"/>
    <w:rsid w:val="006C3775"/>
    <w:rsid w:val="006C6611"/>
    <w:rsid w:val="006D4C33"/>
    <w:rsid w:val="006E663C"/>
    <w:rsid w:val="006F5A8A"/>
    <w:rsid w:val="007004F4"/>
    <w:rsid w:val="0070308B"/>
    <w:rsid w:val="007114AA"/>
    <w:rsid w:val="0072216C"/>
    <w:rsid w:val="007336FE"/>
    <w:rsid w:val="00736B15"/>
    <w:rsid w:val="007477C4"/>
    <w:rsid w:val="00754C5D"/>
    <w:rsid w:val="00764E8F"/>
    <w:rsid w:val="0076751B"/>
    <w:rsid w:val="007815F7"/>
    <w:rsid w:val="00781BDA"/>
    <w:rsid w:val="00782720"/>
    <w:rsid w:val="00795780"/>
    <w:rsid w:val="007A0B72"/>
    <w:rsid w:val="007A10CF"/>
    <w:rsid w:val="007A1AEE"/>
    <w:rsid w:val="007A62B7"/>
    <w:rsid w:val="007B04A3"/>
    <w:rsid w:val="007D28DC"/>
    <w:rsid w:val="007D2D4A"/>
    <w:rsid w:val="007E3881"/>
    <w:rsid w:val="007E5B8F"/>
    <w:rsid w:val="007E6959"/>
    <w:rsid w:val="007E7B2A"/>
    <w:rsid w:val="007F19BF"/>
    <w:rsid w:val="007F4302"/>
    <w:rsid w:val="007F4D6A"/>
    <w:rsid w:val="007F4D9C"/>
    <w:rsid w:val="00816EC5"/>
    <w:rsid w:val="00825FBE"/>
    <w:rsid w:val="00835525"/>
    <w:rsid w:val="0084237B"/>
    <w:rsid w:val="00843601"/>
    <w:rsid w:val="00846487"/>
    <w:rsid w:val="008502CA"/>
    <w:rsid w:val="00850A9A"/>
    <w:rsid w:val="00853034"/>
    <w:rsid w:val="0087647F"/>
    <w:rsid w:val="00884B2E"/>
    <w:rsid w:val="008868E6"/>
    <w:rsid w:val="00893B11"/>
    <w:rsid w:val="00894F15"/>
    <w:rsid w:val="008B0C5B"/>
    <w:rsid w:val="008B22D2"/>
    <w:rsid w:val="008B7A9F"/>
    <w:rsid w:val="008D4DE9"/>
    <w:rsid w:val="008E545B"/>
    <w:rsid w:val="008E5749"/>
    <w:rsid w:val="008F6166"/>
    <w:rsid w:val="009020F0"/>
    <w:rsid w:val="009118CC"/>
    <w:rsid w:val="00912F7B"/>
    <w:rsid w:val="00917818"/>
    <w:rsid w:val="009313C5"/>
    <w:rsid w:val="00943E0A"/>
    <w:rsid w:val="00943EF6"/>
    <w:rsid w:val="00950AAB"/>
    <w:rsid w:val="009672EC"/>
    <w:rsid w:val="0098157E"/>
    <w:rsid w:val="00992606"/>
    <w:rsid w:val="009B1A63"/>
    <w:rsid w:val="009D3665"/>
    <w:rsid w:val="009E0BE0"/>
    <w:rsid w:val="009F1A90"/>
    <w:rsid w:val="009F76AD"/>
    <w:rsid w:val="00A11A1B"/>
    <w:rsid w:val="00A3798B"/>
    <w:rsid w:val="00A4777A"/>
    <w:rsid w:val="00A479F3"/>
    <w:rsid w:val="00A50A57"/>
    <w:rsid w:val="00A55D53"/>
    <w:rsid w:val="00A614E7"/>
    <w:rsid w:val="00A73942"/>
    <w:rsid w:val="00A83781"/>
    <w:rsid w:val="00A95A62"/>
    <w:rsid w:val="00AA3982"/>
    <w:rsid w:val="00AA39FF"/>
    <w:rsid w:val="00AC7192"/>
    <w:rsid w:val="00AC74D7"/>
    <w:rsid w:val="00AD1D27"/>
    <w:rsid w:val="00AE32AE"/>
    <w:rsid w:val="00AF231A"/>
    <w:rsid w:val="00AF75D6"/>
    <w:rsid w:val="00B02813"/>
    <w:rsid w:val="00B15AD7"/>
    <w:rsid w:val="00B200A2"/>
    <w:rsid w:val="00B22DC9"/>
    <w:rsid w:val="00B4120A"/>
    <w:rsid w:val="00B42B60"/>
    <w:rsid w:val="00B47072"/>
    <w:rsid w:val="00B51A31"/>
    <w:rsid w:val="00B54FBF"/>
    <w:rsid w:val="00B723DF"/>
    <w:rsid w:val="00B7654A"/>
    <w:rsid w:val="00B962EA"/>
    <w:rsid w:val="00BB4188"/>
    <w:rsid w:val="00BC4F86"/>
    <w:rsid w:val="00BE2300"/>
    <w:rsid w:val="00BE43C6"/>
    <w:rsid w:val="00BE57AC"/>
    <w:rsid w:val="00BF0E2D"/>
    <w:rsid w:val="00BF1E48"/>
    <w:rsid w:val="00BF3CF9"/>
    <w:rsid w:val="00C039FD"/>
    <w:rsid w:val="00C074BC"/>
    <w:rsid w:val="00C10274"/>
    <w:rsid w:val="00C179C1"/>
    <w:rsid w:val="00C35414"/>
    <w:rsid w:val="00C35D81"/>
    <w:rsid w:val="00C434B1"/>
    <w:rsid w:val="00C4417F"/>
    <w:rsid w:val="00C458E0"/>
    <w:rsid w:val="00C913A6"/>
    <w:rsid w:val="00C963F4"/>
    <w:rsid w:val="00CA0F02"/>
    <w:rsid w:val="00CB0D5E"/>
    <w:rsid w:val="00CC7CF0"/>
    <w:rsid w:val="00CD1B4E"/>
    <w:rsid w:val="00CE54E5"/>
    <w:rsid w:val="00CE767C"/>
    <w:rsid w:val="00CF2353"/>
    <w:rsid w:val="00CF2832"/>
    <w:rsid w:val="00D301FC"/>
    <w:rsid w:val="00D44176"/>
    <w:rsid w:val="00D56DFD"/>
    <w:rsid w:val="00D62E2D"/>
    <w:rsid w:val="00D758AE"/>
    <w:rsid w:val="00D8651A"/>
    <w:rsid w:val="00D9255B"/>
    <w:rsid w:val="00D9278F"/>
    <w:rsid w:val="00DA6401"/>
    <w:rsid w:val="00DA7EA7"/>
    <w:rsid w:val="00DB5732"/>
    <w:rsid w:val="00DD2917"/>
    <w:rsid w:val="00DD4905"/>
    <w:rsid w:val="00DD6307"/>
    <w:rsid w:val="00DD7592"/>
    <w:rsid w:val="00DE2315"/>
    <w:rsid w:val="00DE7AC9"/>
    <w:rsid w:val="00E178D9"/>
    <w:rsid w:val="00E529A7"/>
    <w:rsid w:val="00E5414C"/>
    <w:rsid w:val="00E63A00"/>
    <w:rsid w:val="00E67A57"/>
    <w:rsid w:val="00E742B8"/>
    <w:rsid w:val="00E75F3E"/>
    <w:rsid w:val="00E9204F"/>
    <w:rsid w:val="00EA015C"/>
    <w:rsid w:val="00EA4911"/>
    <w:rsid w:val="00EB602F"/>
    <w:rsid w:val="00EC4AB7"/>
    <w:rsid w:val="00EC7353"/>
    <w:rsid w:val="00ED4D28"/>
    <w:rsid w:val="00ED55C3"/>
    <w:rsid w:val="00ED6578"/>
    <w:rsid w:val="00ED6B8D"/>
    <w:rsid w:val="00ED7B92"/>
    <w:rsid w:val="00ED7F90"/>
    <w:rsid w:val="00F11E21"/>
    <w:rsid w:val="00F11FFD"/>
    <w:rsid w:val="00F174B3"/>
    <w:rsid w:val="00F21151"/>
    <w:rsid w:val="00F34BA5"/>
    <w:rsid w:val="00F44B4A"/>
    <w:rsid w:val="00F477A1"/>
    <w:rsid w:val="00F51769"/>
    <w:rsid w:val="00F56E9A"/>
    <w:rsid w:val="00F601B7"/>
    <w:rsid w:val="00F64DDB"/>
    <w:rsid w:val="00F767F0"/>
    <w:rsid w:val="00F816C2"/>
    <w:rsid w:val="00F84A00"/>
    <w:rsid w:val="00F86097"/>
    <w:rsid w:val="00F872E9"/>
    <w:rsid w:val="00F936AE"/>
    <w:rsid w:val="00F96B0F"/>
    <w:rsid w:val="00FA6DFB"/>
    <w:rsid w:val="00FB0BB3"/>
    <w:rsid w:val="00FB5576"/>
    <w:rsid w:val="00FB66DF"/>
    <w:rsid w:val="00FD0EEC"/>
    <w:rsid w:val="00FD1034"/>
    <w:rsid w:val="00FD32F0"/>
    <w:rsid w:val="00FD47FC"/>
    <w:rsid w:val="00FD72E5"/>
    <w:rsid w:val="00FE2F38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4A8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C9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3F4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3F4"/>
    <w:rPr>
      <w:rFonts w:ascii="Times New Roman" w:eastAsia="Batang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66B7-0C13-4C1F-A4D9-4455DF9D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2023-08-21T12:00:00Z</dcterms:created>
  <dcterms:modified xsi:type="dcterms:W3CDTF">2023-08-21T12:12:00Z</dcterms:modified>
</cp:coreProperties>
</file>