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82CE" w14:textId="5FD7C27C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CF207E">
        <w:rPr>
          <w:rFonts w:ascii="Times New Roman" w:hAnsi="Times New Roman" w:cs="Times New Roman"/>
          <w:color w:val="auto"/>
          <w:sz w:val="28"/>
        </w:rPr>
        <w:t>2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cs-CZ"/>
              </w:rPr>
              <w:t>Sjezdy do vody na Vltavě – Správce stavby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Z2023-014915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Nadlimitní veřejná zakázka na služby rozdělená na čtyři části zadávaná v otevřeném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055F3214" w14:textId="006CAB3C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„TYMDI/INF – Sjezdy do vody na Vltavě“</w:t>
      </w:r>
    </w:p>
    <w:p w14:paraId="3010CA6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F662" w14:textId="63F1DCEF" w:rsidR="005A1328" w:rsidRPr="005A1328" w:rsidRDefault="005A1328" w:rsidP="005A1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28">
        <w:rPr>
          <w:rFonts w:ascii="Times New Roman" w:hAnsi="Times New Roman" w:cs="Times New Roman"/>
          <w:sz w:val="24"/>
          <w:szCs w:val="24"/>
        </w:rPr>
        <w:t>Správce společnosti:</w:t>
      </w:r>
    </w:p>
    <w:p w14:paraId="6468CCD7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Tým dopravního inženýrství s.r.o.</w:t>
      </w:r>
    </w:p>
    <w:p w14:paraId="238739A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Moskevská 532/60, 101 00, Praha 10</w:t>
      </w:r>
    </w:p>
    <w:p w14:paraId="15BADA6A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248 31 832</w:t>
      </w:r>
    </w:p>
    <w:p w14:paraId="3C59D0D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D10F5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Společník:</w:t>
      </w:r>
    </w:p>
    <w:p w14:paraId="76706CD4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8">
        <w:rPr>
          <w:rFonts w:ascii="Times New Roman" w:hAnsi="Times New Roman" w:cs="Times New Roman"/>
          <w:b/>
          <w:sz w:val="24"/>
          <w:szCs w:val="24"/>
        </w:rPr>
        <w:t>INFRAM a.s.</w:t>
      </w:r>
    </w:p>
    <w:p w14:paraId="520BFB7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Pelušková 1407, 198 00 Praha 9</w:t>
      </w:r>
    </w:p>
    <w:p w14:paraId="30BA3D20" w14:textId="078EF87B" w:rsid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250 70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A1328">
        <w:rPr>
          <w:rFonts w:ascii="Times New Roman" w:hAnsi="Times New Roman" w:cs="Times New Roman"/>
          <w:bCs/>
          <w:sz w:val="24"/>
          <w:szCs w:val="24"/>
        </w:rPr>
        <w:t>282</w:t>
      </w:r>
    </w:p>
    <w:p w14:paraId="642AB4D2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A150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  <w:bookmarkStart w:id="3" w:name="_GoBack"/>
      <w:bookmarkEnd w:id="3"/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Přílohou tohoto oznámení je:</w:t>
      </w:r>
    </w:p>
    <w:p w14:paraId="5EED5231" w14:textId="6B7D5C61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CF207E">
        <w:rPr>
          <w:rFonts w:ascii="Times New Roman" w:hAnsi="Times New Roman" w:cs="Times New Roman"/>
          <w:bCs/>
          <w:sz w:val="24"/>
          <w:szCs w:val="24"/>
          <w:lang w:eastAsia="cs-CZ"/>
        </w:rPr>
        <w:t>2</w:t>
      </w:r>
    </w:p>
    <w:p w14:paraId="51770887" w14:textId="2088C4E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CF207E">
        <w:rPr>
          <w:rFonts w:ascii="Times New Roman" w:hAnsi="Times New Roman" w:cs="Times New Roman"/>
          <w:bCs/>
          <w:sz w:val="24"/>
          <w:szCs w:val="24"/>
          <w:lang w:eastAsia="cs-CZ"/>
        </w:rPr>
        <w:t>2</w:t>
      </w:r>
    </w:p>
    <w:p w14:paraId="5E8EFE01" w14:textId="36FF7D84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CF207E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 xml:space="preserve">Lokalita </w:t>
      </w:r>
      <w:proofErr w:type="spellStart"/>
      <w:r w:rsidR="00CF207E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227216">
        <w:rPr>
          <w:rFonts w:ascii="Times New Roman" w:hAnsi="Times New Roman" w:cs="Times New Roman"/>
          <w:sz w:val="24"/>
          <w:szCs w:val="24"/>
          <w:lang w:eastAsia="cs-CZ"/>
        </w:rPr>
        <w:t>r</w:t>
      </w:r>
      <w:r w:rsidR="00CF207E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227216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CF207E">
        <w:rPr>
          <w:rFonts w:ascii="Times New Roman" w:hAnsi="Times New Roman" w:cs="Times New Roman"/>
          <w:sz w:val="24"/>
          <w:szCs w:val="24"/>
          <w:lang w:eastAsia="cs-CZ"/>
        </w:rPr>
        <w:t>ek</w:t>
      </w:r>
      <w:proofErr w:type="spellEnd"/>
      <w:r w:rsidR="0002478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CF207E">
        <w:rPr>
          <w:rFonts w:ascii="Times New Roman" w:hAnsi="Times New Roman" w:cs="Times New Roman"/>
          <w:bCs/>
          <w:sz w:val="24"/>
          <w:szCs w:val="24"/>
          <w:lang w:eastAsia="cs-CZ"/>
        </w:rPr>
        <w:t>2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CF207E">
        <w:rPr>
          <w:rFonts w:ascii="Times New Roman" w:hAnsi="Times New Roman" w:cs="Times New Roman"/>
          <w:bCs/>
          <w:sz w:val="24"/>
          <w:szCs w:val="24"/>
          <w:lang w:eastAsia="cs-CZ"/>
        </w:rPr>
        <w:t>2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13AF83F7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4F6662CD" w14:textId="16035658" w:rsidR="00043D70" w:rsidRDefault="00043D70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1432E8" w14:textId="36F1A5F4" w:rsidR="00043D70" w:rsidRDefault="00043D70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A7F552A" w14:textId="77777777" w:rsidR="00043D70" w:rsidRDefault="00043D70" w:rsidP="00043D70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11F31097" w14:textId="77777777" w:rsidR="00043D70" w:rsidRDefault="00043D70" w:rsidP="00043D7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p w14:paraId="6F7859E7" w14:textId="77777777" w:rsidR="00043D70" w:rsidRPr="001F4204" w:rsidRDefault="00043D70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043D70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713A" w14:textId="77777777" w:rsidR="00B20913" w:rsidRDefault="00B20913" w:rsidP="00D2613C">
      <w:r>
        <w:separator/>
      </w:r>
    </w:p>
  </w:endnote>
  <w:endnote w:type="continuationSeparator" w:id="0">
    <w:p w14:paraId="1CC26F0B" w14:textId="77777777" w:rsidR="00B20913" w:rsidRDefault="00B20913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B20913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57D3FBF3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721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7DB1" w14:textId="77777777" w:rsidR="00B20913" w:rsidRDefault="00B20913" w:rsidP="00D2613C">
      <w:r>
        <w:separator/>
      </w:r>
    </w:p>
  </w:footnote>
  <w:footnote w:type="continuationSeparator" w:id="0">
    <w:p w14:paraId="486DF53A" w14:textId="77777777" w:rsidR="00B20913" w:rsidRDefault="00B20913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43D70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27216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07A74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0913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207E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2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9EA8B-5B7D-4BDF-B8E8-62FE3AE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Borská Helena</cp:lastModifiedBy>
  <cp:revision>2</cp:revision>
  <cp:lastPrinted>2017-09-13T17:12:00Z</cp:lastPrinted>
  <dcterms:created xsi:type="dcterms:W3CDTF">2023-07-16T07:28:00Z</dcterms:created>
  <dcterms:modified xsi:type="dcterms:W3CDTF">2023-07-16T07:28:00Z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