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1678940</wp:posOffset>
                </wp:positionH>
                <wp:positionV relativeFrom="page">
                  <wp:posOffset>9264015</wp:posOffset>
                </wp:positionV>
                <wp:extent cx="39624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96240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2.19999999999999pt;margin-top:729.45000000000005pt;width:31.19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pStyle w:val="Style2"/>
        <w:keepNext w:val="0"/>
        <w:keepLines w:val="0"/>
        <w:framePr w:w="9130" w:h="317" w:hRule="exact" w:wrap="none" w:vAnchor="page" w:hAnchor="page" w:x="1296" w:y="1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DAROVACÍ SMLOUVA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organizace: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Karlovarský kraj, zastoupený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Domovem pro seniory „SKALKA“ v Chebu,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p. o.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71175245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Americká 2176/52,350 02 Cheb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kontaktní e-mail: </w:t>
      </w:r>
      <w:r>
        <w:fldChar w:fldCharType="begin"/>
      </w:r>
      <w:r>
        <w:rPr/>
        <w:instrText> HYPERLINK "mailto:reditel@domovskalka.cz"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reditel@domovskalka.cz</w:t>
      </w:r>
      <w:r>
        <w:fldChar w:fldCharType="end"/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zastoupena: ředitelkou Mgr. Alena Samuelovou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„obdarovaný“)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organizace: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Medical Union s.r.o.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03297900 DIČ: CZ03297900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Praha 2, Koubkova 228/13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zastoupena: MUDr. Ondřejem Gojišem, Ph.D., jednatelem společnosti zapsaná v obchodním rejstříku Městského soudu v Praze oddíl C, vložka 229667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„dárce“)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shd w:val="clear" w:color="auto" w:fill="auto"/>
        <w:bidi w:val="0"/>
        <w:spacing w:before="0" w:after="32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uzavřeli v souladu s ustanovením Občanského zákoníku § 2055 - § 2078, v platném znění, darovací smlouvu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„Smlouva“)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následujícím znění: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Dárce se zavazuje darovat touto darovací smlouvou obdarovanému věcný dar - 1.125 kusů jablečných přesnídávek v kapsičce v celkové hodnotě 18.956 Kč (slovy: osmnáct tisíc devět set padesát šest korun českých).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Obdarovaný se zavazuje, že výše uvedený věcný dar použije v souladu s obecně prospěšnými cíli Domova pro seniory “SKALKA” v Chebu, p. o„ konkrétně bude věcný dar použit k výživě klientů Domova pro seniory “SKALKA” v Chebu, p. o.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Přijatý dar splňuje podmínky § 15 odst.l zákona o daních z příjmů a může být u dárce při splnění všech dalších zákonných podmínek odečten od základu daně z příjmu.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Obdarovaný nabývá předmět smlouvy pro svého zřizovatele (Karlovarský kraj) v souladu s ustanovením zák. 250/2000 Sb„ § 27, odst. 6. o rozpočtových pravidlech územních rozpočtů, v platném znění.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Smlouvu řádně přečetly, souhlasí s jejími ustanoveními a na důkaz toho ji z vlastní svobodné vůle a nikoli v tísni podepisují.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oběma smluvními stranami.</w:t>
      </w:r>
    </w:p>
    <w:p>
      <w:pPr>
        <w:pStyle w:val="Style2"/>
        <w:keepNext w:val="0"/>
        <w:keepLines w:val="0"/>
        <w:framePr w:w="9130" w:h="11693" w:hRule="exact" w:wrap="none" w:vAnchor="page" w:hAnchor="page" w:x="1296" w:y="1932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(2) stejnopisech v českém jazyce, přičemž každá ze smluvních stran obdrží po jednom stejnopise.</w:t>
      </w:r>
    </w:p>
    <w:p>
      <w:pPr>
        <w:pStyle w:val="Style5"/>
        <w:keepNext w:val="0"/>
        <w:keepLines w:val="0"/>
        <w:framePr w:wrap="none" w:vAnchor="page" w:hAnchor="page" w:x="1301" w:y="141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dne:</w:t>
      </w:r>
    </w:p>
    <w:p>
      <w:pPr>
        <w:pStyle w:val="Style5"/>
        <w:keepNext w:val="0"/>
        <w:keepLines w:val="0"/>
        <w:framePr w:wrap="none" w:vAnchor="page" w:hAnchor="page" w:x="6936" w:y="14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Chebu dne:</w:t>
      </w:r>
    </w:p>
    <w:p>
      <w:pPr>
        <w:pStyle w:val="Style2"/>
        <w:keepNext w:val="0"/>
        <w:keepLines w:val="0"/>
        <w:framePr w:wrap="none" w:vAnchor="page" w:hAnchor="page" w:x="1301" w:y="14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Dárce:</w:t>
      </w:r>
    </w:p>
    <w:p>
      <w:pPr>
        <w:pStyle w:val="Style2"/>
        <w:keepNext w:val="0"/>
        <w:keepLines w:val="0"/>
        <w:framePr w:wrap="none" w:vAnchor="page" w:hAnchor="page" w:x="2031" w:y="14695"/>
        <w:widowControl w:val="0"/>
        <w:shd w:val="clear" w:color="auto" w:fill="auto"/>
        <w:bidi w:val="0"/>
        <w:spacing w:before="0" w:after="0" w:line="240" w:lineRule="auto"/>
        <w:ind w:left="49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Obdarovaný: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1721485</wp:posOffset>
            </wp:positionH>
            <wp:positionV relativeFrom="page">
              <wp:posOffset>8943975</wp:posOffset>
            </wp:positionV>
            <wp:extent cx="847090" cy="25019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4709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5342890</wp:posOffset>
            </wp:positionH>
            <wp:positionV relativeFrom="page">
              <wp:posOffset>8959215</wp:posOffset>
            </wp:positionV>
            <wp:extent cx="1036320" cy="20129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36320" cy="20129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30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