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460E" w14:textId="77777777" w:rsidR="00D23E5F" w:rsidRDefault="00C80F81">
      <w:pPr>
        <w:pStyle w:val="Style2"/>
        <w:keepNext/>
        <w:keepLines/>
        <w:shd w:val="clear" w:color="auto" w:fill="auto"/>
        <w:spacing w:before="280" w:after="340" w:line="240" w:lineRule="auto"/>
      </w:pPr>
      <w:bookmarkStart w:id="0" w:name="bookmark2"/>
      <w:r>
        <w:rPr>
          <w:lang w:val="cs-CZ" w:eastAsia="cs-CZ" w:bidi="cs-CZ"/>
        </w:rPr>
        <w:t>Smluvní strany</w:t>
      </w:r>
      <w:bookmarkEnd w:id="0"/>
    </w:p>
    <w:p w14:paraId="6DB8460F" w14:textId="77777777" w:rsidR="00D23E5F" w:rsidRDefault="00C80F81">
      <w:pPr>
        <w:pStyle w:val="Style2"/>
        <w:keepNext/>
        <w:keepLines/>
        <w:shd w:val="clear" w:color="auto" w:fill="auto"/>
        <w:spacing w:after="0" w:line="329" w:lineRule="auto"/>
      </w:pPr>
      <w:bookmarkStart w:id="1" w:name="bookmark0"/>
      <w:bookmarkStart w:id="2" w:name="bookmark1"/>
      <w:bookmarkStart w:id="3" w:name="bookmark3"/>
      <w:r>
        <w:rPr>
          <w:lang w:val="cs-CZ" w:eastAsia="cs-CZ" w:bidi="cs-CZ"/>
        </w:rPr>
        <w:t>Národní muzeum</w:t>
      </w:r>
      <w:bookmarkEnd w:id="1"/>
      <w:bookmarkEnd w:id="2"/>
      <w:bookmarkEnd w:id="3"/>
    </w:p>
    <w:p w14:paraId="6DB84610" w14:textId="77777777" w:rsidR="00D23E5F" w:rsidRDefault="00C80F81">
      <w:pPr>
        <w:pStyle w:val="Style4"/>
        <w:shd w:val="clear" w:color="auto" w:fill="auto"/>
        <w:spacing w:line="329" w:lineRule="auto"/>
        <w:ind w:left="0" w:firstLine="0"/>
      </w:pPr>
      <w:r>
        <w:t xml:space="preserve">se sídlem Praha </w:t>
      </w:r>
      <w:r>
        <w:rPr>
          <w:i/>
          <w:iCs/>
        </w:rPr>
        <w:t>1,</w:t>
      </w:r>
      <w:r>
        <w:t xml:space="preserve"> Václavské náměstí 68, PSČ: 115 79</w:t>
      </w:r>
    </w:p>
    <w:p w14:paraId="6DB84611" w14:textId="77777777" w:rsidR="00D23E5F" w:rsidRDefault="00C80F81">
      <w:pPr>
        <w:pStyle w:val="Style4"/>
        <w:shd w:val="clear" w:color="auto" w:fill="auto"/>
        <w:spacing w:line="329" w:lineRule="auto"/>
        <w:ind w:left="0" w:firstLine="0"/>
      </w:pPr>
      <w:r>
        <w:t>IČ: 00023272, DIČ: CZ 00023272</w:t>
      </w:r>
    </w:p>
    <w:p w14:paraId="6DB84612" w14:textId="77777777" w:rsidR="00D23E5F" w:rsidRDefault="00C80F81">
      <w:pPr>
        <w:pStyle w:val="Style4"/>
        <w:shd w:val="clear" w:color="auto" w:fill="auto"/>
        <w:spacing w:after="140" w:line="329" w:lineRule="auto"/>
        <w:ind w:left="0" w:firstLine="0"/>
      </w:pPr>
      <w:r>
        <w:t>Zastoupené: Ing. Martinem Součkem, PhD., ředitelem Odboru digitalizace a informačních systémů (dále jen „kupující")</w:t>
      </w:r>
    </w:p>
    <w:p w14:paraId="6DB84613" w14:textId="77777777" w:rsidR="00D23E5F" w:rsidRDefault="00C80F81">
      <w:pPr>
        <w:pStyle w:val="Style4"/>
        <w:shd w:val="clear" w:color="auto" w:fill="auto"/>
        <w:spacing w:line="334" w:lineRule="auto"/>
        <w:ind w:left="0" w:firstLine="0"/>
      </w:pPr>
      <w:r>
        <w:t>a</w:t>
      </w:r>
    </w:p>
    <w:p w14:paraId="6DB84614" w14:textId="77777777" w:rsidR="00D23E5F" w:rsidRDefault="00C80F81">
      <w:pPr>
        <w:pStyle w:val="Style4"/>
        <w:shd w:val="clear" w:color="auto" w:fill="auto"/>
        <w:spacing w:line="334" w:lineRule="auto"/>
        <w:ind w:left="0" w:firstLine="0"/>
      </w:pPr>
      <w:r>
        <w:rPr>
          <w:b/>
          <w:bCs/>
        </w:rPr>
        <w:t xml:space="preserve">společnost; ALWIL </w:t>
      </w:r>
      <w:r>
        <w:rPr>
          <w:b/>
          <w:bCs/>
          <w:lang w:val="en-US" w:eastAsia="en-US" w:bidi="en-US"/>
        </w:rPr>
        <w:t xml:space="preserve">Trade, </w:t>
      </w:r>
      <w:r>
        <w:rPr>
          <w:b/>
          <w:bCs/>
        </w:rPr>
        <w:t>spol. s r.o.</w:t>
      </w:r>
    </w:p>
    <w:p w14:paraId="6DB84615" w14:textId="77777777" w:rsidR="00D23E5F" w:rsidRDefault="00C80F81">
      <w:pPr>
        <w:pStyle w:val="Style4"/>
        <w:shd w:val="clear" w:color="auto" w:fill="auto"/>
        <w:spacing w:line="334" w:lineRule="auto"/>
        <w:ind w:left="0" w:firstLine="0"/>
      </w:pPr>
      <w:r>
        <w:t>Se sídlem: Průmyslová 7, 102 00 Praha 10</w:t>
      </w:r>
    </w:p>
    <w:p w14:paraId="6DB84616" w14:textId="77777777" w:rsidR="00D23E5F" w:rsidRDefault="00C80F81">
      <w:pPr>
        <w:pStyle w:val="Style4"/>
        <w:shd w:val="clear" w:color="auto" w:fill="auto"/>
        <w:spacing w:line="334" w:lineRule="auto"/>
        <w:ind w:left="0" w:firstLine="0"/>
      </w:pPr>
      <w:r>
        <w:t>IČO: 16188641, DIČ: CZ 16188641</w:t>
      </w:r>
    </w:p>
    <w:p w14:paraId="6DB84617" w14:textId="77777777" w:rsidR="00D23E5F" w:rsidRDefault="00C80F81">
      <w:pPr>
        <w:pStyle w:val="Style4"/>
        <w:shd w:val="clear" w:color="auto" w:fill="auto"/>
        <w:spacing w:line="334" w:lineRule="auto"/>
        <w:ind w:left="0" w:firstLine="0"/>
      </w:pPr>
      <w:r>
        <w:t>Zastoupená: Ing. Rostislavem Trnkou, jednatelem</w:t>
      </w:r>
    </w:p>
    <w:p w14:paraId="6DB84618" w14:textId="2895E627" w:rsidR="00D23E5F" w:rsidRDefault="00C80F81">
      <w:pPr>
        <w:pStyle w:val="Style4"/>
        <w:shd w:val="clear" w:color="auto" w:fill="auto"/>
        <w:spacing w:line="334" w:lineRule="auto"/>
        <w:ind w:left="0" w:firstLine="0"/>
      </w:pPr>
      <w:r>
        <w:t xml:space="preserve">Bankovní spojení/ číslo účtu: </w:t>
      </w:r>
      <w:proofErr w:type="spellStart"/>
      <w:r w:rsidR="00B94FAB">
        <w:rPr>
          <w:lang w:val="en-US" w:eastAsia="en-US" w:bidi="en-US"/>
        </w:rPr>
        <w:t>xxxxxxxxxxxxxxxxxxxxxxxxxxxxxxxxxxxxxxx</w:t>
      </w:r>
      <w:proofErr w:type="spellEnd"/>
    </w:p>
    <w:p w14:paraId="6DB84619" w14:textId="1B71FBFB" w:rsidR="00D23E5F" w:rsidRDefault="00C80F81">
      <w:pPr>
        <w:pStyle w:val="Style4"/>
        <w:shd w:val="clear" w:color="auto" w:fill="auto"/>
        <w:spacing w:line="334" w:lineRule="auto"/>
        <w:ind w:left="0" w:firstLine="0"/>
      </w:pPr>
      <w:r>
        <w:t xml:space="preserve">Č. účtu </w:t>
      </w:r>
      <w:proofErr w:type="spellStart"/>
      <w:r w:rsidR="00B94FAB">
        <w:rPr>
          <w:lang w:val="en-US" w:eastAsia="en-US" w:bidi="en-US"/>
        </w:rPr>
        <w:t>xxxxxxxxxxxxxxxxxxx</w:t>
      </w:r>
      <w:proofErr w:type="spellEnd"/>
    </w:p>
    <w:p w14:paraId="6DB8461A" w14:textId="77777777" w:rsidR="00D23E5F" w:rsidRDefault="00C80F81">
      <w:pPr>
        <w:pStyle w:val="Style4"/>
        <w:shd w:val="clear" w:color="auto" w:fill="auto"/>
        <w:spacing w:line="334" w:lineRule="auto"/>
        <w:ind w:left="0" w:firstLine="0"/>
      </w:pPr>
      <w:r>
        <w:t xml:space="preserve">Společnost je vedená v Obchodním rejstříku vedeném Městským soudem v Praze pod </w:t>
      </w:r>
      <w:proofErr w:type="spellStart"/>
      <w:r>
        <w:t>sp</w:t>
      </w:r>
      <w:proofErr w:type="spellEnd"/>
      <w:r>
        <w:t>. zn oddíl C, vložka 1553</w:t>
      </w:r>
    </w:p>
    <w:p w14:paraId="6DB8461B" w14:textId="77777777" w:rsidR="00D23E5F" w:rsidRDefault="00C80F81">
      <w:pPr>
        <w:pStyle w:val="Style4"/>
        <w:shd w:val="clear" w:color="auto" w:fill="auto"/>
        <w:spacing w:after="140" w:line="334" w:lineRule="auto"/>
        <w:ind w:left="0" w:firstLine="0"/>
      </w:pPr>
      <w:r>
        <w:t>(dále jen „prodávající")</w:t>
      </w:r>
    </w:p>
    <w:p w14:paraId="6DB8461C" w14:textId="77777777" w:rsidR="00D23E5F" w:rsidRDefault="00C80F81">
      <w:pPr>
        <w:pStyle w:val="Style4"/>
        <w:shd w:val="clear" w:color="auto" w:fill="auto"/>
        <w:spacing w:after="580" w:line="329" w:lineRule="auto"/>
        <w:ind w:left="0" w:firstLine="0"/>
      </w:pPr>
      <w:r>
        <w:t>uzavírají tuto</w:t>
      </w:r>
    </w:p>
    <w:p w14:paraId="6DB8461D" w14:textId="77777777" w:rsidR="00D23E5F" w:rsidRDefault="00C80F81">
      <w:pPr>
        <w:pStyle w:val="Style8"/>
        <w:shd w:val="clear" w:color="auto" w:fill="auto"/>
      </w:pPr>
      <w:r>
        <w:t>KUPNÍ SMLOUVU</w:t>
      </w:r>
    </w:p>
    <w:p w14:paraId="6DB8461E" w14:textId="77777777" w:rsidR="00D23E5F" w:rsidRDefault="00C80F81">
      <w:pPr>
        <w:pStyle w:val="Style4"/>
        <w:shd w:val="clear" w:color="auto" w:fill="auto"/>
        <w:spacing w:after="580" w:line="329" w:lineRule="auto"/>
        <w:ind w:left="0" w:firstLine="760"/>
      </w:pPr>
      <w:r>
        <w:t xml:space="preserve">dle § 2079 a násl. zák. č. 89/2012 Sb., občanský zákoník, ve znění pozdějších </w:t>
      </w:r>
      <w:r>
        <w:t>předpisů</w:t>
      </w:r>
    </w:p>
    <w:p w14:paraId="6DB8461F" w14:textId="77777777" w:rsidR="00D23E5F" w:rsidRDefault="00C80F81">
      <w:pPr>
        <w:pStyle w:val="Style4"/>
        <w:shd w:val="clear" w:color="auto" w:fill="auto"/>
        <w:spacing w:after="580" w:line="326" w:lineRule="auto"/>
        <w:ind w:left="0" w:firstLine="0"/>
      </w:pPr>
      <w:r>
        <w:t>Podkladem pro uzavření této smlouvy je nabídka dodavatele, která byla pro účely zadání veřejné zakázky malého rozsahu zveřejněna pod číslem N006/23/V00022170 prostřednictvím národního elektronického nástroje a která byla vybrána jako nejvýhodnější (dále jen „veřejná zakázka").</w:t>
      </w:r>
    </w:p>
    <w:p w14:paraId="6DB84620" w14:textId="77777777" w:rsidR="00D23E5F" w:rsidRDefault="00C80F81">
      <w:pPr>
        <w:pStyle w:val="Style10"/>
        <w:numPr>
          <w:ilvl w:val="0"/>
          <w:numId w:val="1"/>
        </w:numPr>
        <w:shd w:val="clear" w:color="auto" w:fill="auto"/>
        <w:tabs>
          <w:tab w:val="left" w:pos="333"/>
        </w:tabs>
        <w:spacing w:after="220"/>
      </w:pPr>
      <w:r>
        <w:t>Předmět smlouvy</w:t>
      </w:r>
    </w:p>
    <w:p w14:paraId="6DB84621" w14:textId="77777777" w:rsidR="00D23E5F" w:rsidRDefault="00C80F81">
      <w:pPr>
        <w:pStyle w:val="Style4"/>
        <w:numPr>
          <w:ilvl w:val="0"/>
          <w:numId w:val="2"/>
        </w:numPr>
        <w:shd w:val="clear" w:color="auto" w:fill="auto"/>
        <w:tabs>
          <w:tab w:val="left" w:pos="334"/>
        </w:tabs>
        <w:spacing w:line="348" w:lineRule="auto"/>
        <w:ind w:left="340"/>
      </w:pPr>
      <w:r>
        <w:t xml:space="preserve">Předmětem této smlouvy je koupě a prodej zboží dle VZ </w:t>
      </w:r>
      <w:r>
        <w:rPr>
          <w:b/>
          <w:bCs/>
        </w:rPr>
        <w:t xml:space="preserve">N006/23/V00022170 zálohovací řešení včetně hardware, </w:t>
      </w:r>
      <w:r>
        <w:t xml:space="preserve">viz specifikace v Příloze </w:t>
      </w:r>
      <w:proofErr w:type="spellStart"/>
      <w:r>
        <w:t>č.l</w:t>
      </w:r>
      <w:proofErr w:type="spellEnd"/>
      <w:r>
        <w:t>, která tvoří nedílnou součást této smlouvy (dále jen „věc").</w:t>
      </w:r>
    </w:p>
    <w:p w14:paraId="6DB84622" w14:textId="77777777" w:rsidR="00D23E5F" w:rsidRDefault="00C80F81">
      <w:pPr>
        <w:pStyle w:val="Style4"/>
        <w:numPr>
          <w:ilvl w:val="0"/>
          <w:numId w:val="2"/>
        </w:numPr>
        <w:shd w:val="clear" w:color="auto" w:fill="auto"/>
        <w:tabs>
          <w:tab w:val="left" w:pos="334"/>
        </w:tabs>
        <w:spacing w:line="348" w:lineRule="auto"/>
        <w:ind w:left="340"/>
      </w:pPr>
      <w:r>
        <w:t>Prodávající se zavazuje dle podmínek uvedených v této smlouvě odevzdat kupujícímu věc a převést na něho vlastnické právo k věci a kupující se zavazuje věc převzít a zaplatit kupní cenu.</w:t>
      </w:r>
    </w:p>
    <w:p w14:paraId="6DB84623" w14:textId="77777777" w:rsidR="00D23E5F" w:rsidRDefault="00C80F81">
      <w:pPr>
        <w:pStyle w:val="Style4"/>
        <w:numPr>
          <w:ilvl w:val="0"/>
          <w:numId w:val="2"/>
        </w:numPr>
        <w:shd w:val="clear" w:color="auto" w:fill="auto"/>
        <w:tabs>
          <w:tab w:val="left" w:pos="334"/>
        </w:tabs>
        <w:spacing w:line="300" w:lineRule="auto"/>
        <w:ind w:left="340"/>
      </w:pPr>
      <w:r>
        <w:t>Prodávající prohlašuje, že je oprávněn distribuovat předmět smlouvy, a tudíž je dodávka předmětu smlouvy plně v souladu s licenčními podmínkami.</w:t>
      </w:r>
    </w:p>
    <w:p w14:paraId="6DB84624" w14:textId="77777777" w:rsidR="00D23E5F" w:rsidRDefault="00C80F81">
      <w:pPr>
        <w:pStyle w:val="Style4"/>
        <w:numPr>
          <w:ilvl w:val="0"/>
          <w:numId w:val="2"/>
        </w:numPr>
        <w:shd w:val="clear" w:color="auto" w:fill="auto"/>
        <w:tabs>
          <w:tab w:val="left" w:pos="339"/>
        </w:tabs>
        <w:spacing w:line="300" w:lineRule="auto"/>
        <w:ind w:left="0" w:firstLine="0"/>
      </w:pPr>
      <w:r>
        <w:t>Místem plnění je sídlo kupujícího.</w:t>
      </w:r>
    </w:p>
    <w:p w14:paraId="6DB84625" w14:textId="77777777" w:rsidR="00D23E5F" w:rsidRDefault="00C80F81">
      <w:pPr>
        <w:pStyle w:val="Style4"/>
        <w:numPr>
          <w:ilvl w:val="0"/>
          <w:numId w:val="2"/>
        </w:numPr>
        <w:shd w:val="clear" w:color="auto" w:fill="auto"/>
        <w:tabs>
          <w:tab w:val="left" w:pos="339"/>
        </w:tabs>
        <w:spacing w:line="300" w:lineRule="auto"/>
        <w:ind w:left="340"/>
      </w:pPr>
      <w:r>
        <w:t xml:space="preserve">Prodávající se zavazuje pořídit pro Kupujícího podporu od výrobce na dobu trvání smlouvy viz Příloha </w:t>
      </w:r>
      <w:proofErr w:type="spellStart"/>
      <w:r>
        <w:t>č.l</w:t>
      </w:r>
      <w:proofErr w:type="spellEnd"/>
    </w:p>
    <w:p w14:paraId="6DB84626" w14:textId="77777777" w:rsidR="00D23E5F" w:rsidRDefault="00C80F81">
      <w:pPr>
        <w:pStyle w:val="Style4"/>
        <w:numPr>
          <w:ilvl w:val="0"/>
          <w:numId w:val="2"/>
        </w:numPr>
        <w:shd w:val="clear" w:color="auto" w:fill="auto"/>
        <w:tabs>
          <w:tab w:val="left" w:pos="339"/>
        </w:tabs>
        <w:spacing w:after="260" w:line="300" w:lineRule="auto"/>
        <w:ind w:left="340"/>
      </w:pPr>
      <w:r>
        <w:t xml:space="preserve">Prodávající se zavazuje předmět plnění dodat Kupujícímu v ujednaném množství, jakosti a provedení, se všemi jeho součástmi, včetně veškeré související dokumentace, technických popisů, návodů k obsluze v českém jazyce, příslušných záručních listů, a včetně jiných dokladů, které se k němu vztahují a jsou potřebné k jeho převzetí a užívání, včetně těch, které nejsou výslovně ve Smlouvě uvedeny, ale s předmětem plnění souvisí a Prodávající vzhledem k povaze a předmětu plnění měl předpokládat, že jejich předání </w:t>
      </w:r>
      <w:r>
        <w:t>Kupujícímu je potřebné k tomu, aby mohl předmět plnění řádně užívat.</w:t>
      </w:r>
    </w:p>
    <w:p w14:paraId="6DB84627" w14:textId="77777777" w:rsidR="00D23E5F" w:rsidRDefault="00C80F81">
      <w:pPr>
        <w:pStyle w:val="Style10"/>
        <w:numPr>
          <w:ilvl w:val="0"/>
          <w:numId w:val="1"/>
        </w:numPr>
        <w:shd w:val="clear" w:color="auto" w:fill="auto"/>
        <w:tabs>
          <w:tab w:val="left" w:pos="355"/>
        </w:tabs>
      </w:pPr>
      <w:r>
        <w:lastRenderedPageBreak/>
        <w:t>Práva a povinnosti smluvních stran</w:t>
      </w:r>
    </w:p>
    <w:p w14:paraId="6DB84628" w14:textId="77777777" w:rsidR="00D23E5F" w:rsidRDefault="00C80F81">
      <w:pPr>
        <w:pStyle w:val="Style4"/>
        <w:numPr>
          <w:ilvl w:val="0"/>
          <w:numId w:val="3"/>
        </w:numPr>
        <w:shd w:val="clear" w:color="auto" w:fill="auto"/>
        <w:tabs>
          <w:tab w:val="left" w:pos="355"/>
        </w:tabs>
        <w:spacing w:after="440"/>
        <w:ind w:left="400" w:hanging="400"/>
      </w:pPr>
      <w:r>
        <w:t>Prodávající je povinen předat věc kupujícímu nejpozději do 36 měsíců ode dne platnosti smlouvy v sídle kupujícího. O předání věci bude smluvními stranami sepsán předávací protokol. Nebezpečí škody na věci přechází na kupujícího v okamžiku, kdy převezme věc od prodávajícího.</w:t>
      </w:r>
    </w:p>
    <w:p w14:paraId="6DB84629" w14:textId="77777777" w:rsidR="00D23E5F" w:rsidRDefault="00C80F81">
      <w:pPr>
        <w:pStyle w:val="Style10"/>
        <w:numPr>
          <w:ilvl w:val="0"/>
          <w:numId w:val="1"/>
        </w:numPr>
        <w:shd w:val="clear" w:color="auto" w:fill="auto"/>
        <w:tabs>
          <w:tab w:val="left" w:pos="410"/>
        </w:tabs>
      </w:pPr>
      <w:r>
        <w:t>Kupní cena a její splatnost</w:t>
      </w:r>
    </w:p>
    <w:p w14:paraId="6DB8462A" w14:textId="77777777" w:rsidR="00D23E5F" w:rsidRDefault="00C80F81">
      <w:pPr>
        <w:pStyle w:val="Style4"/>
        <w:numPr>
          <w:ilvl w:val="0"/>
          <w:numId w:val="4"/>
        </w:numPr>
        <w:shd w:val="clear" w:color="auto" w:fill="auto"/>
        <w:tabs>
          <w:tab w:val="left" w:pos="355"/>
        </w:tabs>
        <w:ind w:left="400" w:hanging="400"/>
      </w:pPr>
      <w:r>
        <w:t>Kupující je povinen zaplatit kupní cenu ve výši 1034 850,00 Kč + DPH ve výši 217 318,50 Kč, celkem vč. DPH 1 252 168,50 Kč.</w:t>
      </w:r>
    </w:p>
    <w:p w14:paraId="6DB8462B" w14:textId="3AFC0794" w:rsidR="00D23E5F" w:rsidRDefault="00C80F81">
      <w:pPr>
        <w:pStyle w:val="Style4"/>
        <w:numPr>
          <w:ilvl w:val="0"/>
          <w:numId w:val="4"/>
        </w:numPr>
        <w:shd w:val="clear" w:color="auto" w:fill="auto"/>
        <w:tabs>
          <w:tab w:val="left" w:pos="355"/>
        </w:tabs>
        <w:spacing w:after="260"/>
        <w:ind w:left="400" w:hanging="400"/>
      </w:pPr>
      <w:r>
        <w:t xml:space="preserve">Celková cena (plus příslušná DPH) </w:t>
      </w:r>
      <w:r>
        <w:rPr>
          <w:i/>
          <w:iCs/>
        </w:rPr>
        <w:t>je</w:t>
      </w:r>
      <w:r>
        <w:t xml:space="preserve"> končená, nejvýše přípustná a nepřekročitelná</w:t>
      </w:r>
      <w:r>
        <w:t>, zahrnuje odměnu za veškeré licence, veškeré náklady Prodávajícího s dodáním předmětu plnění a všech součástí kupujícímu v termínu a místě plnění, včetně veškerých případných nákladů na dopravu a včetně všech součástí ve Smlouvě výslovně neuvedených, které měl vzhledem k povaze předmětu Smlouvy a způsobu jeho plnění Prodávající ke dni uzavření Smlouvy předpokládat.</w:t>
      </w:r>
    </w:p>
    <w:p w14:paraId="6DB8462C" w14:textId="77777777" w:rsidR="00D23E5F" w:rsidRDefault="00C80F81">
      <w:pPr>
        <w:pStyle w:val="Style4"/>
        <w:numPr>
          <w:ilvl w:val="0"/>
          <w:numId w:val="4"/>
        </w:numPr>
        <w:shd w:val="clear" w:color="auto" w:fill="auto"/>
        <w:tabs>
          <w:tab w:val="left" w:pos="355"/>
        </w:tabs>
        <w:ind w:left="400" w:hanging="400"/>
      </w:pPr>
      <w:r>
        <w:t>Kupní cena bude kupujícím zaplacena na základě daňového dokladu vystaveného prodávajícím. Prodávající vystaví daňový doklad po předání věci kupujícímu. Daňový doklad vystavený prodávajícím bude splatný ve lhůtě 30 dnů ode dne jeho vystavení.</w:t>
      </w:r>
    </w:p>
    <w:p w14:paraId="6DB8462D" w14:textId="77777777" w:rsidR="00D23E5F" w:rsidRDefault="00C80F81">
      <w:pPr>
        <w:pStyle w:val="Style4"/>
        <w:numPr>
          <w:ilvl w:val="0"/>
          <w:numId w:val="4"/>
        </w:numPr>
        <w:shd w:val="clear" w:color="auto" w:fill="auto"/>
        <w:tabs>
          <w:tab w:val="left" w:pos="355"/>
        </w:tabs>
        <w:ind w:left="400" w:hanging="400"/>
      </w:pPr>
      <w:r>
        <w:t>Daňový doklad bude obsahovat všechny náležitosti daňového a účetního dokladu tak, jak je stanoveno příslušnými právními předpisy.</w:t>
      </w:r>
    </w:p>
    <w:p w14:paraId="6DB8462E" w14:textId="77777777" w:rsidR="00D23E5F" w:rsidRDefault="00C80F81">
      <w:pPr>
        <w:pStyle w:val="Style4"/>
        <w:numPr>
          <w:ilvl w:val="0"/>
          <w:numId w:val="4"/>
        </w:numPr>
        <w:shd w:val="clear" w:color="auto" w:fill="auto"/>
        <w:tabs>
          <w:tab w:val="left" w:pos="355"/>
        </w:tabs>
        <w:spacing w:after="440"/>
        <w:ind w:left="400" w:hanging="400"/>
      </w:pPr>
      <w:r>
        <w:t>V případě, že daňový doklad nebude obsahovat náležitosti daňového dokladu dle zákona, je kupující oprávněn vrátit daňový doklad prodávajícímu a požadovat vystavení řádného daňového dokladu. Tím se přerušuje lhůta splatnosti a doručením řádně vystaveného daňového dokladu začne běžet nová lhůta splatnosti. Vrácení daňového dokladu uplatní kupující do 7 pracovních dní ode dne jeho doručení od prodávajícího.</w:t>
      </w:r>
    </w:p>
    <w:p w14:paraId="6DB8462F" w14:textId="77777777" w:rsidR="00D23E5F" w:rsidRDefault="00C80F81">
      <w:pPr>
        <w:pStyle w:val="Style10"/>
        <w:numPr>
          <w:ilvl w:val="0"/>
          <w:numId w:val="1"/>
        </w:numPr>
        <w:shd w:val="clear" w:color="auto" w:fill="auto"/>
        <w:tabs>
          <w:tab w:val="left" w:pos="430"/>
        </w:tabs>
      </w:pPr>
      <w:r>
        <w:t>Záruční doba</w:t>
      </w:r>
    </w:p>
    <w:p w14:paraId="6DB84630" w14:textId="77777777" w:rsidR="00D23E5F" w:rsidRDefault="00C80F81">
      <w:pPr>
        <w:pStyle w:val="Style4"/>
        <w:numPr>
          <w:ilvl w:val="0"/>
          <w:numId w:val="5"/>
        </w:numPr>
        <w:shd w:val="clear" w:color="auto" w:fill="auto"/>
        <w:tabs>
          <w:tab w:val="left" w:pos="355"/>
        </w:tabs>
        <w:ind w:left="0" w:firstLine="0"/>
      </w:pPr>
      <w:r>
        <w:t>Prodávající poskytuje záruku na jakost dodané věci. Záruční doba činí 36 měsíců.</w:t>
      </w:r>
    </w:p>
    <w:p w14:paraId="6DB84631" w14:textId="77777777" w:rsidR="00D23E5F" w:rsidRDefault="00C80F81">
      <w:pPr>
        <w:pStyle w:val="Style4"/>
        <w:numPr>
          <w:ilvl w:val="0"/>
          <w:numId w:val="5"/>
        </w:numPr>
        <w:shd w:val="clear" w:color="auto" w:fill="auto"/>
        <w:tabs>
          <w:tab w:val="left" w:pos="355"/>
        </w:tabs>
        <w:spacing w:after="440"/>
        <w:ind w:left="0" w:firstLine="0"/>
      </w:pPr>
      <w:r>
        <w:t>Záruční doba začíná běžet dnem předání věci.</w:t>
      </w:r>
    </w:p>
    <w:p w14:paraId="6DB84632" w14:textId="77777777" w:rsidR="00D23E5F" w:rsidRDefault="00C80F81">
      <w:pPr>
        <w:pStyle w:val="Style10"/>
        <w:numPr>
          <w:ilvl w:val="0"/>
          <w:numId w:val="1"/>
        </w:numPr>
        <w:shd w:val="clear" w:color="auto" w:fill="auto"/>
        <w:tabs>
          <w:tab w:val="left" w:pos="430"/>
        </w:tabs>
      </w:pPr>
      <w:r>
        <w:t>Další ujednání</w:t>
      </w:r>
    </w:p>
    <w:p w14:paraId="6DB84633" w14:textId="77777777" w:rsidR="00D23E5F" w:rsidRDefault="00C80F81">
      <w:pPr>
        <w:pStyle w:val="Style4"/>
        <w:numPr>
          <w:ilvl w:val="0"/>
          <w:numId w:val="6"/>
        </w:numPr>
        <w:shd w:val="clear" w:color="auto" w:fill="auto"/>
        <w:tabs>
          <w:tab w:val="left" w:pos="355"/>
        </w:tabs>
        <w:ind w:hanging="360"/>
      </w:pPr>
      <w:r>
        <w:t>Prodávající prohlašuje, že je výlučným vlastníkem věci, že na věci nevážnou žádná práva třetích osob, a že je oprávněn věc prodat.</w:t>
      </w:r>
    </w:p>
    <w:p w14:paraId="6DB84634" w14:textId="77777777" w:rsidR="00D23E5F" w:rsidRDefault="00C80F81">
      <w:pPr>
        <w:pStyle w:val="Style4"/>
        <w:numPr>
          <w:ilvl w:val="0"/>
          <w:numId w:val="6"/>
        </w:numPr>
        <w:shd w:val="clear" w:color="auto" w:fill="auto"/>
        <w:tabs>
          <w:tab w:val="left" w:pos="355"/>
        </w:tabs>
        <w:ind w:left="0" w:firstLine="0"/>
      </w:pPr>
      <w:r>
        <w:t xml:space="preserve">Kupující je oprávněn od této smlouvy písemně </w:t>
      </w:r>
      <w:r>
        <w:t>odstoupit s okamžitou platností v případě, že:</w:t>
      </w:r>
    </w:p>
    <w:p w14:paraId="6DB84635" w14:textId="77777777" w:rsidR="00D23E5F" w:rsidRDefault="00C80F81">
      <w:pPr>
        <w:pStyle w:val="Style4"/>
        <w:numPr>
          <w:ilvl w:val="0"/>
          <w:numId w:val="7"/>
        </w:numPr>
        <w:shd w:val="clear" w:color="auto" w:fill="auto"/>
        <w:tabs>
          <w:tab w:val="left" w:pos="706"/>
        </w:tabs>
        <w:ind w:left="0" w:firstLine="360"/>
      </w:pPr>
      <w:r>
        <w:t>prodávající nepředal kupujícímu věc řádně a včas dle podmínek této smlouvy,</w:t>
      </w:r>
    </w:p>
    <w:p w14:paraId="6DB84636" w14:textId="77777777" w:rsidR="00D23E5F" w:rsidRDefault="00C80F81">
      <w:pPr>
        <w:pStyle w:val="Style4"/>
        <w:numPr>
          <w:ilvl w:val="0"/>
          <w:numId w:val="7"/>
        </w:numPr>
        <w:shd w:val="clear" w:color="auto" w:fill="auto"/>
        <w:tabs>
          <w:tab w:val="left" w:pos="706"/>
        </w:tabs>
        <w:ind w:left="0" w:firstLine="360"/>
      </w:pPr>
      <w:r>
        <w:t>věc je zatížena právem třetí osoby,</w:t>
      </w:r>
    </w:p>
    <w:p w14:paraId="6DB84637" w14:textId="77777777" w:rsidR="00D23E5F" w:rsidRDefault="00C80F81">
      <w:pPr>
        <w:pStyle w:val="Style4"/>
        <w:numPr>
          <w:ilvl w:val="0"/>
          <w:numId w:val="7"/>
        </w:numPr>
        <w:shd w:val="clear" w:color="auto" w:fill="auto"/>
        <w:tabs>
          <w:tab w:val="left" w:pos="706"/>
        </w:tabs>
        <w:spacing w:after="260"/>
        <w:ind w:left="700"/>
      </w:pPr>
      <w:r>
        <w:t xml:space="preserve">věc má vady, na které prodávající kupujícího písemně neupozornil při předání věci. Tím nejsou dotčena práva kupujícího podle </w:t>
      </w:r>
      <w:proofErr w:type="spellStart"/>
      <w:r>
        <w:t>ust</w:t>
      </w:r>
      <w:proofErr w:type="spellEnd"/>
      <w:r>
        <w:t>. § 2106 a násl. občanského zákoníku.</w:t>
      </w:r>
    </w:p>
    <w:p w14:paraId="6DB84638" w14:textId="77777777" w:rsidR="00D23E5F" w:rsidRDefault="00C80F81">
      <w:pPr>
        <w:pStyle w:val="Style4"/>
        <w:numPr>
          <w:ilvl w:val="0"/>
          <w:numId w:val="6"/>
        </w:numPr>
        <w:shd w:val="clear" w:color="auto" w:fill="auto"/>
        <w:tabs>
          <w:tab w:val="left" w:pos="364"/>
        </w:tabs>
        <w:spacing w:line="341" w:lineRule="auto"/>
        <w:ind w:left="480" w:hanging="480"/>
      </w:pPr>
      <w:r>
        <w:t>Prodávající je oprávněn od této smlouvy písemně odstoupit s okamžitou platností v případě, že kupující je v prodlení s úhradou kupní ceny déle než 30 dnů.</w:t>
      </w:r>
    </w:p>
    <w:p w14:paraId="6DB84639" w14:textId="77777777" w:rsidR="00D23E5F" w:rsidRDefault="00C80F81">
      <w:pPr>
        <w:pStyle w:val="Style4"/>
        <w:numPr>
          <w:ilvl w:val="0"/>
          <w:numId w:val="8"/>
        </w:numPr>
        <w:shd w:val="clear" w:color="auto" w:fill="auto"/>
        <w:tabs>
          <w:tab w:val="left" w:pos="364"/>
        </w:tabs>
        <w:spacing w:after="300" w:line="341" w:lineRule="auto"/>
        <w:ind w:left="0" w:firstLine="0"/>
      </w:pPr>
      <w:r>
        <w:t>Nárok na náhradu škody není odstoupením od smlouvy dotčen.</w:t>
      </w:r>
    </w:p>
    <w:p w14:paraId="6DB8463A" w14:textId="77777777" w:rsidR="00D23E5F" w:rsidRDefault="00C80F81">
      <w:pPr>
        <w:pStyle w:val="Style10"/>
        <w:numPr>
          <w:ilvl w:val="0"/>
          <w:numId w:val="1"/>
        </w:numPr>
        <w:shd w:val="clear" w:color="auto" w:fill="auto"/>
        <w:tabs>
          <w:tab w:val="left" w:pos="471"/>
        </w:tabs>
      </w:pPr>
      <w:r>
        <w:lastRenderedPageBreak/>
        <w:t>Sankční ustanovení</w:t>
      </w:r>
    </w:p>
    <w:p w14:paraId="6DB8463B" w14:textId="77777777" w:rsidR="00D23E5F" w:rsidRDefault="00C80F81">
      <w:pPr>
        <w:pStyle w:val="Style4"/>
        <w:numPr>
          <w:ilvl w:val="0"/>
          <w:numId w:val="9"/>
        </w:numPr>
        <w:shd w:val="clear" w:color="auto" w:fill="auto"/>
        <w:tabs>
          <w:tab w:val="left" w:pos="364"/>
        </w:tabs>
        <w:ind w:left="480" w:hanging="480"/>
      </w:pPr>
      <w:r>
        <w:t>v případě, že prodávající nedodá kupujícímu věc řádně a včas dle podmínek této smlouvy, uhradí kupujícímu smluvní pokutu ve výši 0,1 % z kupní ceny za každý den prodlení.</w:t>
      </w:r>
    </w:p>
    <w:p w14:paraId="6DB8463C" w14:textId="77777777" w:rsidR="00D23E5F" w:rsidRDefault="00C80F81">
      <w:pPr>
        <w:pStyle w:val="Style4"/>
        <w:numPr>
          <w:ilvl w:val="0"/>
          <w:numId w:val="9"/>
        </w:numPr>
        <w:shd w:val="clear" w:color="auto" w:fill="auto"/>
        <w:tabs>
          <w:tab w:val="left" w:pos="364"/>
        </w:tabs>
        <w:spacing w:after="460"/>
        <w:ind w:left="480" w:hanging="480"/>
      </w:pPr>
      <w:r>
        <w:t xml:space="preserve">V případě prodlení kupujícího s </w:t>
      </w:r>
      <w:r>
        <w:t>úhradou kupní ceny, je prodávající oprávněn požadovat po kupujícím úrok z prodlení ve výši stanovené příslušnými právními předpisy.</w:t>
      </w:r>
    </w:p>
    <w:p w14:paraId="6DB8463D" w14:textId="77777777" w:rsidR="00D23E5F" w:rsidRDefault="00C80F81">
      <w:pPr>
        <w:pStyle w:val="Style10"/>
        <w:numPr>
          <w:ilvl w:val="0"/>
          <w:numId w:val="1"/>
        </w:numPr>
        <w:shd w:val="clear" w:color="auto" w:fill="auto"/>
        <w:tabs>
          <w:tab w:val="left" w:pos="543"/>
        </w:tabs>
      </w:pPr>
      <w:r>
        <w:t>závěrečná ustanovení</w:t>
      </w:r>
    </w:p>
    <w:p w14:paraId="6DB8463E" w14:textId="77777777" w:rsidR="00D23E5F" w:rsidRDefault="00C80F81">
      <w:pPr>
        <w:pStyle w:val="Style4"/>
        <w:numPr>
          <w:ilvl w:val="0"/>
          <w:numId w:val="10"/>
        </w:numPr>
        <w:shd w:val="clear" w:color="auto" w:fill="auto"/>
        <w:tabs>
          <w:tab w:val="left" w:pos="364"/>
        </w:tabs>
        <w:spacing w:line="353" w:lineRule="auto"/>
        <w:ind w:left="0" w:firstLine="0"/>
      </w:pPr>
      <w:r>
        <w:t>Smlouva nabývá platnosti dnem podpisu oběma smluvními stranami.</w:t>
      </w:r>
    </w:p>
    <w:p w14:paraId="6DB8463F" w14:textId="77777777" w:rsidR="00D23E5F" w:rsidRDefault="00C80F81">
      <w:pPr>
        <w:pStyle w:val="Style4"/>
        <w:numPr>
          <w:ilvl w:val="0"/>
          <w:numId w:val="10"/>
        </w:numPr>
        <w:shd w:val="clear" w:color="auto" w:fill="auto"/>
        <w:tabs>
          <w:tab w:val="left" w:pos="364"/>
        </w:tabs>
        <w:spacing w:line="353" w:lineRule="auto"/>
        <w:ind w:left="400" w:hanging="400"/>
        <w:jc w:val="both"/>
      </w:pPr>
      <w:r>
        <w:t>Obě smluvní strany jsou si vědomi, že tato smlouva nabývá účinnosti dnem jejího uveřejnění v Registru smluv.</w:t>
      </w:r>
    </w:p>
    <w:p w14:paraId="6DB84640" w14:textId="77777777" w:rsidR="00D23E5F" w:rsidRDefault="00C80F81">
      <w:pPr>
        <w:pStyle w:val="Style4"/>
        <w:numPr>
          <w:ilvl w:val="0"/>
          <w:numId w:val="10"/>
        </w:numPr>
        <w:shd w:val="clear" w:color="auto" w:fill="auto"/>
        <w:tabs>
          <w:tab w:val="left" w:pos="364"/>
        </w:tabs>
        <w:spacing w:line="353" w:lineRule="auto"/>
        <w:ind w:left="400" w:hanging="400"/>
        <w:jc w:val="both"/>
      </w:pPr>
      <w:r>
        <w:t>Smluvní strany prohlašují, že prodávající na sebe přebírá nebezpečí změny okolností ve smyslu § 1755 odst. 2 občanského zákoníku.</w:t>
      </w:r>
    </w:p>
    <w:p w14:paraId="6DB84641" w14:textId="77777777" w:rsidR="00D23E5F" w:rsidRDefault="00C80F81">
      <w:pPr>
        <w:pStyle w:val="Style4"/>
        <w:numPr>
          <w:ilvl w:val="0"/>
          <w:numId w:val="10"/>
        </w:numPr>
        <w:shd w:val="clear" w:color="auto" w:fill="auto"/>
        <w:tabs>
          <w:tab w:val="left" w:pos="364"/>
        </w:tabs>
        <w:spacing w:line="353" w:lineRule="auto"/>
        <w:ind w:left="400" w:hanging="400"/>
        <w:jc w:val="both"/>
      </w:pPr>
      <w:r>
        <w:t>Otázky touto smlouvou výslovně neupravené se řídí příslušnými ustanoveními občanského zákoníku.</w:t>
      </w:r>
    </w:p>
    <w:p w14:paraId="6DB84642" w14:textId="77777777" w:rsidR="00D23E5F" w:rsidRDefault="00C80F81">
      <w:pPr>
        <w:pStyle w:val="Style4"/>
        <w:numPr>
          <w:ilvl w:val="0"/>
          <w:numId w:val="10"/>
        </w:numPr>
        <w:shd w:val="clear" w:color="auto" w:fill="auto"/>
        <w:tabs>
          <w:tab w:val="left" w:pos="364"/>
        </w:tabs>
        <w:spacing w:line="353" w:lineRule="auto"/>
        <w:ind w:left="400" w:hanging="400"/>
        <w:jc w:val="both"/>
      </w:pPr>
      <w:r>
        <w:t>Obsah této smlouvy může být měněn pouze formou písemných vzestupně číslovaných dodatků vyjadřujících shodnou vůli obou smluvních stran.</w:t>
      </w:r>
    </w:p>
    <w:p w14:paraId="6DB84643" w14:textId="77777777" w:rsidR="00D23E5F" w:rsidRDefault="00C80F81">
      <w:pPr>
        <w:pStyle w:val="Style4"/>
        <w:numPr>
          <w:ilvl w:val="0"/>
          <w:numId w:val="10"/>
        </w:numPr>
        <w:shd w:val="clear" w:color="auto" w:fill="auto"/>
        <w:tabs>
          <w:tab w:val="left" w:pos="364"/>
        </w:tabs>
        <w:spacing w:line="353" w:lineRule="auto"/>
        <w:ind w:left="400" w:hanging="400"/>
        <w:jc w:val="both"/>
      </w:pPr>
      <w:r>
        <w:t xml:space="preserve">Tato smlouva se vyhotovuje ve třech vyhotoveních s tím, že NM obdrží 2 pare a </w:t>
      </w:r>
      <w:r>
        <w:t>dodavatel 1 pare smlouvy.</w:t>
      </w:r>
    </w:p>
    <w:p w14:paraId="6DB84644" w14:textId="77777777" w:rsidR="00D23E5F" w:rsidRDefault="00C80F81">
      <w:pPr>
        <w:pStyle w:val="Style4"/>
        <w:numPr>
          <w:ilvl w:val="0"/>
          <w:numId w:val="10"/>
        </w:numPr>
        <w:shd w:val="clear" w:color="auto" w:fill="auto"/>
        <w:tabs>
          <w:tab w:val="left" w:pos="364"/>
        </w:tabs>
        <w:spacing w:line="353" w:lineRule="auto"/>
        <w:ind w:left="400" w:hanging="400"/>
        <w:jc w:val="both"/>
      </w:pPr>
      <w:r>
        <w:t>Smluvní strany prohlašují, že tato smlouva odpovídá jejich pravé, svobodné a vážné vůli, čemuž na důkaz připojují níže své podpisy.</w:t>
      </w:r>
    </w:p>
    <w:p w14:paraId="6DB84645" w14:textId="77777777" w:rsidR="00D23E5F" w:rsidRDefault="00C80F81">
      <w:pPr>
        <w:pStyle w:val="Style4"/>
        <w:shd w:val="clear" w:color="auto" w:fill="auto"/>
        <w:spacing w:after="120" w:line="353" w:lineRule="auto"/>
        <w:ind w:left="0" w:firstLine="0"/>
      </w:pPr>
      <w:r>
        <w:t>Nedílnou součástí smlouvy jsou tyto přílohy:</w:t>
      </w:r>
    </w:p>
    <w:p w14:paraId="6DB84646" w14:textId="77777777" w:rsidR="00D23E5F" w:rsidRDefault="00C80F81">
      <w:pPr>
        <w:pStyle w:val="Style4"/>
        <w:shd w:val="clear" w:color="auto" w:fill="auto"/>
        <w:spacing w:after="1420" w:line="353" w:lineRule="auto"/>
        <w:ind w:left="0" w:firstLine="0"/>
      </w:pPr>
      <w:r>
        <w:t xml:space="preserve">Příloha </w:t>
      </w:r>
      <w:proofErr w:type="spellStart"/>
      <w:r>
        <w:t>č.l</w:t>
      </w:r>
      <w:proofErr w:type="spellEnd"/>
      <w:r>
        <w:t xml:space="preserve"> Specifikace předmětu plnění a Ceník</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41"/>
        <w:gridCol w:w="3850"/>
      </w:tblGrid>
      <w:tr w:rsidR="00D23E5F" w14:paraId="6DB84650" w14:textId="77777777">
        <w:tblPrEx>
          <w:tblCellMar>
            <w:top w:w="0" w:type="dxa"/>
            <w:bottom w:w="0" w:type="dxa"/>
          </w:tblCellMar>
        </w:tblPrEx>
        <w:trPr>
          <w:trHeight w:hRule="exact" w:val="1142"/>
          <w:jc w:val="center"/>
        </w:trPr>
        <w:tc>
          <w:tcPr>
            <w:tcW w:w="4541" w:type="dxa"/>
            <w:shd w:val="clear" w:color="auto" w:fill="FFFFFF"/>
          </w:tcPr>
          <w:p w14:paraId="6DB84647" w14:textId="77777777" w:rsidR="00D23E5F" w:rsidRDefault="00C80F81">
            <w:pPr>
              <w:pStyle w:val="Style12"/>
              <w:shd w:val="clear" w:color="auto" w:fill="auto"/>
              <w:spacing w:after="0" w:line="240" w:lineRule="auto"/>
              <w:rPr>
                <w:sz w:val="18"/>
                <w:szCs w:val="18"/>
              </w:rPr>
            </w:pPr>
            <w:r>
              <w:rPr>
                <w:sz w:val="18"/>
                <w:szCs w:val="18"/>
              </w:rPr>
              <w:t xml:space="preserve">V </w:t>
            </w:r>
            <w:r>
              <w:rPr>
                <w:sz w:val="18"/>
                <w:szCs w:val="18"/>
              </w:rPr>
              <w:t>Praze dne:</w:t>
            </w:r>
          </w:p>
          <w:p w14:paraId="6DB8464A" w14:textId="68C686BD" w:rsidR="00D23E5F" w:rsidRDefault="00D23E5F">
            <w:pPr>
              <w:pStyle w:val="Style12"/>
              <w:shd w:val="clear" w:color="auto" w:fill="auto"/>
              <w:spacing w:after="0" w:line="240" w:lineRule="auto"/>
              <w:ind w:left="2260"/>
            </w:pPr>
          </w:p>
        </w:tc>
        <w:tc>
          <w:tcPr>
            <w:tcW w:w="3850" w:type="dxa"/>
            <w:shd w:val="clear" w:color="auto" w:fill="FFFFFF"/>
          </w:tcPr>
          <w:p w14:paraId="6DB8464B" w14:textId="77777777" w:rsidR="00D23E5F" w:rsidRDefault="00C80F81">
            <w:pPr>
              <w:pStyle w:val="Style12"/>
              <w:shd w:val="clear" w:color="auto" w:fill="auto"/>
              <w:spacing w:after="40" w:line="240" w:lineRule="auto"/>
              <w:ind w:firstLine="240"/>
              <w:jc w:val="both"/>
              <w:rPr>
                <w:sz w:val="18"/>
                <w:szCs w:val="18"/>
              </w:rPr>
            </w:pPr>
            <w:r>
              <w:rPr>
                <w:sz w:val="18"/>
                <w:szCs w:val="18"/>
              </w:rPr>
              <w:t>V Praze dne:</w:t>
            </w:r>
          </w:p>
          <w:p w14:paraId="6DB8464F" w14:textId="78F75D4C" w:rsidR="00D23E5F" w:rsidRDefault="00D23E5F">
            <w:pPr>
              <w:pStyle w:val="Style12"/>
              <w:shd w:val="clear" w:color="auto" w:fill="auto"/>
              <w:spacing w:after="40" w:line="180" w:lineRule="auto"/>
              <w:ind w:firstLine="240"/>
              <w:rPr>
                <w:sz w:val="13"/>
                <w:szCs w:val="13"/>
              </w:rPr>
            </w:pPr>
          </w:p>
        </w:tc>
      </w:tr>
      <w:tr w:rsidR="00D23E5F" w14:paraId="6DB84655" w14:textId="77777777">
        <w:tblPrEx>
          <w:tblCellMar>
            <w:top w:w="0" w:type="dxa"/>
            <w:bottom w:w="0" w:type="dxa"/>
          </w:tblCellMar>
        </w:tblPrEx>
        <w:trPr>
          <w:trHeight w:hRule="exact" w:val="1190"/>
          <w:jc w:val="center"/>
        </w:trPr>
        <w:tc>
          <w:tcPr>
            <w:tcW w:w="4541" w:type="dxa"/>
            <w:tcBorders>
              <w:top w:val="single" w:sz="4" w:space="0" w:color="auto"/>
            </w:tcBorders>
            <w:shd w:val="clear" w:color="auto" w:fill="FFFFFF"/>
            <w:vAlign w:val="center"/>
          </w:tcPr>
          <w:p w14:paraId="6DB84651" w14:textId="77777777" w:rsidR="00D23E5F" w:rsidRDefault="00C80F81">
            <w:pPr>
              <w:pStyle w:val="Style12"/>
              <w:shd w:val="clear" w:color="auto" w:fill="auto"/>
              <w:spacing w:after="0" w:line="300" w:lineRule="auto"/>
              <w:rPr>
                <w:sz w:val="18"/>
                <w:szCs w:val="18"/>
              </w:rPr>
            </w:pPr>
            <w:r>
              <w:rPr>
                <w:sz w:val="18"/>
                <w:szCs w:val="18"/>
              </w:rPr>
              <w:t xml:space="preserve">Ing. </w:t>
            </w:r>
            <w:r>
              <w:rPr>
                <w:sz w:val="18"/>
                <w:szCs w:val="18"/>
              </w:rPr>
              <w:t>Rostislav Trnka</w:t>
            </w:r>
          </w:p>
          <w:p w14:paraId="6DB84652" w14:textId="77777777" w:rsidR="00D23E5F" w:rsidRDefault="00C80F81">
            <w:pPr>
              <w:pStyle w:val="Style12"/>
              <w:shd w:val="clear" w:color="auto" w:fill="auto"/>
              <w:spacing w:after="0" w:line="300" w:lineRule="auto"/>
              <w:rPr>
                <w:sz w:val="18"/>
                <w:szCs w:val="18"/>
              </w:rPr>
            </w:pPr>
            <w:r>
              <w:rPr>
                <w:sz w:val="18"/>
                <w:szCs w:val="18"/>
              </w:rPr>
              <w:t xml:space="preserve">ALWIL </w:t>
            </w:r>
            <w:r>
              <w:rPr>
                <w:sz w:val="18"/>
                <w:szCs w:val="18"/>
                <w:lang w:val="en-US" w:eastAsia="en-US" w:bidi="en-US"/>
              </w:rPr>
              <w:t xml:space="preserve">Trade, </w:t>
            </w:r>
            <w:r>
              <w:rPr>
                <w:sz w:val="18"/>
                <w:szCs w:val="18"/>
              </w:rPr>
              <w:t>spol. s r.o. jednatel</w:t>
            </w:r>
          </w:p>
        </w:tc>
        <w:tc>
          <w:tcPr>
            <w:tcW w:w="3850" w:type="dxa"/>
            <w:tcBorders>
              <w:top w:val="single" w:sz="4" w:space="0" w:color="auto"/>
            </w:tcBorders>
            <w:shd w:val="clear" w:color="auto" w:fill="FFFFFF"/>
            <w:vAlign w:val="bottom"/>
          </w:tcPr>
          <w:p w14:paraId="6DB84653" w14:textId="77777777" w:rsidR="00D23E5F" w:rsidRDefault="00C80F81">
            <w:pPr>
              <w:pStyle w:val="Style12"/>
              <w:shd w:val="clear" w:color="auto" w:fill="auto"/>
              <w:spacing w:after="260" w:line="312" w:lineRule="auto"/>
              <w:ind w:firstLine="240"/>
              <w:rPr>
                <w:sz w:val="18"/>
                <w:szCs w:val="18"/>
              </w:rPr>
            </w:pPr>
            <w:r>
              <w:rPr>
                <w:sz w:val="18"/>
                <w:szCs w:val="18"/>
              </w:rPr>
              <w:t>Ing. Martinem Součkem, PhD.,</w:t>
            </w:r>
          </w:p>
          <w:p w14:paraId="6DB84654" w14:textId="77777777" w:rsidR="00D23E5F" w:rsidRDefault="00C80F81">
            <w:pPr>
              <w:pStyle w:val="Style12"/>
              <w:shd w:val="clear" w:color="auto" w:fill="auto"/>
              <w:spacing w:after="0" w:line="312" w:lineRule="auto"/>
              <w:ind w:left="240" w:firstLine="20"/>
              <w:jc w:val="both"/>
              <w:rPr>
                <w:sz w:val="18"/>
                <w:szCs w:val="18"/>
              </w:rPr>
            </w:pPr>
            <w:r>
              <w:rPr>
                <w:sz w:val="18"/>
                <w:szCs w:val="18"/>
              </w:rPr>
              <w:t>ředitel Odboru digitalizace a informačních systémů</w:t>
            </w:r>
          </w:p>
        </w:tc>
      </w:tr>
    </w:tbl>
    <w:p w14:paraId="6DB84656" w14:textId="77777777" w:rsidR="00D23E5F" w:rsidRDefault="00C80F81">
      <w:pPr>
        <w:spacing w:line="1" w:lineRule="exact"/>
        <w:rPr>
          <w:sz w:val="2"/>
          <w:szCs w:val="2"/>
        </w:rPr>
      </w:pPr>
      <w:r>
        <w:br w:type="page"/>
      </w:r>
    </w:p>
    <w:p w14:paraId="6DB84657" w14:textId="77777777" w:rsidR="00D23E5F" w:rsidRDefault="00C80F81">
      <w:pPr>
        <w:pStyle w:val="Style2"/>
        <w:keepNext/>
        <w:keepLines/>
        <w:shd w:val="clear" w:color="auto" w:fill="auto"/>
        <w:spacing w:after="200" w:line="240" w:lineRule="auto"/>
      </w:pPr>
      <w:bookmarkStart w:id="4" w:name="bookmark6"/>
      <w:r>
        <w:rPr>
          <w:lang w:val="cs-CZ" w:eastAsia="cs-CZ" w:bidi="cs-CZ"/>
        </w:rPr>
        <w:lastRenderedPageBreak/>
        <w:t xml:space="preserve">Příloha </w:t>
      </w:r>
      <w:proofErr w:type="spellStart"/>
      <w:r>
        <w:rPr>
          <w:lang w:val="cs-CZ" w:eastAsia="cs-CZ" w:bidi="cs-CZ"/>
        </w:rPr>
        <w:t>č.l</w:t>
      </w:r>
      <w:proofErr w:type="spellEnd"/>
      <w:r>
        <w:rPr>
          <w:lang w:val="cs-CZ" w:eastAsia="cs-CZ" w:bidi="cs-CZ"/>
        </w:rPr>
        <w:t xml:space="preserve"> - Specifikace</w:t>
      </w:r>
      <w:bookmarkEnd w:id="4"/>
    </w:p>
    <w:p w14:paraId="6DB84658" w14:textId="77777777" w:rsidR="00D23E5F" w:rsidRDefault="00C80F81">
      <w:pPr>
        <w:pStyle w:val="Style2"/>
        <w:keepNext/>
        <w:keepLines/>
        <w:shd w:val="clear" w:color="auto" w:fill="auto"/>
        <w:spacing w:after="200" w:line="240" w:lineRule="auto"/>
      </w:pPr>
      <w:bookmarkStart w:id="5" w:name="bookmark4"/>
      <w:bookmarkStart w:id="6" w:name="bookmark5"/>
      <w:bookmarkStart w:id="7" w:name="bookmark7"/>
      <w:r>
        <w:rPr>
          <w:lang w:val="cs-CZ" w:eastAsia="cs-CZ" w:bidi="cs-CZ"/>
        </w:rPr>
        <w:t>Technická specifikace SW a HW pro zálohování</w:t>
      </w:r>
      <w:bookmarkEnd w:id="5"/>
      <w:bookmarkEnd w:id="6"/>
      <w:bookmarkEnd w:id="7"/>
    </w:p>
    <w:p w14:paraId="6DB84659" w14:textId="77777777" w:rsidR="00D23E5F" w:rsidRDefault="00C80F81">
      <w:pPr>
        <w:pStyle w:val="Style4"/>
        <w:shd w:val="clear" w:color="auto" w:fill="auto"/>
        <w:tabs>
          <w:tab w:val="left" w:pos="6091"/>
        </w:tabs>
        <w:spacing w:after="200" w:line="240" w:lineRule="auto"/>
        <w:ind w:left="0" w:firstLine="0"/>
      </w:pPr>
      <w:r>
        <w:t>Požadovaná specifikace hardwaru:</w:t>
      </w:r>
      <w:r>
        <w:tab/>
      </w:r>
      <w:r>
        <w:rPr>
          <w:b/>
          <w:bCs/>
        </w:rPr>
        <w:t xml:space="preserve">HPE </w:t>
      </w:r>
      <w:r>
        <w:rPr>
          <w:b/>
          <w:bCs/>
          <w:lang w:val="en-US" w:eastAsia="en-US" w:bidi="en-US"/>
        </w:rPr>
        <w:t xml:space="preserve">ProLiant </w:t>
      </w:r>
      <w:r>
        <w:rPr>
          <w:b/>
          <w:bCs/>
        </w:rPr>
        <w:t>DL380 Genii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84"/>
        <w:gridCol w:w="3869"/>
        <w:gridCol w:w="2717"/>
      </w:tblGrid>
      <w:tr w:rsidR="00D23E5F" w14:paraId="6DB8465D" w14:textId="77777777">
        <w:tblPrEx>
          <w:tblCellMar>
            <w:top w:w="0" w:type="dxa"/>
            <w:bottom w:w="0" w:type="dxa"/>
          </w:tblCellMar>
        </w:tblPrEx>
        <w:trPr>
          <w:trHeight w:hRule="exact" w:val="442"/>
          <w:jc w:val="center"/>
        </w:trPr>
        <w:tc>
          <w:tcPr>
            <w:tcW w:w="2184" w:type="dxa"/>
            <w:tcBorders>
              <w:top w:val="single" w:sz="4" w:space="0" w:color="auto"/>
            </w:tcBorders>
            <w:shd w:val="clear" w:color="auto" w:fill="FFFFFF"/>
            <w:vAlign w:val="bottom"/>
          </w:tcPr>
          <w:p w14:paraId="6DB8465A" w14:textId="77777777" w:rsidR="00D23E5F" w:rsidRDefault="00C80F81">
            <w:pPr>
              <w:pStyle w:val="Style12"/>
              <w:shd w:val="clear" w:color="auto" w:fill="auto"/>
              <w:spacing w:after="0" w:line="300" w:lineRule="auto"/>
              <w:ind w:left="200" w:firstLine="20"/>
            </w:pPr>
            <w:r>
              <w:rPr>
                <w:b/>
                <w:bCs/>
              </w:rPr>
              <w:t>Požadovaná funkcionalita/vlastnost</w:t>
            </w:r>
          </w:p>
        </w:tc>
        <w:tc>
          <w:tcPr>
            <w:tcW w:w="3869" w:type="dxa"/>
            <w:tcBorders>
              <w:top w:val="single" w:sz="4" w:space="0" w:color="auto"/>
              <w:left w:val="single" w:sz="4" w:space="0" w:color="auto"/>
            </w:tcBorders>
            <w:shd w:val="clear" w:color="auto" w:fill="FFFFFF"/>
            <w:vAlign w:val="bottom"/>
          </w:tcPr>
          <w:p w14:paraId="6DB8465B" w14:textId="77777777" w:rsidR="00D23E5F" w:rsidRDefault="00C80F81">
            <w:pPr>
              <w:pStyle w:val="Style12"/>
              <w:shd w:val="clear" w:color="auto" w:fill="auto"/>
              <w:spacing w:after="0" w:line="295" w:lineRule="auto"/>
            </w:pPr>
            <w:r>
              <w:rPr>
                <w:b/>
                <w:bCs/>
              </w:rPr>
              <w:t>Způsob splnění požadované funkcionality/vlastnosti</w:t>
            </w:r>
          </w:p>
        </w:tc>
        <w:tc>
          <w:tcPr>
            <w:tcW w:w="2717" w:type="dxa"/>
            <w:tcBorders>
              <w:top w:val="single" w:sz="4" w:space="0" w:color="auto"/>
              <w:left w:val="single" w:sz="4" w:space="0" w:color="auto"/>
              <w:right w:val="single" w:sz="4" w:space="0" w:color="auto"/>
            </w:tcBorders>
            <w:shd w:val="clear" w:color="auto" w:fill="FFFFFF"/>
            <w:vAlign w:val="bottom"/>
          </w:tcPr>
          <w:p w14:paraId="6DB8465C" w14:textId="77777777" w:rsidR="00D23E5F" w:rsidRDefault="00C80F81">
            <w:pPr>
              <w:pStyle w:val="Style12"/>
              <w:shd w:val="clear" w:color="auto" w:fill="auto"/>
              <w:spacing w:after="0" w:line="300" w:lineRule="auto"/>
            </w:pPr>
            <w:r>
              <w:rPr>
                <w:b/>
                <w:bCs/>
              </w:rPr>
              <w:t>Doplní Uchazeč dle nabízeného zařízení</w:t>
            </w:r>
          </w:p>
        </w:tc>
      </w:tr>
      <w:tr w:rsidR="00D23E5F" w14:paraId="6DB84662" w14:textId="77777777">
        <w:tblPrEx>
          <w:tblCellMar>
            <w:top w:w="0" w:type="dxa"/>
            <w:bottom w:w="0" w:type="dxa"/>
          </w:tblCellMar>
        </w:tblPrEx>
        <w:trPr>
          <w:trHeight w:hRule="exact" w:val="1066"/>
          <w:jc w:val="center"/>
        </w:trPr>
        <w:tc>
          <w:tcPr>
            <w:tcW w:w="2184" w:type="dxa"/>
            <w:tcBorders>
              <w:top w:val="single" w:sz="4" w:space="0" w:color="auto"/>
            </w:tcBorders>
            <w:shd w:val="clear" w:color="auto" w:fill="FFFFFF"/>
          </w:tcPr>
          <w:p w14:paraId="6DB8465E" w14:textId="77777777" w:rsidR="00D23E5F" w:rsidRDefault="00C80F81">
            <w:pPr>
              <w:pStyle w:val="Style12"/>
              <w:shd w:val="clear" w:color="auto" w:fill="auto"/>
              <w:spacing w:after="0" w:line="240" w:lineRule="auto"/>
              <w:ind w:firstLine="200"/>
            </w:pPr>
            <w:r>
              <w:t>Typ/provedení</w:t>
            </w:r>
          </w:p>
        </w:tc>
        <w:tc>
          <w:tcPr>
            <w:tcW w:w="3869" w:type="dxa"/>
            <w:tcBorders>
              <w:top w:val="single" w:sz="4" w:space="0" w:color="auto"/>
              <w:left w:val="single" w:sz="4" w:space="0" w:color="auto"/>
            </w:tcBorders>
            <w:shd w:val="clear" w:color="auto" w:fill="FFFFFF"/>
          </w:tcPr>
          <w:p w14:paraId="6DB8465F" w14:textId="77777777" w:rsidR="00D23E5F" w:rsidRDefault="00C80F81">
            <w:pPr>
              <w:pStyle w:val="Style12"/>
              <w:shd w:val="clear" w:color="auto" w:fill="auto"/>
              <w:spacing w:after="0" w:line="295" w:lineRule="auto"/>
            </w:pPr>
            <w:r>
              <w:t xml:space="preserve">2U, provedení </w:t>
            </w:r>
            <w:r>
              <w:rPr>
                <w:lang w:val="en-US" w:eastAsia="en-US" w:bidi="en-US"/>
              </w:rPr>
              <w:t xml:space="preserve">RACK </w:t>
            </w:r>
            <w:r>
              <w:t>19"</w:t>
            </w:r>
          </w:p>
          <w:p w14:paraId="6DB84660" w14:textId="77777777" w:rsidR="00D23E5F" w:rsidRDefault="00C80F81">
            <w:pPr>
              <w:pStyle w:val="Style12"/>
              <w:shd w:val="clear" w:color="auto" w:fill="auto"/>
              <w:spacing w:after="0" w:line="295" w:lineRule="auto"/>
            </w:pPr>
            <w:r>
              <w:t xml:space="preserve">přístup ke všem komponentám serveru bez použití nářadí s </w:t>
            </w:r>
            <w:r>
              <w:t>příslušenstvím - výsuvné ližiny a rameno pro organizaci kabelů</w:t>
            </w:r>
          </w:p>
        </w:tc>
        <w:tc>
          <w:tcPr>
            <w:tcW w:w="2717" w:type="dxa"/>
            <w:tcBorders>
              <w:top w:val="single" w:sz="4" w:space="0" w:color="auto"/>
              <w:left w:val="single" w:sz="4" w:space="0" w:color="auto"/>
              <w:right w:val="single" w:sz="4" w:space="0" w:color="auto"/>
            </w:tcBorders>
            <w:shd w:val="clear" w:color="auto" w:fill="FFFFFF"/>
            <w:vAlign w:val="bottom"/>
          </w:tcPr>
          <w:p w14:paraId="6DB84661" w14:textId="77777777" w:rsidR="00D23E5F" w:rsidRDefault="00C80F81">
            <w:pPr>
              <w:pStyle w:val="Style12"/>
              <w:shd w:val="clear" w:color="auto" w:fill="auto"/>
              <w:spacing w:after="0" w:line="295" w:lineRule="auto"/>
            </w:pPr>
            <w:r>
              <w:t xml:space="preserve">2U, provedení </w:t>
            </w:r>
            <w:r>
              <w:rPr>
                <w:lang w:val="en-US" w:eastAsia="en-US" w:bidi="en-US"/>
              </w:rPr>
              <w:t xml:space="preserve">RACK </w:t>
            </w:r>
            <w:r>
              <w:t>19" přístup ke všem komponentám serveru bez použití nářadí s příslušenstvím-výsuvné ližiny a rameno pro organizaci kabelů</w:t>
            </w:r>
          </w:p>
        </w:tc>
      </w:tr>
      <w:tr w:rsidR="00D23E5F" w14:paraId="6DB8466F" w14:textId="77777777">
        <w:tblPrEx>
          <w:tblCellMar>
            <w:top w:w="0" w:type="dxa"/>
            <w:bottom w:w="0" w:type="dxa"/>
          </w:tblCellMar>
        </w:tblPrEx>
        <w:trPr>
          <w:trHeight w:hRule="exact" w:val="3456"/>
          <w:jc w:val="center"/>
        </w:trPr>
        <w:tc>
          <w:tcPr>
            <w:tcW w:w="2184" w:type="dxa"/>
            <w:tcBorders>
              <w:top w:val="single" w:sz="4" w:space="0" w:color="auto"/>
              <w:left w:val="single" w:sz="4" w:space="0" w:color="auto"/>
            </w:tcBorders>
            <w:shd w:val="clear" w:color="auto" w:fill="FFFFFF"/>
          </w:tcPr>
          <w:p w14:paraId="6DB84663" w14:textId="77777777" w:rsidR="00D23E5F" w:rsidRDefault="00C80F81">
            <w:pPr>
              <w:pStyle w:val="Style12"/>
              <w:shd w:val="clear" w:color="auto" w:fill="auto"/>
              <w:spacing w:after="0" w:line="240" w:lineRule="auto"/>
              <w:ind w:firstLine="200"/>
            </w:pPr>
            <w:r>
              <w:t>CPU</w:t>
            </w:r>
          </w:p>
        </w:tc>
        <w:tc>
          <w:tcPr>
            <w:tcW w:w="3869" w:type="dxa"/>
            <w:tcBorders>
              <w:top w:val="single" w:sz="4" w:space="0" w:color="auto"/>
              <w:left w:val="single" w:sz="4" w:space="0" w:color="auto"/>
            </w:tcBorders>
            <w:shd w:val="clear" w:color="auto" w:fill="FFFFFF"/>
          </w:tcPr>
          <w:p w14:paraId="6DB84664" w14:textId="77777777" w:rsidR="00D23E5F" w:rsidRDefault="00C80F81">
            <w:pPr>
              <w:pStyle w:val="Style12"/>
              <w:shd w:val="clear" w:color="auto" w:fill="auto"/>
              <w:spacing w:after="260" w:line="298" w:lineRule="auto"/>
            </w:pPr>
            <w:r>
              <w:rPr>
                <w:b/>
                <w:bCs/>
              </w:rPr>
              <w:t xml:space="preserve">2 X CPU min. 2,1 GHz, 32core, </w:t>
            </w:r>
            <w:r>
              <w:rPr>
                <w:b/>
                <w:bCs/>
                <w:lang w:val="en-US" w:eastAsia="en-US" w:bidi="en-US"/>
              </w:rPr>
              <w:t xml:space="preserve">max. </w:t>
            </w:r>
            <w:r>
              <w:rPr>
                <w:b/>
                <w:bCs/>
              </w:rPr>
              <w:t>270W</w:t>
            </w:r>
          </w:p>
          <w:p w14:paraId="6DB84665" w14:textId="77777777" w:rsidR="00D23E5F" w:rsidRDefault="00C80F81">
            <w:pPr>
              <w:pStyle w:val="Style12"/>
              <w:shd w:val="clear" w:color="auto" w:fill="auto"/>
              <w:spacing w:after="0" w:line="298" w:lineRule="auto"/>
            </w:pPr>
            <w:r>
              <w:t xml:space="preserve">CPU musí splňovat tyto parametry dle </w:t>
            </w:r>
            <w:r>
              <w:rPr>
                <w:lang w:val="en-US" w:eastAsia="en-US" w:bidi="en-US"/>
              </w:rPr>
              <w:t xml:space="preserve">spec.org: </w:t>
            </w:r>
            <w:r>
              <w:t xml:space="preserve">CPU2017 </w:t>
            </w:r>
            <w:r>
              <w:rPr>
                <w:lang w:val="en-US" w:eastAsia="en-US" w:bidi="en-US"/>
              </w:rPr>
              <w:t xml:space="preserve">Integer Speed base </w:t>
            </w:r>
            <w:r>
              <w:t>= min. 13.0 bodů (pro konfiguraci s 2 CPU)</w:t>
            </w:r>
          </w:p>
          <w:p w14:paraId="6DB84666" w14:textId="77777777" w:rsidR="00D23E5F" w:rsidRDefault="00C80F81">
            <w:pPr>
              <w:pStyle w:val="Style12"/>
              <w:shd w:val="clear" w:color="auto" w:fill="auto"/>
              <w:spacing w:after="0" w:line="298" w:lineRule="auto"/>
            </w:pPr>
            <w:r>
              <w:t xml:space="preserve">CPU2017 </w:t>
            </w:r>
            <w:r>
              <w:rPr>
                <w:lang w:val="en-US" w:eastAsia="en-US" w:bidi="en-US"/>
              </w:rPr>
              <w:t xml:space="preserve">Floating </w:t>
            </w:r>
            <w:r>
              <w:t xml:space="preserve">Point </w:t>
            </w:r>
            <w:r>
              <w:rPr>
                <w:lang w:val="en-US" w:eastAsia="en-US" w:bidi="en-US"/>
              </w:rPr>
              <w:t xml:space="preserve">Speed </w:t>
            </w:r>
            <w:r>
              <w:t>base = 260 bodů (pro konfiguraci s 2 CPU)</w:t>
            </w:r>
          </w:p>
          <w:p w14:paraId="6DB84667" w14:textId="77777777" w:rsidR="00D23E5F" w:rsidRDefault="00C80F81">
            <w:pPr>
              <w:pStyle w:val="Style12"/>
              <w:shd w:val="clear" w:color="auto" w:fill="auto"/>
              <w:spacing w:after="0" w:line="298" w:lineRule="auto"/>
            </w:pPr>
            <w:r>
              <w:t xml:space="preserve">CPU2017 </w:t>
            </w:r>
            <w:r>
              <w:rPr>
                <w:lang w:val="en-US" w:eastAsia="en-US" w:bidi="en-US"/>
              </w:rPr>
              <w:t xml:space="preserve">Integer Rates base </w:t>
            </w:r>
            <w:r>
              <w:t xml:space="preserve">= 520 bodů </w:t>
            </w:r>
            <w:r>
              <w:rPr>
                <w:lang w:val="en-US" w:eastAsia="en-US" w:bidi="en-US"/>
              </w:rPr>
              <w:t xml:space="preserve">(pro </w:t>
            </w:r>
            <w:r>
              <w:t>konfiguraci s 2 CPU)</w:t>
            </w:r>
          </w:p>
          <w:p w14:paraId="6DB84668" w14:textId="77777777" w:rsidR="00D23E5F" w:rsidRDefault="00C80F81">
            <w:pPr>
              <w:pStyle w:val="Style12"/>
              <w:shd w:val="clear" w:color="auto" w:fill="auto"/>
              <w:spacing w:after="0" w:line="298" w:lineRule="auto"/>
            </w:pPr>
            <w:r>
              <w:t xml:space="preserve">CPU2017 </w:t>
            </w:r>
            <w:r>
              <w:rPr>
                <w:lang w:val="en-US" w:eastAsia="en-US" w:bidi="en-US"/>
              </w:rPr>
              <w:t xml:space="preserve">Floating </w:t>
            </w:r>
            <w:r>
              <w:t xml:space="preserve">Point </w:t>
            </w:r>
            <w:r>
              <w:rPr>
                <w:lang w:val="en-US" w:eastAsia="en-US" w:bidi="en-US"/>
              </w:rPr>
              <w:t xml:space="preserve">Rates </w:t>
            </w:r>
            <w:r>
              <w:t>base = 640 bodů (pro konfiguraci s 2 CPU)</w:t>
            </w:r>
          </w:p>
          <w:p w14:paraId="6DB84669" w14:textId="77777777" w:rsidR="00D23E5F" w:rsidRDefault="00C80F81">
            <w:pPr>
              <w:pStyle w:val="Style12"/>
              <w:shd w:val="clear" w:color="auto" w:fill="auto"/>
              <w:spacing w:after="0" w:line="298" w:lineRule="auto"/>
            </w:pPr>
            <w:r>
              <w:t>Účastník uvede přesný model CPU.</w:t>
            </w:r>
          </w:p>
        </w:tc>
        <w:tc>
          <w:tcPr>
            <w:tcW w:w="2717" w:type="dxa"/>
            <w:tcBorders>
              <w:top w:val="single" w:sz="4" w:space="0" w:color="auto"/>
              <w:left w:val="single" w:sz="4" w:space="0" w:color="auto"/>
              <w:right w:val="single" w:sz="4" w:space="0" w:color="auto"/>
            </w:tcBorders>
            <w:shd w:val="clear" w:color="auto" w:fill="FFFFFF"/>
          </w:tcPr>
          <w:p w14:paraId="6DB8466A" w14:textId="77777777" w:rsidR="00D23E5F" w:rsidRDefault="00C80F81">
            <w:pPr>
              <w:pStyle w:val="Style12"/>
              <w:shd w:val="clear" w:color="auto" w:fill="auto"/>
              <w:spacing w:after="0" w:line="298" w:lineRule="auto"/>
            </w:pPr>
            <w:r>
              <w:t xml:space="preserve">2x Intel </w:t>
            </w:r>
            <w:proofErr w:type="spellStart"/>
            <w:r>
              <w:t>Xeon</w:t>
            </w:r>
            <w:proofErr w:type="spellEnd"/>
            <w:r>
              <w:t>-Gold 6430 2.16Hz</w:t>
            </w:r>
          </w:p>
          <w:p w14:paraId="6DB8466B" w14:textId="77777777" w:rsidR="00D23E5F" w:rsidRDefault="00C80F81">
            <w:pPr>
              <w:pStyle w:val="Style12"/>
              <w:shd w:val="clear" w:color="auto" w:fill="auto"/>
              <w:spacing w:after="200" w:line="298" w:lineRule="auto"/>
            </w:pPr>
            <w:r>
              <w:t>270W</w:t>
            </w:r>
          </w:p>
          <w:p w14:paraId="6DB8466C" w14:textId="77777777" w:rsidR="00D23E5F" w:rsidRDefault="00C80F81">
            <w:pPr>
              <w:pStyle w:val="Style12"/>
              <w:shd w:val="clear" w:color="auto" w:fill="auto"/>
              <w:spacing w:after="0" w:line="298" w:lineRule="auto"/>
            </w:pPr>
            <w:r>
              <w:t xml:space="preserve">CPU splňuje tyto parametry dle </w:t>
            </w:r>
            <w:r>
              <w:rPr>
                <w:lang w:val="en-US" w:eastAsia="en-US" w:bidi="en-US"/>
              </w:rPr>
              <w:t>spec.org;</w:t>
            </w:r>
          </w:p>
          <w:p w14:paraId="6DB8466D" w14:textId="77777777" w:rsidR="00D23E5F" w:rsidRDefault="00C80F81">
            <w:pPr>
              <w:pStyle w:val="Style12"/>
              <w:shd w:val="clear" w:color="auto" w:fill="auto"/>
              <w:spacing w:after="0" w:line="298" w:lineRule="auto"/>
            </w:pPr>
            <w:r>
              <w:t xml:space="preserve">CPU2O17 </w:t>
            </w:r>
            <w:r>
              <w:rPr>
                <w:lang w:val="en-US" w:eastAsia="en-US" w:bidi="en-US"/>
              </w:rPr>
              <w:t xml:space="preserve">Integer Speed base </w:t>
            </w:r>
            <w:r>
              <w:t xml:space="preserve">= 13.4 bodů </w:t>
            </w:r>
            <w:r>
              <w:rPr>
                <w:lang w:val="en-US" w:eastAsia="en-US" w:bidi="en-US"/>
              </w:rPr>
              <w:t xml:space="preserve">(pro </w:t>
            </w:r>
            <w:r>
              <w:t xml:space="preserve">konfiguraci s 2 CPU) CPU2017 </w:t>
            </w:r>
            <w:r>
              <w:rPr>
                <w:lang w:val="en-US" w:eastAsia="en-US" w:bidi="en-US"/>
              </w:rPr>
              <w:t xml:space="preserve">Floating </w:t>
            </w:r>
            <w:r>
              <w:t xml:space="preserve">Point </w:t>
            </w:r>
            <w:r>
              <w:rPr>
                <w:lang w:val="en-US" w:eastAsia="en-US" w:bidi="en-US"/>
              </w:rPr>
              <w:t xml:space="preserve">Speed </w:t>
            </w:r>
            <w:r>
              <w:t>base = 2654 bodů (pro konfiguraci s 2 CPU)</w:t>
            </w:r>
          </w:p>
          <w:p w14:paraId="6DB8466E" w14:textId="77777777" w:rsidR="00D23E5F" w:rsidRDefault="00C80F81">
            <w:pPr>
              <w:pStyle w:val="Style12"/>
              <w:shd w:val="clear" w:color="auto" w:fill="auto"/>
              <w:spacing w:after="120" w:line="298" w:lineRule="auto"/>
            </w:pPr>
            <w:r>
              <w:t xml:space="preserve">CPU2017 </w:t>
            </w:r>
            <w:r>
              <w:rPr>
                <w:lang w:val="en-US" w:eastAsia="en-US" w:bidi="en-US"/>
              </w:rPr>
              <w:t xml:space="preserve">Integer Rates base </w:t>
            </w:r>
            <w:r>
              <w:t xml:space="preserve">= 522 bodů </w:t>
            </w:r>
            <w:r>
              <w:rPr>
                <w:lang w:val="en-US" w:eastAsia="en-US" w:bidi="en-US"/>
              </w:rPr>
              <w:t xml:space="preserve">(pro </w:t>
            </w:r>
            <w:r>
              <w:t xml:space="preserve">konfiguraci s 2 CPU) CPU2017 </w:t>
            </w:r>
            <w:r>
              <w:rPr>
                <w:lang w:val="en-US" w:eastAsia="en-US" w:bidi="en-US"/>
              </w:rPr>
              <w:t xml:space="preserve">Floating </w:t>
            </w:r>
            <w:r>
              <w:t xml:space="preserve">Point </w:t>
            </w:r>
            <w:r>
              <w:rPr>
                <w:lang w:val="en-US" w:eastAsia="en-US" w:bidi="en-US"/>
              </w:rPr>
              <w:t xml:space="preserve">Rates </w:t>
            </w:r>
            <w:r>
              <w:t>base = 642 bodů (pro konfiguraci s 2 CPU)</w:t>
            </w:r>
          </w:p>
        </w:tc>
      </w:tr>
      <w:tr w:rsidR="00D23E5F" w14:paraId="6DB84676" w14:textId="77777777">
        <w:tblPrEx>
          <w:tblCellMar>
            <w:top w:w="0" w:type="dxa"/>
            <w:bottom w:w="0" w:type="dxa"/>
          </w:tblCellMar>
        </w:tblPrEx>
        <w:trPr>
          <w:trHeight w:hRule="exact" w:val="1488"/>
          <w:jc w:val="center"/>
        </w:trPr>
        <w:tc>
          <w:tcPr>
            <w:tcW w:w="2184" w:type="dxa"/>
            <w:tcBorders>
              <w:top w:val="single" w:sz="4" w:space="0" w:color="auto"/>
              <w:left w:val="single" w:sz="4" w:space="0" w:color="auto"/>
            </w:tcBorders>
            <w:shd w:val="clear" w:color="auto" w:fill="FFFFFF"/>
          </w:tcPr>
          <w:p w14:paraId="6DB84670" w14:textId="77777777" w:rsidR="00D23E5F" w:rsidRDefault="00C80F81">
            <w:pPr>
              <w:pStyle w:val="Style12"/>
              <w:shd w:val="clear" w:color="auto" w:fill="auto"/>
              <w:spacing w:after="0" w:line="240" w:lineRule="auto"/>
            </w:pPr>
            <w:r>
              <w:t>RAM</w:t>
            </w:r>
          </w:p>
        </w:tc>
        <w:tc>
          <w:tcPr>
            <w:tcW w:w="3869" w:type="dxa"/>
            <w:tcBorders>
              <w:top w:val="single" w:sz="4" w:space="0" w:color="auto"/>
              <w:left w:val="single" w:sz="4" w:space="0" w:color="auto"/>
            </w:tcBorders>
            <w:shd w:val="clear" w:color="auto" w:fill="FFFFFF"/>
          </w:tcPr>
          <w:p w14:paraId="6DB84671" w14:textId="77777777" w:rsidR="00D23E5F" w:rsidRDefault="00C80F81">
            <w:pPr>
              <w:pStyle w:val="Style12"/>
              <w:shd w:val="clear" w:color="auto" w:fill="auto"/>
              <w:spacing w:after="0" w:line="300" w:lineRule="auto"/>
            </w:pPr>
            <w:r>
              <w:t>min. 32 paměťových slotů, podpora min. pamětí typu DDR5 nejméně na frekvenci 4800 MHz. Podpora až 8 TB RAM</w:t>
            </w:r>
          </w:p>
          <w:p w14:paraId="6DB84672" w14:textId="77777777" w:rsidR="00D23E5F" w:rsidRDefault="00C80F81">
            <w:pPr>
              <w:pStyle w:val="Style12"/>
              <w:shd w:val="clear" w:color="auto" w:fill="auto"/>
              <w:spacing w:after="0" w:line="300" w:lineRule="auto"/>
            </w:pPr>
            <w:r>
              <w:rPr>
                <w:b/>
                <w:bCs/>
              </w:rPr>
              <w:t>Osazeno 16 x 32G6 RAM modul</w:t>
            </w:r>
          </w:p>
          <w:p w14:paraId="6DB84673" w14:textId="77777777" w:rsidR="00D23E5F" w:rsidRDefault="00C80F81">
            <w:pPr>
              <w:pStyle w:val="Style12"/>
              <w:shd w:val="clear" w:color="auto" w:fill="auto"/>
              <w:spacing w:after="0" w:line="300" w:lineRule="auto"/>
            </w:pPr>
            <w:r>
              <w:t>Musí být zajištěno optimální osazení paměťovými moduly.</w:t>
            </w:r>
          </w:p>
        </w:tc>
        <w:tc>
          <w:tcPr>
            <w:tcW w:w="2717" w:type="dxa"/>
            <w:tcBorders>
              <w:top w:val="single" w:sz="4" w:space="0" w:color="auto"/>
              <w:left w:val="single" w:sz="4" w:space="0" w:color="auto"/>
              <w:right w:val="single" w:sz="4" w:space="0" w:color="auto"/>
            </w:tcBorders>
            <w:shd w:val="clear" w:color="auto" w:fill="FFFFFF"/>
            <w:vAlign w:val="bottom"/>
          </w:tcPr>
          <w:p w14:paraId="6DB84674" w14:textId="77777777" w:rsidR="00D23E5F" w:rsidRDefault="00C80F81">
            <w:pPr>
              <w:pStyle w:val="Style12"/>
              <w:shd w:val="clear" w:color="auto" w:fill="auto"/>
              <w:spacing w:after="0" w:line="295" w:lineRule="auto"/>
            </w:pPr>
            <w:r>
              <w:t xml:space="preserve">min. 32 paměťových slotů, podpora pamětí typu </w:t>
            </w:r>
            <w:r>
              <w:t>DDR5 na frekvenci 4800 MHz;, podpora až 8 TB RAM.</w:t>
            </w:r>
          </w:p>
          <w:p w14:paraId="6DB84675" w14:textId="77777777" w:rsidR="00D23E5F" w:rsidRDefault="00C80F81">
            <w:pPr>
              <w:pStyle w:val="Style12"/>
              <w:shd w:val="clear" w:color="auto" w:fill="auto"/>
              <w:spacing w:after="0" w:line="295" w:lineRule="auto"/>
            </w:pPr>
            <w:r>
              <w:rPr>
                <w:b/>
                <w:bCs/>
              </w:rPr>
              <w:t xml:space="preserve">osazeno 16 x 32GB RAM modul </w:t>
            </w:r>
            <w:r>
              <w:t>Je zajištěno optimální osazení paměťovými moduly.</w:t>
            </w:r>
          </w:p>
        </w:tc>
      </w:tr>
      <w:tr w:rsidR="00D23E5F" w14:paraId="6DB8467A" w14:textId="77777777">
        <w:tblPrEx>
          <w:tblCellMar>
            <w:top w:w="0" w:type="dxa"/>
            <w:bottom w:w="0" w:type="dxa"/>
          </w:tblCellMar>
        </w:tblPrEx>
        <w:trPr>
          <w:trHeight w:hRule="exact" w:val="221"/>
          <w:jc w:val="center"/>
        </w:trPr>
        <w:tc>
          <w:tcPr>
            <w:tcW w:w="2184" w:type="dxa"/>
            <w:tcBorders>
              <w:top w:val="single" w:sz="4" w:space="0" w:color="auto"/>
              <w:left w:val="single" w:sz="4" w:space="0" w:color="auto"/>
            </w:tcBorders>
            <w:shd w:val="clear" w:color="auto" w:fill="FFFFFF"/>
            <w:vAlign w:val="bottom"/>
          </w:tcPr>
          <w:p w14:paraId="6DB84677" w14:textId="77777777" w:rsidR="00D23E5F" w:rsidRDefault="00C80F81">
            <w:pPr>
              <w:pStyle w:val="Style12"/>
              <w:shd w:val="clear" w:color="auto" w:fill="auto"/>
              <w:spacing w:after="0" w:line="240" w:lineRule="auto"/>
            </w:pPr>
            <w:r>
              <w:t>Rozšiřující sloty</w:t>
            </w:r>
          </w:p>
        </w:tc>
        <w:tc>
          <w:tcPr>
            <w:tcW w:w="3869" w:type="dxa"/>
            <w:tcBorders>
              <w:top w:val="single" w:sz="4" w:space="0" w:color="auto"/>
              <w:left w:val="single" w:sz="4" w:space="0" w:color="auto"/>
            </w:tcBorders>
            <w:shd w:val="clear" w:color="auto" w:fill="FFFFFF"/>
            <w:vAlign w:val="bottom"/>
          </w:tcPr>
          <w:p w14:paraId="6DB84678" w14:textId="77777777" w:rsidR="00D23E5F" w:rsidRDefault="00C80F81">
            <w:pPr>
              <w:pStyle w:val="Style12"/>
              <w:shd w:val="clear" w:color="auto" w:fill="auto"/>
              <w:spacing w:after="0" w:line="240" w:lineRule="auto"/>
            </w:pPr>
            <w:r>
              <w:t xml:space="preserve">min. 3 X </w:t>
            </w:r>
            <w:proofErr w:type="spellStart"/>
            <w:r>
              <w:t>PCIe</w:t>
            </w:r>
            <w:proofErr w:type="spellEnd"/>
            <w:r>
              <w:t xml:space="preserve"> </w:t>
            </w:r>
            <w:proofErr w:type="spellStart"/>
            <w:r>
              <w:t>GenS</w:t>
            </w:r>
            <w:proofErr w:type="spellEnd"/>
            <w:r>
              <w:t xml:space="preserve"> xl6</w:t>
            </w:r>
          </w:p>
        </w:tc>
        <w:tc>
          <w:tcPr>
            <w:tcW w:w="2717" w:type="dxa"/>
            <w:tcBorders>
              <w:top w:val="single" w:sz="4" w:space="0" w:color="auto"/>
              <w:left w:val="single" w:sz="4" w:space="0" w:color="auto"/>
              <w:right w:val="single" w:sz="4" w:space="0" w:color="auto"/>
            </w:tcBorders>
            <w:shd w:val="clear" w:color="auto" w:fill="FFFFFF"/>
            <w:vAlign w:val="bottom"/>
          </w:tcPr>
          <w:p w14:paraId="6DB84679" w14:textId="77777777" w:rsidR="00D23E5F" w:rsidRDefault="00C80F81">
            <w:pPr>
              <w:pStyle w:val="Style12"/>
              <w:shd w:val="clear" w:color="auto" w:fill="auto"/>
              <w:spacing w:after="0" w:line="240" w:lineRule="auto"/>
            </w:pPr>
            <w:r>
              <w:t xml:space="preserve">min, 3 x </w:t>
            </w:r>
            <w:proofErr w:type="spellStart"/>
            <w:r>
              <w:t>PCIe</w:t>
            </w:r>
            <w:proofErr w:type="spellEnd"/>
            <w:r>
              <w:t xml:space="preserve"> Gen5 xl6</w:t>
            </w:r>
          </w:p>
        </w:tc>
      </w:tr>
      <w:tr w:rsidR="00D23E5F" w14:paraId="6DB8467E" w14:textId="77777777">
        <w:tblPrEx>
          <w:tblCellMar>
            <w:top w:w="0" w:type="dxa"/>
            <w:bottom w:w="0" w:type="dxa"/>
          </w:tblCellMar>
        </w:tblPrEx>
        <w:trPr>
          <w:trHeight w:hRule="exact" w:val="643"/>
          <w:jc w:val="center"/>
        </w:trPr>
        <w:tc>
          <w:tcPr>
            <w:tcW w:w="2184" w:type="dxa"/>
            <w:vMerge w:val="restart"/>
            <w:tcBorders>
              <w:top w:val="single" w:sz="4" w:space="0" w:color="auto"/>
              <w:left w:val="single" w:sz="4" w:space="0" w:color="auto"/>
            </w:tcBorders>
            <w:shd w:val="clear" w:color="auto" w:fill="FFFFFF"/>
          </w:tcPr>
          <w:p w14:paraId="6DB8467B" w14:textId="77777777" w:rsidR="00D23E5F" w:rsidRDefault="00C80F81">
            <w:pPr>
              <w:pStyle w:val="Style12"/>
              <w:shd w:val="clear" w:color="auto" w:fill="auto"/>
              <w:spacing w:after="0" w:line="240" w:lineRule="auto"/>
            </w:pPr>
            <w:r>
              <w:rPr>
                <w:lang w:val="en-US" w:eastAsia="en-US" w:bidi="en-US"/>
              </w:rPr>
              <w:t>Storage</w:t>
            </w:r>
          </w:p>
        </w:tc>
        <w:tc>
          <w:tcPr>
            <w:tcW w:w="3869" w:type="dxa"/>
            <w:tcBorders>
              <w:top w:val="single" w:sz="4" w:space="0" w:color="auto"/>
              <w:left w:val="single" w:sz="4" w:space="0" w:color="auto"/>
            </w:tcBorders>
            <w:shd w:val="clear" w:color="auto" w:fill="FFFFFF"/>
            <w:vAlign w:val="bottom"/>
          </w:tcPr>
          <w:p w14:paraId="6DB8467C" w14:textId="77777777" w:rsidR="00D23E5F" w:rsidRDefault="00C80F81">
            <w:pPr>
              <w:pStyle w:val="Style12"/>
              <w:shd w:val="clear" w:color="auto" w:fill="auto"/>
              <w:spacing w:after="0" w:line="298" w:lineRule="auto"/>
            </w:pPr>
            <w:r>
              <w:t xml:space="preserve">Server musí podporovat min.16 diskových pozic pro </w:t>
            </w:r>
            <w:r>
              <w:t>disky o velikost 3.5" a musí akceptovat disky s rozhraním SAS.</w:t>
            </w:r>
          </w:p>
        </w:tc>
        <w:tc>
          <w:tcPr>
            <w:tcW w:w="2717" w:type="dxa"/>
            <w:tcBorders>
              <w:top w:val="single" w:sz="4" w:space="0" w:color="auto"/>
              <w:left w:val="single" w:sz="4" w:space="0" w:color="auto"/>
              <w:right w:val="single" w:sz="4" w:space="0" w:color="auto"/>
            </w:tcBorders>
            <w:shd w:val="clear" w:color="auto" w:fill="FFFFFF"/>
            <w:vAlign w:val="bottom"/>
          </w:tcPr>
          <w:p w14:paraId="6DB8467D" w14:textId="77777777" w:rsidR="00D23E5F" w:rsidRDefault="00C80F81">
            <w:pPr>
              <w:pStyle w:val="Style12"/>
              <w:shd w:val="clear" w:color="auto" w:fill="auto"/>
              <w:spacing w:after="0" w:line="290" w:lineRule="auto"/>
            </w:pPr>
            <w:r>
              <w:t>Server podporuje 15 diskových pozic pro disky o velikost 3.5" a akceptuje disky s rozhraním SAS.</w:t>
            </w:r>
          </w:p>
        </w:tc>
      </w:tr>
      <w:tr w:rsidR="00D23E5F" w14:paraId="6DB8468A" w14:textId="77777777">
        <w:tblPrEx>
          <w:tblCellMar>
            <w:top w:w="0" w:type="dxa"/>
            <w:bottom w:w="0" w:type="dxa"/>
          </w:tblCellMar>
        </w:tblPrEx>
        <w:trPr>
          <w:trHeight w:hRule="exact" w:val="1910"/>
          <w:jc w:val="center"/>
        </w:trPr>
        <w:tc>
          <w:tcPr>
            <w:tcW w:w="2184" w:type="dxa"/>
            <w:vMerge/>
            <w:tcBorders>
              <w:left w:val="single" w:sz="4" w:space="0" w:color="auto"/>
            </w:tcBorders>
            <w:shd w:val="clear" w:color="auto" w:fill="FFFFFF"/>
          </w:tcPr>
          <w:p w14:paraId="6DB8467F" w14:textId="77777777" w:rsidR="00D23E5F" w:rsidRDefault="00D23E5F"/>
        </w:tc>
        <w:tc>
          <w:tcPr>
            <w:tcW w:w="3869" w:type="dxa"/>
            <w:tcBorders>
              <w:top w:val="single" w:sz="4" w:space="0" w:color="auto"/>
              <w:left w:val="single" w:sz="4" w:space="0" w:color="auto"/>
            </w:tcBorders>
            <w:shd w:val="clear" w:color="auto" w:fill="FFFFFF"/>
          </w:tcPr>
          <w:p w14:paraId="6DB84680" w14:textId="77777777" w:rsidR="00D23E5F" w:rsidRDefault="00C80F81">
            <w:pPr>
              <w:pStyle w:val="Style12"/>
              <w:shd w:val="clear" w:color="auto" w:fill="auto"/>
              <w:spacing w:after="0" w:line="300" w:lineRule="auto"/>
            </w:pPr>
            <w:r>
              <w:t>Řadič diskového subsystému</w:t>
            </w:r>
          </w:p>
          <w:p w14:paraId="6DB84681" w14:textId="77777777" w:rsidR="00D23E5F" w:rsidRDefault="00C80F81">
            <w:pPr>
              <w:pStyle w:val="Style12"/>
              <w:numPr>
                <w:ilvl w:val="0"/>
                <w:numId w:val="11"/>
              </w:numPr>
              <w:shd w:val="clear" w:color="auto" w:fill="auto"/>
              <w:tabs>
                <w:tab w:val="left" w:pos="755"/>
              </w:tabs>
              <w:spacing w:after="0" w:line="300" w:lineRule="auto"/>
              <w:ind w:firstLine="400"/>
            </w:pPr>
            <w:r>
              <w:t>podpora RAID 0/1/5/5/50/60</w:t>
            </w:r>
          </w:p>
          <w:p w14:paraId="6DB84682" w14:textId="77777777" w:rsidR="00D23E5F" w:rsidRDefault="00C80F81">
            <w:pPr>
              <w:pStyle w:val="Style12"/>
              <w:numPr>
                <w:ilvl w:val="0"/>
                <w:numId w:val="11"/>
              </w:numPr>
              <w:shd w:val="clear" w:color="auto" w:fill="auto"/>
              <w:tabs>
                <w:tab w:val="left" w:pos="750"/>
              </w:tabs>
              <w:spacing w:after="0" w:line="300" w:lineRule="auto"/>
              <w:ind w:firstLine="400"/>
            </w:pPr>
            <w:proofErr w:type="spellStart"/>
            <w:r>
              <w:t>min.PCIe</w:t>
            </w:r>
            <w:proofErr w:type="spellEnd"/>
            <w:r>
              <w:t xml:space="preserve"> Gen4</w:t>
            </w:r>
          </w:p>
          <w:p w14:paraId="6DB84683" w14:textId="77777777" w:rsidR="00D23E5F" w:rsidRDefault="00C80F81">
            <w:pPr>
              <w:pStyle w:val="Style12"/>
              <w:numPr>
                <w:ilvl w:val="0"/>
                <w:numId w:val="11"/>
              </w:numPr>
              <w:shd w:val="clear" w:color="auto" w:fill="auto"/>
              <w:tabs>
                <w:tab w:val="left" w:pos="770"/>
              </w:tabs>
              <w:spacing w:after="0" w:line="300" w:lineRule="auto"/>
              <w:ind w:left="760" w:hanging="340"/>
            </w:pPr>
            <w:r>
              <w:t xml:space="preserve">Propustnost 16Gbps </w:t>
            </w:r>
            <w:proofErr w:type="spellStart"/>
            <w:r>
              <w:t>NVMe</w:t>
            </w:r>
            <w:proofErr w:type="spellEnd"/>
            <w:r>
              <w:t>, 12Gbps SAS, 6Gbps ŠATA</w:t>
            </w:r>
          </w:p>
          <w:p w14:paraId="6DB84684" w14:textId="77777777" w:rsidR="00D23E5F" w:rsidRDefault="00C80F81">
            <w:pPr>
              <w:pStyle w:val="Style12"/>
              <w:numPr>
                <w:ilvl w:val="0"/>
                <w:numId w:val="11"/>
              </w:numPr>
              <w:shd w:val="clear" w:color="auto" w:fill="auto"/>
              <w:tabs>
                <w:tab w:val="left" w:pos="770"/>
              </w:tabs>
              <w:spacing w:after="0" w:line="300" w:lineRule="auto"/>
              <w:ind w:left="760" w:hanging="340"/>
            </w:pPr>
            <w:r>
              <w:rPr>
                <w:lang w:val="en-US" w:eastAsia="en-US" w:bidi="en-US"/>
              </w:rPr>
              <w:t xml:space="preserve">Cache </w:t>
            </w:r>
            <w:r>
              <w:t xml:space="preserve">4 GB zálohovaná baterií nebo </w:t>
            </w:r>
            <w:proofErr w:type="spellStart"/>
            <w:r>
              <w:t>kapacitorem</w:t>
            </w:r>
            <w:proofErr w:type="spellEnd"/>
          </w:p>
        </w:tc>
        <w:tc>
          <w:tcPr>
            <w:tcW w:w="2717" w:type="dxa"/>
            <w:tcBorders>
              <w:top w:val="single" w:sz="4" w:space="0" w:color="auto"/>
              <w:left w:val="single" w:sz="4" w:space="0" w:color="auto"/>
              <w:right w:val="single" w:sz="4" w:space="0" w:color="auto"/>
            </w:tcBorders>
            <w:shd w:val="clear" w:color="auto" w:fill="FFFFFF"/>
            <w:vAlign w:val="bottom"/>
          </w:tcPr>
          <w:p w14:paraId="6DB84685" w14:textId="77777777" w:rsidR="00D23E5F" w:rsidRDefault="00C80F81">
            <w:pPr>
              <w:pStyle w:val="Style12"/>
              <w:shd w:val="clear" w:color="auto" w:fill="auto"/>
              <w:spacing w:after="0" w:line="298" w:lineRule="auto"/>
            </w:pPr>
            <w:r>
              <w:t>Řadič diskového subsystému</w:t>
            </w:r>
          </w:p>
          <w:p w14:paraId="6DB84686" w14:textId="77777777" w:rsidR="00D23E5F" w:rsidRDefault="00C80F81">
            <w:pPr>
              <w:pStyle w:val="Style12"/>
              <w:numPr>
                <w:ilvl w:val="0"/>
                <w:numId w:val="12"/>
              </w:numPr>
              <w:shd w:val="clear" w:color="auto" w:fill="auto"/>
              <w:tabs>
                <w:tab w:val="left" w:pos="750"/>
              </w:tabs>
              <w:spacing w:after="0" w:line="298" w:lineRule="auto"/>
              <w:ind w:left="760" w:hanging="360"/>
            </w:pPr>
            <w:r>
              <w:t>podpora RAID 0/1/5/6/50/60</w:t>
            </w:r>
          </w:p>
          <w:p w14:paraId="6DB84687" w14:textId="77777777" w:rsidR="00D23E5F" w:rsidRDefault="00C80F81">
            <w:pPr>
              <w:pStyle w:val="Style12"/>
              <w:numPr>
                <w:ilvl w:val="0"/>
                <w:numId w:val="12"/>
              </w:numPr>
              <w:shd w:val="clear" w:color="auto" w:fill="auto"/>
              <w:tabs>
                <w:tab w:val="left" w:pos="755"/>
              </w:tabs>
              <w:spacing w:after="0" w:line="298" w:lineRule="auto"/>
              <w:ind w:firstLine="400"/>
            </w:pPr>
            <w:proofErr w:type="spellStart"/>
            <w:r>
              <w:t>min.PCIe</w:t>
            </w:r>
            <w:proofErr w:type="spellEnd"/>
            <w:r>
              <w:t xml:space="preserve"> Gen4</w:t>
            </w:r>
          </w:p>
          <w:p w14:paraId="6DB84688" w14:textId="77777777" w:rsidR="00D23E5F" w:rsidRDefault="00C80F81">
            <w:pPr>
              <w:pStyle w:val="Style12"/>
              <w:numPr>
                <w:ilvl w:val="0"/>
                <w:numId w:val="12"/>
              </w:numPr>
              <w:shd w:val="clear" w:color="auto" w:fill="auto"/>
              <w:tabs>
                <w:tab w:val="left" w:pos="755"/>
              </w:tabs>
              <w:spacing w:after="0" w:line="298" w:lineRule="auto"/>
              <w:ind w:left="760" w:hanging="360"/>
            </w:pPr>
            <w:r>
              <w:t xml:space="preserve">Propustnost 16Gbps </w:t>
            </w:r>
            <w:proofErr w:type="spellStart"/>
            <w:r>
              <w:t>NVMe</w:t>
            </w:r>
            <w:proofErr w:type="spellEnd"/>
            <w:r>
              <w:t>, 12Gbps SAS, 6Gbps ŠATA</w:t>
            </w:r>
          </w:p>
          <w:p w14:paraId="6DB84689" w14:textId="77777777" w:rsidR="00D23E5F" w:rsidRDefault="00C80F81">
            <w:pPr>
              <w:pStyle w:val="Style12"/>
              <w:shd w:val="clear" w:color="auto" w:fill="auto"/>
              <w:spacing w:after="0" w:line="298" w:lineRule="auto"/>
            </w:pPr>
            <w:r>
              <w:rPr>
                <w:lang w:val="en-US" w:eastAsia="en-US" w:bidi="en-US"/>
              </w:rPr>
              <w:t xml:space="preserve">Cache </w:t>
            </w:r>
            <w:r>
              <w:t xml:space="preserve">8 GB zálohovaná baterií nebo </w:t>
            </w:r>
            <w:proofErr w:type="spellStart"/>
            <w:r>
              <w:t>kapacitorem</w:t>
            </w:r>
            <w:proofErr w:type="spellEnd"/>
          </w:p>
        </w:tc>
      </w:tr>
      <w:tr w:rsidR="00D23E5F" w14:paraId="6DB8468E" w14:textId="77777777">
        <w:tblPrEx>
          <w:tblCellMar>
            <w:top w:w="0" w:type="dxa"/>
            <w:bottom w:w="0" w:type="dxa"/>
          </w:tblCellMar>
        </w:tblPrEx>
        <w:trPr>
          <w:trHeight w:hRule="exact" w:val="427"/>
          <w:jc w:val="center"/>
        </w:trPr>
        <w:tc>
          <w:tcPr>
            <w:tcW w:w="2184" w:type="dxa"/>
            <w:vMerge/>
            <w:tcBorders>
              <w:left w:val="single" w:sz="4" w:space="0" w:color="auto"/>
            </w:tcBorders>
            <w:shd w:val="clear" w:color="auto" w:fill="FFFFFF"/>
          </w:tcPr>
          <w:p w14:paraId="6DB8468B" w14:textId="77777777" w:rsidR="00D23E5F" w:rsidRDefault="00D23E5F"/>
        </w:tc>
        <w:tc>
          <w:tcPr>
            <w:tcW w:w="3869" w:type="dxa"/>
            <w:tcBorders>
              <w:top w:val="single" w:sz="4" w:space="0" w:color="auto"/>
              <w:left w:val="single" w:sz="4" w:space="0" w:color="auto"/>
            </w:tcBorders>
            <w:shd w:val="clear" w:color="auto" w:fill="FFFFFF"/>
            <w:vAlign w:val="bottom"/>
          </w:tcPr>
          <w:p w14:paraId="6DB8468C" w14:textId="77777777" w:rsidR="00D23E5F" w:rsidRDefault="00C80F81">
            <w:pPr>
              <w:pStyle w:val="Style12"/>
              <w:shd w:val="clear" w:color="auto" w:fill="auto"/>
              <w:spacing w:after="0" w:line="295" w:lineRule="auto"/>
            </w:pPr>
            <w:r>
              <w:t xml:space="preserve">Osazeno 14 x 18 TB LFF 12GB SAS Business </w:t>
            </w:r>
            <w:r>
              <w:rPr>
                <w:lang w:val="en-US" w:eastAsia="en-US" w:bidi="en-US"/>
              </w:rPr>
              <w:t xml:space="preserve">Critical </w:t>
            </w:r>
            <w:r>
              <w:t>HDD</w:t>
            </w:r>
          </w:p>
        </w:tc>
        <w:tc>
          <w:tcPr>
            <w:tcW w:w="2717" w:type="dxa"/>
            <w:tcBorders>
              <w:top w:val="single" w:sz="4" w:space="0" w:color="auto"/>
              <w:left w:val="single" w:sz="4" w:space="0" w:color="auto"/>
              <w:right w:val="single" w:sz="4" w:space="0" w:color="auto"/>
            </w:tcBorders>
            <w:shd w:val="clear" w:color="auto" w:fill="FFFFFF"/>
            <w:vAlign w:val="bottom"/>
          </w:tcPr>
          <w:p w14:paraId="6DB8468D" w14:textId="77777777" w:rsidR="00D23E5F" w:rsidRDefault="00C80F81">
            <w:pPr>
              <w:pStyle w:val="Style12"/>
              <w:shd w:val="clear" w:color="auto" w:fill="auto"/>
              <w:spacing w:after="0" w:line="288" w:lineRule="auto"/>
            </w:pPr>
            <w:r>
              <w:t xml:space="preserve">osazeno 14 x 18 TB LFF 12GB SAS Business </w:t>
            </w:r>
            <w:r>
              <w:rPr>
                <w:lang w:val="en-US" w:eastAsia="en-US" w:bidi="en-US"/>
              </w:rPr>
              <w:t xml:space="preserve">Critical </w:t>
            </w:r>
            <w:r>
              <w:t>HDD</w:t>
            </w:r>
          </w:p>
        </w:tc>
      </w:tr>
      <w:tr w:rsidR="00D23E5F" w14:paraId="6DB84692" w14:textId="77777777">
        <w:tblPrEx>
          <w:tblCellMar>
            <w:top w:w="0" w:type="dxa"/>
            <w:bottom w:w="0" w:type="dxa"/>
          </w:tblCellMar>
        </w:tblPrEx>
        <w:trPr>
          <w:trHeight w:hRule="exact" w:val="648"/>
          <w:jc w:val="center"/>
        </w:trPr>
        <w:tc>
          <w:tcPr>
            <w:tcW w:w="2184" w:type="dxa"/>
            <w:tcBorders>
              <w:left w:val="single" w:sz="4" w:space="0" w:color="auto"/>
            </w:tcBorders>
            <w:shd w:val="clear" w:color="auto" w:fill="FFFFFF"/>
          </w:tcPr>
          <w:p w14:paraId="6DB8468F" w14:textId="77777777" w:rsidR="00D23E5F" w:rsidRDefault="00D23E5F">
            <w:pPr>
              <w:rPr>
                <w:sz w:val="10"/>
                <w:szCs w:val="10"/>
              </w:rPr>
            </w:pPr>
          </w:p>
        </w:tc>
        <w:tc>
          <w:tcPr>
            <w:tcW w:w="3869" w:type="dxa"/>
            <w:tcBorders>
              <w:top w:val="single" w:sz="4" w:space="0" w:color="auto"/>
              <w:left w:val="single" w:sz="4" w:space="0" w:color="auto"/>
            </w:tcBorders>
            <w:shd w:val="clear" w:color="auto" w:fill="FFFFFF"/>
          </w:tcPr>
          <w:p w14:paraId="6DB84690" w14:textId="77777777" w:rsidR="00D23E5F" w:rsidRDefault="00C80F81">
            <w:pPr>
              <w:pStyle w:val="Style12"/>
              <w:shd w:val="clear" w:color="auto" w:fill="auto"/>
              <w:spacing w:after="0" w:line="295" w:lineRule="auto"/>
            </w:pPr>
            <w:r>
              <w:t xml:space="preserve">Osazeno 2 x 480 GB </w:t>
            </w:r>
            <w:proofErr w:type="spellStart"/>
            <w:r>
              <w:t>NVMe</w:t>
            </w:r>
            <w:proofErr w:type="spellEnd"/>
            <w:r>
              <w:t xml:space="preserve"> SSD </w:t>
            </w:r>
            <w:proofErr w:type="spellStart"/>
            <w:r>
              <w:t>Hotplug</w:t>
            </w:r>
            <w:proofErr w:type="spellEnd"/>
            <w:r>
              <w:t xml:space="preserve"> pro instalaci operačního systému</w:t>
            </w:r>
          </w:p>
        </w:tc>
        <w:tc>
          <w:tcPr>
            <w:tcW w:w="2717" w:type="dxa"/>
            <w:tcBorders>
              <w:top w:val="single" w:sz="4" w:space="0" w:color="auto"/>
              <w:left w:val="single" w:sz="4" w:space="0" w:color="auto"/>
              <w:right w:val="single" w:sz="4" w:space="0" w:color="auto"/>
            </w:tcBorders>
            <w:shd w:val="clear" w:color="auto" w:fill="FFFFFF"/>
            <w:vAlign w:val="bottom"/>
          </w:tcPr>
          <w:p w14:paraId="6DB84691" w14:textId="77777777" w:rsidR="00D23E5F" w:rsidRDefault="00C80F81">
            <w:pPr>
              <w:pStyle w:val="Style12"/>
              <w:shd w:val="clear" w:color="auto" w:fill="auto"/>
              <w:spacing w:after="0" w:line="298" w:lineRule="auto"/>
            </w:pPr>
            <w:r>
              <w:t xml:space="preserve">osazeno 2 x 480 GB </w:t>
            </w:r>
            <w:proofErr w:type="spellStart"/>
            <w:r>
              <w:t>NVMe</w:t>
            </w:r>
            <w:proofErr w:type="spellEnd"/>
            <w:r>
              <w:t xml:space="preserve"> SSD </w:t>
            </w:r>
            <w:proofErr w:type="spellStart"/>
            <w:r>
              <w:t>Hotplug</w:t>
            </w:r>
            <w:proofErr w:type="spellEnd"/>
            <w:r>
              <w:t xml:space="preserve"> pro instalaci operačního systému</w:t>
            </w:r>
          </w:p>
        </w:tc>
      </w:tr>
      <w:tr w:rsidR="00D23E5F" w14:paraId="6DB84697" w14:textId="77777777">
        <w:tblPrEx>
          <w:tblCellMar>
            <w:top w:w="0" w:type="dxa"/>
            <w:bottom w:w="0" w:type="dxa"/>
          </w:tblCellMar>
        </w:tblPrEx>
        <w:trPr>
          <w:trHeight w:hRule="exact" w:val="1507"/>
          <w:jc w:val="center"/>
        </w:trPr>
        <w:tc>
          <w:tcPr>
            <w:tcW w:w="2184" w:type="dxa"/>
            <w:tcBorders>
              <w:top w:val="single" w:sz="4" w:space="0" w:color="auto"/>
              <w:left w:val="single" w:sz="4" w:space="0" w:color="auto"/>
              <w:bottom w:val="single" w:sz="4" w:space="0" w:color="auto"/>
            </w:tcBorders>
            <w:shd w:val="clear" w:color="auto" w:fill="FFFFFF"/>
          </w:tcPr>
          <w:p w14:paraId="6DB84693" w14:textId="77777777" w:rsidR="00D23E5F" w:rsidRDefault="00C80F81">
            <w:pPr>
              <w:pStyle w:val="Style12"/>
              <w:shd w:val="clear" w:color="auto" w:fill="auto"/>
              <w:spacing w:after="0" w:line="240" w:lineRule="auto"/>
            </w:pPr>
            <w:r>
              <w:t>LAN</w:t>
            </w:r>
          </w:p>
        </w:tc>
        <w:tc>
          <w:tcPr>
            <w:tcW w:w="3869" w:type="dxa"/>
            <w:tcBorders>
              <w:top w:val="single" w:sz="4" w:space="0" w:color="auto"/>
              <w:left w:val="single" w:sz="4" w:space="0" w:color="auto"/>
              <w:bottom w:val="single" w:sz="4" w:space="0" w:color="auto"/>
            </w:tcBorders>
            <w:shd w:val="clear" w:color="auto" w:fill="FFFFFF"/>
            <w:vAlign w:val="bottom"/>
          </w:tcPr>
          <w:p w14:paraId="6DB84694" w14:textId="77777777" w:rsidR="00D23E5F" w:rsidRDefault="00C80F81">
            <w:pPr>
              <w:pStyle w:val="Style12"/>
              <w:shd w:val="clear" w:color="auto" w:fill="auto"/>
              <w:spacing w:after="0" w:line="295" w:lineRule="auto"/>
            </w:pPr>
            <w:r>
              <w:t>Min. 2x 25/</w:t>
            </w:r>
            <w:proofErr w:type="spellStart"/>
            <w:r>
              <w:t>lOGbit</w:t>
            </w:r>
            <w:proofErr w:type="spellEnd"/>
            <w:r>
              <w:t xml:space="preserve"> SFP28 porty s podporou VXLAN, NVGRE, </w:t>
            </w:r>
            <w:r>
              <w:rPr>
                <w:lang w:val="en-US" w:eastAsia="en-US" w:bidi="en-US"/>
              </w:rPr>
              <w:t xml:space="preserve">GENEVE, </w:t>
            </w:r>
            <w:proofErr w:type="spellStart"/>
            <w:r>
              <w:t>RoCEvl</w:t>
            </w:r>
            <w:proofErr w:type="spellEnd"/>
            <w:r>
              <w:t>, RoCEv2, SR-</w:t>
            </w:r>
            <w:proofErr w:type="spellStart"/>
            <w:r>
              <w:t>lOV</w:t>
            </w:r>
            <w:proofErr w:type="spellEnd"/>
            <w:r>
              <w:t xml:space="preserve"> Osazeny GBIC 10 </w:t>
            </w:r>
            <w:proofErr w:type="spellStart"/>
            <w:r>
              <w:t>Gbic</w:t>
            </w:r>
            <w:proofErr w:type="spellEnd"/>
            <w:r>
              <w:t xml:space="preserve"> SR </w:t>
            </w:r>
            <w:proofErr w:type="spellStart"/>
            <w:r>
              <w:t>transcievery</w:t>
            </w:r>
            <w:proofErr w:type="spellEnd"/>
            <w:r>
              <w:t xml:space="preserve"> Dedikovaný metalický (RJ-45) IGE port pro vzdálenou správu HW standardu minimálně IPMI 2.0 s KVM </w:t>
            </w:r>
            <w:r>
              <w:rPr>
                <w:lang w:val="en-US" w:eastAsia="en-US" w:bidi="en-US"/>
              </w:rPr>
              <w:t xml:space="preserve">over </w:t>
            </w:r>
            <w:r>
              <w:t xml:space="preserve">LAN. Součástí dodávky musí být </w:t>
            </w:r>
            <w:r>
              <w:rPr>
                <w:lang w:val="en-US" w:eastAsia="en-US" w:bidi="en-US"/>
              </w:rPr>
              <w:t xml:space="preserve">patch </w:t>
            </w:r>
            <w:r>
              <w:t xml:space="preserve">kabel (min </w:t>
            </w:r>
            <w:r>
              <w:rPr>
                <w:lang w:val="en-US" w:eastAsia="en-US" w:bidi="en-US"/>
              </w:rPr>
              <w:t xml:space="preserve">cat </w:t>
            </w:r>
            <w:r>
              <w:t>5e) v délce do 5m (požadavek</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bottom"/>
          </w:tcPr>
          <w:p w14:paraId="6DB84695" w14:textId="77777777" w:rsidR="00D23E5F" w:rsidRDefault="00C80F81">
            <w:pPr>
              <w:pStyle w:val="Style12"/>
              <w:shd w:val="clear" w:color="auto" w:fill="auto"/>
              <w:spacing w:after="0" w:line="293" w:lineRule="auto"/>
            </w:pPr>
            <w:r>
              <w:t>2x 25/</w:t>
            </w:r>
            <w:proofErr w:type="spellStart"/>
            <w:r>
              <w:t>lOGbit</w:t>
            </w:r>
            <w:proofErr w:type="spellEnd"/>
            <w:r>
              <w:t xml:space="preserve"> SFP28 porty s podporou VXLAN, NVGRE, </w:t>
            </w:r>
            <w:r>
              <w:rPr>
                <w:lang w:val="en-US" w:eastAsia="en-US" w:bidi="en-US"/>
              </w:rPr>
              <w:t xml:space="preserve">GENEVE, </w:t>
            </w:r>
            <w:proofErr w:type="spellStart"/>
            <w:r>
              <w:t>RoCEvl</w:t>
            </w:r>
            <w:proofErr w:type="spellEnd"/>
            <w:r>
              <w:t>, RoCEv2, SR-</w:t>
            </w:r>
            <w:proofErr w:type="spellStart"/>
            <w:r>
              <w:t>lOV</w:t>
            </w:r>
            <w:proofErr w:type="spellEnd"/>
            <w:r>
              <w:t xml:space="preserve">; osazeny GBIC 10 </w:t>
            </w:r>
            <w:proofErr w:type="spellStart"/>
            <w:r>
              <w:t>Gbic</w:t>
            </w:r>
            <w:proofErr w:type="spellEnd"/>
            <w:r>
              <w:t xml:space="preserve"> SR transceivery;</w:t>
            </w:r>
          </w:p>
          <w:p w14:paraId="6DB84696" w14:textId="77777777" w:rsidR="00D23E5F" w:rsidRDefault="00C80F81">
            <w:pPr>
              <w:pStyle w:val="Style12"/>
              <w:shd w:val="clear" w:color="auto" w:fill="auto"/>
              <w:spacing w:after="0" w:line="293" w:lineRule="auto"/>
            </w:pPr>
            <w:r>
              <w:t>dedikovaný metalický (RJ-45) IGE port pro vzdálenou správu HW</w:t>
            </w:r>
          </w:p>
        </w:tc>
      </w:tr>
    </w:tbl>
    <w:p w14:paraId="6DB84698" w14:textId="77777777" w:rsidR="00D23E5F" w:rsidRDefault="00C80F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3869"/>
        <w:gridCol w:w="2726"/>
      </w:tblGrid>
      <w:tr w:rsidR="00D23E5F" w14:paraId="6DB8469C" w14:textId="77777777">
        <w:tblPrEx>
          <w:tblCellMar>
            <w:top w:w="0" w:type="dxa"/>
            <w:bottom w:w="0" w:type="dxa"/>
          </w:tblCellMar>
        </w:tblPrEx>
        <w:trPr>
          <w:trHeight w:hRule="exact" w:val="442"/>
          <w:jc w:val="center"/>
        </w:trPr>
        <w:tc>
          <w:tcPr>
            <w:tcW w:w="2198" w:type="dxa"/>
            <w:tcBorders>
              <w:top w:val="single" w:sz="4" w:space="0" w:color="auto"/>
              <w:left w:val="single" w:sz="4" w:space="0" w:color="auto"/>
            </w:tcBorders>
            <w:shd w:val="clear" w:color="auto" w:fill="FFFFFF"/>
            <w:vAlign w:val="bottom"/>
          </w:tcPr>
          <w:p w14:paraId="6DB84699" w14:textId="77777777" w:rsidR="00D23E5F" w:rsidRDefault="00C80F81">
            <w:pPr>
              <w:pStyle w:val="Style12"/>
              <w:shd w:val="clear" w:color="auto" w:fill="auto"/>
              <w:spacing w:after="0" w:line="300" w:lineRule="auto"/>
              <w:ind w:left="200" w:firstLine="20"/>
            </w:pPr>
            <w:r>
              <w:rPr>
                <w:b/>
                <w:bCs/>
              </w:rPr>
              <w:lastRenderedPageBreak/>
              <w:t xml:space="preserve">Požadovaná </w:t>
            </w:r>
            <w:r>
              <w:rPr>
                <w:b/>
                <w:bCs/>
              </w:rPr>
              <w:t>funkcionalita/vlastnost</w:t>
            </w:r>
          </w:p>
        </w:tc>
        <w:tc>
          <w:tcPr>
            <w:tcW w:w="3869" w:type="dxa"/>
            <w:tcBorders>
              <w:top w:val="single" w:sz="4" w:space="0" w:color="auto"/>
              <w:left w:val="single" w:sz="4" w:space="0" w:color="auto"/>
            </w:tcBorders>
            <w:shd w:val="clear" w:color="auto" w:fill="FFFFFF"/>
            <w:vAlign w:val="bottom"/>
          </w:tcPr>
          <w:p w14:paraId="6DB8469A" w14:textId="77777777" w:rsidR="00D23E5F" w:rsidRDefault="00C80F81">
            <w:pPr>
              <w:pStyle w:val="Style12"/>
              <w:shd w:val="clear" w:color="auto" w:fill="auto"/>
              <w:spacing w:after="0" w:line="300" w:lineRule="auto"/>
              <w:jc w:val="both"/>
            </w:pPr>
            <w:r>
              <w:rPr>
                <w:b/>
                <w:bCs/>
              </w:rPr>
              <w:t>Způsob splnění požadované funkcionality/vlastnosti</w:t>
            </w:r>
          </w:p>
        </w:tc>
        <w:tc>
          <w:tcPr>
            <w:tcW w:w="2726" w:type="dxa"/>
            <w:tcBorders>
              <w:top w:val="single" w:sz="4" w:space="0" w:color="auto"/>
              <w:left w:val="single" w:sz="4" w:space="0" w:color="auto"/>
              <w:right w:val="single" w:sz="4" w:space="0" w:color="auto"/>
            </w:tcBorders>
            <w:shd w:val="clear" w:color="auto" w:fill="FFFFFF"/>
            <w:vAlign w:val="bottom"/>
          </w:tcPr>
          <w:p w14:paraId="6DB8469B" w14:textId="77777777" w:rsidR="00D23E5F" w:rsidRDefault="00C80F81">
            <w:pPr>
              <w:pStyle w:val="Style12"/>
              <w:shd w:val="clear" w:color="auto" w:fill="auto"/>
              <w:spacing w:after="0" w:line="307" w:lineRule="auto"/>
            </w:pPr>
            <w:r>
              <w:rPr>
                <w:b/>
                <w:bCs/>
              </w:rPr>
              <w:t>Doplní Uchazeč dle nabízeného zařízení</w:t>
            </w:r>
          </w:p>
        </w:tc>
      </w:tr>
      <w:tr w:rsidR="00D23E5F" w14:paraId="6DB846A1" w14:textId="77777777">
        <w:tblPrEx>
          <w:tblCellMar>
            <w:top w:w="0" w:type="dxa"/>
            <w:bottom w:w="0" w:type="dxa"/>
          </w:tblCellMar>
        </w:tblPrEx>
        <w:trPr>
          <w:trHeight w:hRule="exact" w:val="1498"/>
          <w:jc w:val="center"/>
        </w:trPr>
        <w:tc>
          <w:tcPr>
            <w:tcW w:w="2198" w:type="dxa"/>
            <w:tcBorders>
              <w:top w:val="single" w:sz="4" w:space="0" w:color="auto"/>
              <w:left w:val="single" w:sz="4" w:space="0" w:color="auto"/>
            </w:tcBorders>
            <w:shd w:val="clear" w:color="auto" w:fill="FFFFFF"/>
          </w:tcPr>
          <w:p w14:paraId="6DB8469D" w14:textId="77777777" w:rsidR="00D23E5F" w:rsidRDefault="00D23E5F">
            <w:pPr>
              <w:rPr>
                <w:sz w:val="10"/>
                <w:szCs w:val="10"/>
              </w:rPr>
            </w:pPr>
          </w:p>
        </w:tc>
        <w:tc>
          <w:tcPr>
            <w:tcW w:w="3869" w:type="dxa"/>
            <w:tcBorders>
              <w:top w:val="single" w:sz="4" w:space="0" w:color="auto"/>
              <w:left w:val="single" w:sz="4" w:space="0" w:color="auto"/>
            </w:tcBorders>
            <w:shd w:val="clear" w:color="auto" w:fill="FFFFFF"/>
          </w:tcPr>
          <w:p w14:paraId="6DB8469E" w14:textId="77777777" w:rsidR="00D23E5F" w:rsidRDefault="00C80F81">
            <w:pPr>
              <w:pStyle w:val="Style12"/>
              <w:shd w:val="clear" w:color="auto" w:fill="auto"/>
              <w:spacing w:after="0" w:line="295" w:lineRule="auto"/>
              <w:jc w:val="both"/>
            </w:pPr>
            <w:r>
              <w:t>na přesnou délku a barvu kabelu uvede Zadavatel při objednávce serveru.</w:t>
            </w:r>
          </w:p>
        </w:tc>
        <w:tc>
          <w:tcPr>
            <w:tcW w:w="2726" w:type="dxa"/>
            <w:tcBorders>
              <w:top w:val="single" w:sz="4" w:space="0" w:color="auto"/>
              <w:left w:val="single" w:sz="4" w:space="0" w:color="auto"/>
              <w:right w:val="single" w:sz="4" w:space="0" w:color="auto"/>
            </w:tcBorders>
            <w:shd w:val="clear" w:color="auto" w:fill="FFFFFF"/>
            <w:vAlign w:val="bottom"/>
          </w:tcPr>
          <w:p w14:paraId="6DB8469F" w14:textId="77777777" w:rsidR="00D23E5F" w:rsidRDefault="00C80F81">
            <w:pPr>
              <w:pStyle w:val="Style12"/>
              <w:shd w:val="clear" w:color="auto" w:fill="auto"/>
              <w:spacing w:after="0" w:line="295" w:lineRule="auto"/>
            </w:pPr>
            <w:r>
              <w:t xml:space="preserve">standardu minimálně IPMI 2.0 s KVM </w:t>
            </w:r>
            <w:r>
              <w:rPr>
                <w:lang w:val="en-US" w:eastAsia="en-US" w:bidi="en-US"/>
              </w:rPr>
              <w:t xml:space="preserve">over </w:t>
            </w:r>
            <w:r>
              <w:t>LAN.</w:t>
            </w:r>
          </w:p>
          <w:p w14:paraId="6DB846A0" w14:textId="77777777" w:rsidR="00D23E5F" w:rsidRDefault="00C80F81">
            <w:pPr>
              <w:pStyle w:val="Style12"/>
              <w:shd w:val="clear" w:color="auto" w:fill="auto"/>
              <w:spacing w:after="0" w:line="295" w:lineRule="auto"/>
            </w:pPr>
            <w:r>
              <w:t xml:space="preserve">Součástí dodávky bude </w:t>
            </w:r>
            <w:r>
              <w:rPr>
                <w:lang w:val="en-US" w:eastAsia="en-US" w:bidi="en-US"/>
              </w:rPr>
              <w:t xml:space="preserve">patch </w:t>
            </w:r>
            <w:r>
              <w:t xml:space="preserve">kabel (min </w:t>
            </w:r>
            <w:r>
              <w:rPr>
                <w:lang w:val="en-US" w:eastAsia="en-US" w:bidi="en-US"/>
              </w:rPr>
              <w:t xml:space="preserve">cat </w:t>
            </w:r>
            <w:r>
              <w:t>Se) v délce do 5m (požadavek na přesnou délku a barvu kabelu uvede Zadavatel při objednávce serveru</w:t>
            </w:r>
          </w:p>
        </w:tc>
      </w:tr>
      <w:tr w:rsidR="00D23E5F" w14:paraId="6DB846A9" w14:textId="77777777">
        <w:tblPrEx>
          <w:tblCellMar>
            <w:top w:w="0" w:type="dxa"/>
            <w:bottom w:w="0" w:type="dxa"/>
          </w:tblCellMar>
        </w:tblPrEx>
        <w:trPr>
          <w:trHeight w:hRule="exact" w:val="1282"/>
          <w:jc w:val="center"/>
        </w:trPr>
        <w:tc>
          <w:tcPr>
            <w:tcW w:w="2198" w:type="dxa"/>
            <w:tcBorders>
              <w:top w:val="single" w:sz="4" w:space="0" w:color="auto"/>
              <w:left w:val="single" w:sz="4" w:space="0" w:color="auto"/>
            </w:tcBorders>
            <w:shd w:val="clear" w:color="auto" w:fill="FFFFFF"/>
          </w:tcPr>
          <w:p w14:paraId="6DB846A2" w14:textId="77777777" w:rsidR="00D23E5F" w:rsidRDefault="00C80F81">
            <w:pPr>
              <w:pStyle w:val="Style12"/>
              <w:shd w:val="clear" w:color="auto" w:fill="auto"/>
              <w:spacing w:after="0" w:line="240" w:lineRule="auto"/>
              <w:ind w:firstLine="200"/>
            </w:pPr>
            <w:r>
              <w:rPr>
                <w:lang w:val="en-US" w:eastAsia="en-US" w:bidi="en-US"/>
              </w:rPr>
              <w:t>SAN</w:t>
            </w:r>
          </w:p>
        </w:tc>
        <w:tc>
          <w:tcPr>
            <w:tcW w:w="3869" w:type="dxa"/>
            <w:tcBorders>
              <w:top w:val="single" w:sz="4" w:space="0" w:color="auto"/>
              <w:left w:val="single" w:sz="4" w:space="0" w:color="auto"/>
            </w:tcBorders>
            <w:shd w:val="clear" w:color="auto" w:fill="FFFFFF"/>
          </w:tcPr>
          <w:p w14:paraId="6DB846A3" w14:textId="77777777" w:rsidR="00D23E5F" w:rsidRDefault="00C80F81">
            <w:pPr>
              <w:pStyle w:val="Style12"/>
              <w:shd w:val="clear" w:color="auto" w:fill="auto"/>
              <w:spacing w:after="0" w:line="295" w:lineRule="auto"/>
              <w:jc w:val="both"/>
            </w:pPr>
            <w:r>
              <w:t>Min. 2x326bFCHBA</w:t>
            </w:r>
          </w:p>
          <w:p w14:paraId="6DB846A4" w14:textId="77777777" w:rsidR="00D23E5F" w:rsidRDefault="00C80F81">
            <w:pPr>
              <w:pStyle w:val="Style12"/>
              <w:shd w:val="clear" w:color="auto" w:fill="auto"/>
              <w:spacing w:after="0" w:line="295" w:lineRule="auto"/>
              <w:jc w:val="both"/>
            </w:pPr>
            <w:r>
              <w:t xml:space="preserve">Osazeny GBIC 32Gb SR </w:t>
            </w:r>
            <w:proofErr w:type="spellStart"/>
            <w:r>
              <w:t>Transcievery</w:t>
            </w:r>
            <w:proofErr w:type="spellEnd"/>
          </w:p>
          <w:p w14:paraId="6DB846A5" w14:textId="77777777" w:rsidR="00D23E5F" w:rsidRDefault="00C80F81">
            <w:pPr>
              <w:pStyle w:val="Style12"/>
              <w:shd w:val="clear" w:color="auto" w:fill="auto"/>
              <w:spacing w:after="0" w:line="295" w:lineRule="auto"/>
              <w:jc w:val="both"/>
            </w:pPr>
            <w:r>
              <w:t>Podpora FC-</w:t>
            </w:r>
            <w:proofErr w:type="spellStart"/>
            <w:r>
              <w:t>NVMe</w:t>
            </w:r>
            <w:proofErr w:type="spellEnd"/>
            <w:r>
              <w:t xml:space="preserve"> pro </w:t>
            </w:r>
            <w:proofErr w:type="spellStart"/>
            <w:r>
              <w:t>Win</w:t>
            </w:r>
            <w:proofErr w:type="spellEnd"/>
            <w:r>
              <w:t xml:space="preserve"> 2016/2019 s nativním </w:t>
            </w:r>
            <w:r>
              <w:rPr>
                <w:lang w:val="en-US" w:eastAsia="en-US" w:bidi="en-US"/>
              </w:rPr>
              <w:t xml:space="preserve">Multipath </w:t>
            </w:r>
            <w:r>
              <w:t xml:space="preserve">a </w:t>
            </w:r>
            <w:r>
              <w:rPr>
                <w:lang w:val="en-US" w:eastAsia="en-US" w:bidi="en-US"/>
              </w:rPr>
              <w:t>Boot from SAN</w:t>
            </w:r>
          </w:p>
        </w:tc>
        <w:tc>
          <w:tcPr>
            <w:tcW w:w="2726" w:type="dxa"/>
            <w:tcBorders>
              <w:top w:val="single" w:sz="4" w:space="0" w:color="auto"/>
              <w:left w:val="single" w:sz="4" w:space="0" w:color="auto"/>
              <w:right w:val="single" w:sz="4" w:space="0" w:color="auto"/>
            </w:tcBorders>
            <w:shd w:val="clear" w:color="auto" w:fill="FFFFFF"/>
            <w:vAlign w:val="bottom"/>
          </w:tcPr>
          <w:p w14:paraId="6DB846A6" w14:textId="77777777" w:rsidR="00D23E5F" w:rsidRDefault="00C80F81">
            <w:pPr>
              <w:pStyle w:val="Style12"/>
              <w:shd w:val="clear" w:color="auto" w:fill="auto"/>
              <w:spacing w:after="0" w:line="298" w:lineRule="auto"/>
            </w:pPr>
            <w:r>
              <w:t>2x32GbFCHBA</w:t>
            </w:r>
          </w:p>
          <w:p w14:paraId="6DB846A7" w14:textId="77777777" w:rsidR="00D23E5F" w:rsidRDefault="00C80F81">
            <w:pPr>
              <w:pStyle w:val="Style12"/>
              <w:shd w:val="clear" w:color="auto" w:fill="auto"/>
              <w:spacing w:after="0" w:line="298" w:lineRule="auto"/>
            </w:pPr>
            <w:r>
              <w:t xml:space="preserve">Osazeny GBIC 32Gb SR </w:t>
            </w:r>
            <w:proofErr w:type="spellStart"/>
            <w:r>
              <w:t>Transcievery</w:t>
            </w:r>
            <w:proofErr w:type="spellEnd"/>
          </w:p>
          <w:p w14:paraId="6DB846A8" w14:textId="77777777" w:rsidR="00D23E5F" w:rsidRDefault="00C80F81">
            <w:pPr>
              <w:pStyle w:val="Style12"/>
              <w:shd w:val="clear" w:color="auto" w:fill="auto"/>
              <w:spacing w:after="0" w:line="298" w:lineRule="auto"/>
            </w:pPr>
            <w:r>
              <w:t>Podpora FC-</w:t>
            </w:r>
            <w:proofErr w:type="spellStart"/>
            <w:r>
              <w:t>NVMe</w:t>
            </w:r>
            <w:proofErr w:type="spellEnd"/>
            <w:r>
              <w:t xml:space="preserve"> pro </w:t>
            </w:r>
            <w:proofErr w:type="spellStart"/>
            <w:r>
              <w:t>Win</w:t>
            </w:r>
            <w:proofErr w:type="spellEnd"/>
            <w:r>
              <w:t xml:space="preserve"> 2016/2019 s nativním </w:t>
            </w:r>
            <w:r>
              <w:rPr>
                <w:lang w:val="en-US" w:eastAsia="en-US" w:bidi="en-US"/>
              </w:rPr>
              <w:t xml:space="preserve">Multipath </w:t>
            </w:r>
            <w:r>
              <w:t xml:space="preserve">a </w:t>
            </w:r>
            <w:r>
              <w:rPr>
                <w:lang w:val="en-US" w:eastAsia="en-US" w:bidi="en-US"/>
              </w:rPr>
              <w:t>Boot from SAN</w:t>
            </w:r>
          </w:p>
        </w:tc>
      </w:tr>
      <w:tr w:rsidR="00D23E5F" w14:paraId="6DB846B1" w14:textId="77777777">
        <w:tblPrEx>
          <w:tblCellMar>
            <w:top w:w="0" w:type="dxa"/>
            <w:bottom w:w="0" w:type="dxa"/>
          </w:tblCellMar>
        </w:tblPrEx>
        <w:trPr>
          <w:trHeight w:hRule="exact" w:val="3379"/>
          <w:jc w:val="center"/>
        </w:trPr>
        <w:tc>
          <w:tcPr>
            <w:tcW w:w="2198" w:type="dxa"/>
            <w:tcBorders>
              <w:top w:val="single" w:sz="4" w:space="0" w:color="auto"/>
              <w:left w:val="single" w:sz="4" w:space="0" w:color="auto"/>
            </w:tcBorders>
            <w:shd w:val="clear" w:color="auto" w:fill="FFFFFF"/>
          </w:tcPr>
          <w:p w14:paraId="6DB846AA" w14:textId="77777777" w:rsidR="00D23E5F" w:rsidRDefault="00C80F81">
            <w:pPr>
              <w:pStyle w:val="Style12"/>
              <w:shd w:val="clear" w:color="auto" w:fill="auto"/>
              <w:spacing w:after="0" w:line="240" w:lineRule="auto"/>
              <w:ind w:firstLine="200"/>
            </w:pPr>
            <w:r>
              <w:t>Napájení a chlazení</w:t>
            </w:r>
          </w:p>
        </w:tc>
        <w:tc>
          <w:tcPr>
            <w:tcW w:w="3869" w:type="dxa"/>
            <w:tcBorders>
              <w:top w:val="single" w:sz="4" w:space="0" w:color="auto"/>
              <w:left w:val="single" w:sz="4" w:space="0" w:color="auto"/>
            </w:tcBorders>
            <w:shd w:val="clear" w:color="auto" w:fill="FFFFFF"/>
          </w:tcPr>
          <w:p w14:paraId="6DB846AB" w14:textId="77777777" w:rsidR="00D23E5F" w:rsidRDefault="00C80F81">
            <w:pPr>
              <w:pStyle w:val="Style12"/>
              <w:shd w:val="clear" w:color="auto" w:fill="auto"/>
              <w:spacing w:after="180" w:line="338" w:lineRule="auto"/>
              <w:jc w:val="both"/>
            </w:pPr>
            <w:r>
              <w:t xml:space="preserve">Redundantní napájení min. 1500W ve specifikaci SOPLUS </w:t>
            </w:r>
            <w:r>
              <w:rPr>
                <w:lang w:val="en-US" w:eastAsia="en-US" w:bidi="en-US"/>
              </w:rPr>
              <w:t xml:space="preserve">Platinum </w:t>
            </w:r>
            <w:r>
              <w:t xml:space="preserve">s napájecími kabely typu </w:t>
            </w:r>
            <w:r>
              <w:rPr>
                <w:i/>
                <w:iCs/>
              </w:rPr>
              <w:t xml:space="preserve">PDU s </w:t>
            </w:r>
            <w:r>
              <w:t>konektory C13-C14 v délkách minimálně 2m</w:t>
            </w:r>
          </w:p>
          <w:p w14:paraId="6DB846AC" w14:textId="77777777" w:rsidR="00D23E5F" w:rsidRDefault="00C80F81">
            <w:pPr>
              <w:pStyle w:val="Style12"/>
              <w:shd w:val="clear" w:color="auto" w:fill="auto"/>
              <w:spacing w:after="180" w:line="338" w:lineRule="auto"/>
              <w:jc w:val="both"/>
            </w:pPr>
            <w:r>
              <w:t xml:space="preserve">Uchazeč musí nabídnout takový zdroj napájení, aby jeho výkon odpovídal optimálnímu provozu plně osazeného serveru (tj. 2x CPU, osazené všechny pozice RAM, osazené všechny diskové pozice, všechny osazené </w:t>
            </w:r>
            <w:proofErr w:type="spellStart"/>
            <w:r>
              <w:t>PCIe</w:t>
            </w:r>
            <w:proofErr w:type="spellEnd"/>
            <w:r>
              <w:t xml:space="preserve"> sloty)</w:t>
            </w:r>
          </w:p>
          <w:p w14:paraId="6DB846AD" w14:textId="77777777" w:rsidR="00D23E5F" w:rsidRDefault="00C80F81">
            <w:pPr>
              <w:pStyle w:val="Style12"/>
              <w:shd w:val="clear" w:color="auto" w:fill="auto"/>
              <w:spacing w:after="180" w:line="338" w:lineRule="auto"/>
            </w:pPr>
            <w:r>
              <w:t>Redundantní ventilátory</w:t>
            </w:r>
          </w:p>
        </w:tc>
        <w:tc>
          <w:tcPr>
            <w:tcW w:w="2726" w:type="dxa"/>
            <w:tcBorders>
              <w:top w:val="single" w:sz="4" w:space="0" w:color="auto"/>
              <w:left w:val="single" w:sz="4" w:space="0" w:color="auto"/>
              <w:right w:val="single" w:sz="4" w:space="0" w:color="auto"/>
            </w:tcBorders>
            <w:shd w:val="clear" w:color="auto" w:fill="FFFFFF"/>
            <w:vAlign w:val="bottom"/>
          </w:tcPr>
          <w:p w14:paraId="6DB846AE" w14:textId="77777777" w:rsidR="00D23E5F" w:rsidRDefault="00C80F81">
            <w:pPr>
              <w:pStyle w:val="Style12"/>
              <w:shd w:val="clear" w:color="auto" w:fill="auto"/>
              <w:spacing w:after="200" w:line="293" w:lineRule="auto"/>
            </w:pPr>
            <w:r>
              <w:t xml:space="preserve">Redundantní napájení 1600 W ve specifikaci 80PLUS </w:t>
            </w:r>
            <w:r>
              <w:rPr>
                <w:lang w:val="en-US" w:eastAsia="en-US" w:bidi="en-US"/>
              </w:rPr>
              <w:t xml:space="preserve">Platinum </w:t>
            </w:r>
            <w:r>
              <w:t>s napájecími kabely typu PDU s konektory C13-C14 v délkách minimálně 2 m</w:t>
            </w:r>
          </w:p>
          <w:p w14:paraId="6DB846AF" w14:textId="77777777" w:rsidR="00D23E5F" w:rsidRDefault="00C80F81">
            <w:pPr>
              <w:pStyle w:val="Style12"/>
              <w:shd w:val="clear" w:color="auto" w:fill="auto"/>
              <w:spacing w:after="200" w:line="341" w:lineRule="auto"/>
            </w:pPr>
            <w:r>
              <w:t xml:space="preserve">Uchazeč nabízí takový zdroj napájení, aby jeho výkon odpovídal optimálnímu provozu plně osazeného serveru (tj. 2x CPU, osazené všechny pozice RAM, osazené všechny diskové pozice, všechny osazené </w:t>
            </w:r>
            <w:proofErr w:type="spellStart"/>
            <w:r>
              <w:rPr>
                <w:i/>
                <w:iCs/>
              </w:rPr>
              <w:t>PCIe</w:t>
            </w:r>
            <w:proofErr w:type="spellEnd"/>
            <w:r>
              <w:t xml:space="preserve"> sloty)</w:t>
            </w:r>
          </w:p>
          <w:p w14:paraId="6DB846B0" w14:textId="77777777" w:rsidR="00D23E5F" w:rsidRDefault="00C80F81">
            <w:pPr>
              <w:pStyle w:val="Style12"/>
              <w:shd w:val="clear" w:color="auto" w:fill="auto"/>
              <w:spacing w:after="200" w:line="341" w:lineRule="auto"/>
            </w:pPr>
            <w:r>
              <w:t>Redundantní ventilátory</w:t>
            </w:r>
          </w:p>
        </w:tc>
      </w:tr>
      <w:tr w:rsidR="00D23E5F" w14:paraId="6DB846BF" w14:textId="77777777">
        <w:tblPrEx>
          <w:tblCellMar>
            <w:top w:w="0" w:type="dxa"/>
            <w:bottom w:w="0" w:type="dxa"/>
          </w:tblCellMar>
        </w:tblPrEx>
        <w:trPr>
          <w:trHeight w:hRule="exact" w:val="6830"/>
          <w:jc w:val="center"/>
        </w:trPr>
        <w:tc>
          <w:tcPr>
            <w:tcW w:w="2198" w:type="dxa"/>
            <w:tcBorders>
              <w:top w:val="single" w:sz="4" w:space="0" w:color="auto"/>
              <w:left w:val="single" w:sz="4" w:space="0" w:color="auto"/>
              <w:bottom w:val="single" w:sz="4" w:space="0" w:color="auto"/>
            </w:tcBorders>
            <w:shd w:val="clear" w:color="auto" w:fill="FFFFFF"/>
          </w:tcPr>
          <w:p w14:paraId="6DB846B2" w14:textId="77777777" w:rsidR="00D23E5F" w:rsidRDefault="00C80F81">
            <w:pPr>
              <w:pStyle w:val="Style12"/>
              <w:shd w:val="clear" w:color="auto" w:fill="auto"/>
              <w:spacing w:after="0" w:line="240" w:lineRule="auto"/>
              <w:ind w:firstLine="180"/>
            </w:pPr>
            <w:r>
              <w:t>Management</w:t>
            </w:r>
          </w:p>
        </w:tc>
        <w:tc>
          <w:tcPr>
            <w:tcW w:w="3869" w:type="dxa"/>
            <w:tcBorders>
              <w:top w:val="single" w:sz="4" w:space="0" w:color="auto"/>
              <w:left w:val="single" w:sz="4" w:space="0" w:color="auto"/>
              <w:bottom w:val="single" w:sz="4" w:space="0" w:color="auto"/>
            </w:tcBorders>
            <w:shd w:val="clear" w:color="auto" w:fill="FFFFFF"/>
          </w:tcPr>
          <w:p w14:paraId="6DB846B3" w14:textId="77777777" w:rsidR="00D23E5F" w:rsidRDefault="00C80F81">
            <w:pPr>
              <w:pStyle w:val="Style12"/>
              <w:shd w:val="clear" w:color="auto" w:fill="auto"/>
              <w:spacing w:after="180" w:line="338" w:lineRule="auto"/>
              <w:jc w:val="both"/>
            </w:pPr>
            <w:r>
              <w:t>Server musí být vybaven nezávislým HW managementem. Vyžadována je schopnost monitorovat a spravovat server out-</w:t>
            </w:r>
            <w:proofErr w:type="spellStart"/>
            <w:r>
              <w:t>of</w:t>
            </w:r>
            <w:proofErr w:type="spellEnd"/>
            <w:r>
              <w:t>-band bez nutnosti instalace agenta do operačního systému. Součástí musí být licence s možností spravovat server out-</w:t>
            </w:r>
            <w:proofErr w:type="spellStart"/>
            <w:r>
              <w:t>of</w:t>
            </w:r>
            <w:proofErr w:type="spellEnd"/>
            <w:r>
              <w:t xml:space="preserve">-band včetně přístupu na vestavěné GUI s podporou HTML 5. HW management musí umět poskytovat diagnostiku serveru a ovladače pro OS bez speciální dedikované </w:t>
            </w:r>
            <w:r>
              <w:rPr>
                <w:lang w:val="en-US" w:eastAsia="en-US" w:bidi="en-US"/>
              </w:rPr>
              <w:t xml:space="preserve">partition </w:t>
            </w:r>
            <w:r>
              <w:t xml:space="preserve">na interních discích serveru a nezávisle na těchto discích (i </w:t>
            </w:r>
            <w:proofErr w:type="spellStart"/>
            <w:r>
              <w:t>bezdiskový</w:t>
            </w:r>
            <w:proofErr w:type="spellEnd"/>
            <w:r>
              <w:t xml:space="preserve"> server poskytuje diagnostiku serveru)</w:t>
            </w:r>
          </w:p>
          <w:p w14:paraId="6DB846B4" w14:textId="77777777" w:rsidR="00D23E5F" w:rsidRDefault="00C80F81">
            <w:pPr>
              <w:pStyle w:val="Style12"/>
              <w:shd w:val="clear" w:color="auto" w:fill="auto"/>
              <w:spacing w:after="0" w:line="295" w:lineRule="auto"/>
              <w:jc w:val="both"/>
            </w:pPr>
            <w:r>
              <w:t>Management nástroj pro správu musí mít min. tyto vlastnosti:</w:t>
            </w:r>
          </w:p>
          <w:p w14:paraId="6DB846B5" w14:textId="77777777" w:rsidR="00D23E5F" w:rsidRDefault="00C80F81">
            <w:pPr>
              <w:pStyle w:val="Style12"/>
              <w:numPr>
                <w:ilvl w:val="0"/>
                <w:numId w:val="13"/>
              </w:numPr>
              <w:shd w:val="clear" w:color="auto" w:fill="auto"/>
              <w:tabs>
                <w:tab w:val="left" w:pos="350"/>
              </w:tabs>
              <w:spacing w:after="0" w:line="295" w:lineRule="auto"/>
              <w:ind w:left="380" w:hanging="380"/>
            </w:pPr>
            <w:r>
              <w:t>možnost správy více serverů z jedné konzole (</w:t>
            </w:r>
            <w:proofErr w:type="spellStart"/>
            <w:r>
              <w:t>one</w:t>
            </w:r>
            <w:proofErr w:type="spellEnd"/>
            <w:r>
              <w:t>-to-many) bez nutnosti instalace dalších softwarových nástrojů</w:t>
            </w:r>
          </w:p>
          <w:p w14:paraId="6DB846B6" w14:textId="77777777" w:rsidR="00D23E5F" w:rsidRDefault="00C80F81">
            <w:pPr>
              <w:pStyle w:val="Style12"/>
              <w:numPr>
                <w:ilvl w:val="0"/>
                <w:numId w:val="13"/>
              </w:numPr>
              <w:shd w:val="clear" w:color="auto" w:fill="auto"/>
              <w:tabs>
                <w:tab w:val="left" w:pos="346"/>
              </w:tabs>
              <w:spacing w:after="0" w:line="295" w:lineRule="auto"/>
              <w:ind w:left="380" w:hanging="380"/>
            </w:pPr>
            <w:r>
              <w:t>automatický update z FTP/ SFTP/HTTP/HTTPS serveru výrobce hardware</w:t>
            </w:r>
          </w:p>
          <w:p w14:paraId="6DB846B7" w14:textId="77777777" w:rsidR="00D23E5F" w:rsidRDefault="00C80F81">
            <w:pPr>
              <w:pStyle w:val="Style12"/>
              <w:numPr>
                <w:ilvl w:val="0"/>
                <w:numId w:val="13"/>
              </w:numPr>
              <w:shd w:val="clear" w:color="auto" w:fill="auto"/>
              <w:tabs>
                <w:tab w:val="left" w:pos="350"/>
              </w:tabs>
              <w:spacing w:after="0" w:line="295" w:lineRule="auto"/>
              <w:ind w:left="380" w:hanging="380"/>
            </w:pPr>
            <w:r>
              <w:t xml:space="preserve">bezpečné resetování všech komponent serveru a uvedení do počáteční konfigurace, včetně vymazání dat na discích </w:t>
            </w:r>
            <w:r>
              <w:rPr>
                <w:lang w:val="en-US" w:eastAsia="en-US" w:bidi="en-US"/>
              </w:rPr>
              <w:t>{secure erase)</w:t>
            </w:r>
          </w:p>
          <w:p w14:paraId="6DB846B8" w14:textId="77777777" w:rsidR="00D23E5F" w:rsidRDefault="00C80F81">
            <w:pPr>
              <w:pStyle w:val="Style12"/>
              <w:numPr>
                <w:ilvl w:val="0"/>
                <w:numId w:val="13"/>
              </w:numPr>
              <w:shd w:val="clear" w:color="auto" w:fill="auto"/>
              <w:tabs>
                <w:tab w:val="left" w:pos="346"/>
              </w:tabs>
              <w:spacing w:after="0" w:line="295" w:lineRule="auto"/>
              <w:ind w:left="380" w:hanging="380"/>
            </w:pPr>
            <w:r>
              <w:t xml:space="preserve">ověřování uživatelů na základě integrace s </w:t>
            </w:r>
            <w:r>
              <w:rPr>
                <w:lang w:val="en-US" w:eastAsia="en-US" w:bidi="en-US"/>
              </w:rPr>
              <w:t>Active Directory</w:t>
            </w:r>
          </w:p>
          <w:p w14:paraId="6DB846B9" w14:textId="77777777" w:rsidR="00D23E5F" w:rsidRDefault="00C80F81">
            <w:pPr>
              <w:pStyle w:val="Style12"/>
              <w:shd w:val="clear" w:color="auto" w:fill="auto"/>
              <w:spacing w:after="0" w:line="336" w:lineRule="auto"/>
              <w:jc w:val="both"/>
            </w:pPr>
            <w:r>
              <w:t xml:space="preserve">Management musí poskytovat ve svém GUI telemetrii serveru (stav a vytížení CPU, RAM, disků, napájení, GPU, </w:t>
            </w:r>
            <w:r>
              <w:rPr>
                <w:lang w:val="en-US" w:eastAsia="en-US" w:bidi="en-US"/>
              </w:rPr>
              <w:t xml:space="preserve">serial </w:t>
            </w:r>
            <w:r>
              <w:t xml:space="preserve">data log, optická síťová rozhraní, termální parametry, atd.) s možností </w:t>
            </w:r>
            <w:proofErr w:type="spellStart"/>
            <w:r>
              <w:t>streamingu</w:t>
            </w:r>
            <w:proofErr w:type="spellEnd"/>
            <w:r>
              <w:t xml:space="preserve"> pomocí </w:t>
            </w:r>
            <w:proofErr w:type="spellStart"/>
            <w:r>
              <w:t>Syslog</w:t>
            </w:r>
            <w:proofErr w:type="spellEnd"/>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6DB846BA" w14:textId="77777777" w:rsidR="00D23E5F" w:rsidRDefault="00C80F81">
            <w:pPr>
              <w:pStyle w:val="Style12"/>
              <w:shd w:val="clear" w:color="auto" w:fill="auto"/>
              <w:spacing w:after="180" w:line="338" w:lineRule="auto"/>
            </w:pPr>
            <w:r>
              <w:t>Server je vybaven nezávislým HW managementem. Vyžadována je schopnost monitorovat a spravovat server out-</w:t>
            </w:r>
            <w:proofErr w:type="spellStart"/>
            <w:r>
              <w:t>of</w:t>
            </w:r>
            <w:proofErr w:type="spellEnd"/>
            <w:r>
              <w:t xml:space="preserve">-band bez nutnosti instalace agenta do operačního systému. Součástí musí být licence s možností spravovat server </w:t>
            </w:r>
            <w:proofErr w:type="spellStart"/>
            <w:r>
              <w:rPr>
                <w:lang w:val="en-US" w:eastAsia="en-US" w:bidi="en-US"/>
              </w:rPr>
              <w:t>out-of</w:t>
            </w:r>
            <w:r>
              <w:rPr>
                <w:lang w:val="en-US" w:eastAsia="en-US" w:bidi="en-US"/>
              </w:rPr>
              <w:softHyphen/>
              <w:t>band</w:t>
            </w:r>
            <w:proofErr w:type="spellEnd"/>
            <w:r>
              <w:t xml:space="preserve"> včetně přístupu na vestavěné GUI s podporou HTML 5. HW management musí umět poskytovat diagnostiku serveru a ovladače pro OS bez speciální dedikované </w:t>
            </w:r>
            <w:r>
              <w:rPr>
                <w:lang w:val="en-US" w:eastAsia="en-US" w:bidi="en-US"/>
              </w:rPr>
              <w:t xml:space="preserve">partition </w:t>
            </w:r>
            <w:r>
              <w:t xml:space="preserve">na interních discích serveru a nezávisle na těchto discích (i </w:t>
            </w:r>
            <w:proofErr w:type="spellStart"/>
            <w:r>
              <w:t>bezdiskový</w:t>
            </w:r>
            <w:proofErr w:type="spellEnd"/>
            <w:r>
              <w:t xml:space="preserve"> server poskytuje diagnostiku serveru)</w:t>
            </w:r>
          </w:p>
          <w:p w14:paraId="6DB846BB" w14:textId="77777777" w:rsidR="00D23E5F" w:rsidRDefault="00C80F81">
            <w:pPr>
              <w:pStyle w:val="Style12"/>
              <w:shd w:val="clear" w:color="auto" w:fill="auto"/>
              <w:spacing w:after="0" w:line="295" w:lineRule="auto"/>
            </w:pPr>
            <w:r>
              <w:t>Management nástroj pro správu má min. tyto vlastnosti:</w:t>
            </w:r>
          </w:p>
          <w:p w14:paraId="6DB846BC" w14:textId="77777777" w:rsidR="00D23E5F" w:rsidRDefault="00C80F81">
            <w:pPr>
              <w:pStyle w:val="Style12"/>
              <w:numPr>
                <w:ilvl w:val="0"/>
                <w:numId w:val="14"/>
              </w:numPr>
              <w:shd w:val="clear" w:color="auto" w:fill="auto"/>
              <w:tabs>
                <w:tab w:val="left" w:pos="346"/>
              </w:tabs>
              <w:spacing w:after="0" w:line="295" w:lineRule="auto"/>
              <w:ind w:left="380" w:hanging="380"/>
            </w:pPr>
            <w:r>
              <w:t xml:space="preserve">možnost správy více serverů z jedné konzole </w:t>
            </w:r>
            <w:r>
              <w:t>(</w:t>
            </w:r>
            <w:proofErr w:type="spellStart"/>
            <w:r>
              <w:t>one</w:t>
            </w:r>
            <w:proofErr w:type="spellEnd"/>
            <w:r>
              <w:t>-to-many) bez nutnosti instalace dalších softwarových nástrojů</w:t>
            </w:r>
          </w:p>
          <w:p w14:paraId="6DB846BD" w14:textId="77777777" w:rsidR="00D23E5F" w:rsidRDefault="00C80F81">
            <w:pPr>
              <w:pStyle w:val="Style12"/>
              <w:numPr>
                <w:ilvl w:val="0"/>
                <w:numId w:val="14"/>
              </w:numPr>
              <w:shd w:val="clear" w:color="auto" w:fill="auto"/>
              <w:tabs>
                <w:tab w:val="left" w:pos="346"/>
              </w:tabs>
              <w:spacing w:after="0" w:line="295" w:lineRule="auto"/>
              <w:ind w:left="380" w:hanging="380"/>
            </w:pPr>
            <w:r>
              <w:t>automatický update z FTP/ SFTP/HTTP/HTTPS serveru výrobce hardware</w:t>
            </w:r>
          </w:p>
          <w:p w14:paraId="6DB846BE" w14:textId="77777777" w:rsidR="00D23E5F" w:rsidRDefault="00C80F81">
            <w:pPr>
              <w:pStyle w:val="Style12"/>
              <w:numPr>
                <w:ilvl w:val="0"/>
                <w:numId w:val="14"/>
              </w:numPr>
              <w:shd w:val="clear" w:color="auto" w:fill="auto"/>
              <w:tabs>
                <w:tab w:val="left" w:pos="346"/>
              </w:tabs>
              <w:spacing w:after="80" w:line="295" w:lineRule="auto"/>
              <w:ind w:left="380" w:hanging="380"/>
            </w:pPr>
            <w:r>
              <w:t>bezpečné resetování všech komponent serveru a uvedení do počáteční konfigurace.</w:t>
            </w:r>
          </w:p>
        </w:tc>
      </w:tr>
    </w:tbl>
    <w:p w14:paraId="6DB846C0" w14:textId="77777777" w:rsidR="00D23E5F" w:rsidRDefault="00C80F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79"/>
        <w:gridCol w:w="3864"/>
        <w:gridCol w:w="2712"/>
      </w:tblGrid>
      <w:tr w:rsidR="00D23E5F" w14:paraId="6DB846C4" w14:textId="77777777">
        <w:tblPrEx>
          <w:tblCellMar>
            <w:top w:w="0" w:type="dxa"/>
            <w:bottom w:w="0" w:type="dxa"/>
          </w:tblCellMar>
        </w:tblPrEx>
        <w:trPr>
          <w:trHeight w:hRule="exact" w:val="442"/>
          <w:jc w:val="center"/>
        </w:trPr>
        <w:tc>
          <w:tcPr>
            <w:tcW w:w="2179" w:type="dxa"/>
            <w:tcBorders>
              <w:top w:val="single" w:sz="4" w:space="0" w:color="auto"/>
              <w:left w:val="single" w:sz="4" w:space="0" w:color="auto"/>
            </w:tcBorders>
            <w:shd w:val="clear" w:color="auto" w:fill="FFFFFF"/>
            <w:vAlign w:val="bottom"/>
          </w:tcPr>
          <w:p w14:paraId="6DB846C1" w14:textId="77777777" w:rsidR="00D23E5F" w:rsidRDefault="00C80F81">
            <w:pPr>
              <w:pStyle w:val="Style12"/>
              <w:shd w:val="clear" w:color="auto" w:fill="auto"/>
              <w:spacing w:after="0" w:line="295" w:lineRule="auto"/>
              <w:ind w:left="200"/>
            </w:pPr>
            <w:r>
              <w:rPr>
                <w:b/>
                <w:bCs/>
              </w:rPr>
              <w:lastRenderedPageBreak/>
              <w:t xml:space="preserve">Požadovaná </w:t>
            </w:r>
            <w:r>
              <w:rPr>
                <w:b/>
                <w:bCs/>
              </w:rPr>
              <w:t>funkcionalita/vlastnost</w:t>
            </w:r>
          </w:p>
        </w:tc>
        <w:tc>
          <w:tcPr>
            <w:tcW w:w="3864" w:type="dxa"/>
            <w:tcBorders>
              <w:top w:val="single" w:sz="4" w:space="0" w:color="auto"/>
              <w:left w:val="single" w:sz="4" w:space="0" w:color="auto"/>
            </w:tcBorders>
            <w:shd w:val="clear" w:color="auto" w:fill="FFFFFF"/>
            <w:vAlign w:val="bottom"/>
          </w:tcPr>
          <w:p w14:paraId="6DB846C2" w14:textId="77777777" w:rsidR="00D23E5F" w:rsidRDefault="00C80F81">
            <w:pPr>
              <w:pStyle w:val="Style12"/>
              <w:shd w:val="clear" w:color="auto" w:fill="auto"/>
              <w:spacing w:after="0" w:line="300" w:lineRule="auto"/>
            </w:pPr>
            <w:r>
              <w:rPr>
                <w:b/>
                <w:bCs/>
              </w:rPr>
              <w:t>Způsob splnění požadované funkcionality/vlastnosti</w:t>
            </w:r>
          </w:p>
        </w:tc>
        <w:tc>
          <w:tcPr>
            <w:tcW w:w="2712" w:type="dxa"/>
            <w:tcBorders>
              <w:top w:val="single" w:sz="4" w:space="0" w:color="auto"/>
              <w:left w:val="single" w:sz="4" w:space="0" w:color="auto"/>
              <w:right w:val="single" w:sz="4" w:space="0" w:color="auto"/>
            </w:tcBorders>
            <w:shd w:val="clear" w:color="auto" w:fill="FFFFFF"/>
            <w:vAlign w:val="bottom"/>
          </w:tcPr>
          <w:p w14:paraId="6DB846C3" w14:textId="77777777" w:rsidR="00D23E5F" w:rsidRDefault="00C80F81">
            <w:pPr>
              <w:pStyle w:val="Style12"/>
              <w:shd w:val="clear" w:color="auto" w:fill="auto"/>
              <w:spacing w:after="0" w:line="300" w:lineRule="auto"/>
            </w:pPr>
            <w:r>
              <w:rPr>
                <w:b/>
                <w:bCs/>
              </w:rPr>
              <w:t>Doplní Uchazeč dle nabízeného zařízení</w:t>
            </w:r>
          </w:p>
        </w:tc>
      </w:tr>
      <w:tr w:rsidR="00D23E5F" w14:paraId="6DB846CD" w14:textId="77777777">
        <w:tblPrEx>
          <w:tblCellMar>
            <w:top w:w="0" w:type="dxa"/>
            <w:bottom w:w="0" w:type="dxa"/>
          </w:tblCellMar>
        </w:tblPrEx>
        <w:trPr>
          <w:trHeight w:hRule="exact" w:val="4277"/>
          <w:jc w:val="center"/>
        </w:trPr>
        <w:tc>
          <w:tcPr>
            <w:tcW w:w="2179" w:type="dxa"/>
            <w:tcBorders>
              <w:top w:val="single" w:sz="4" w:space="0" w:color="auto"/>
              <w:left w:val="single" w:sz="4" w:space="0" w:color="auto"/>
            </w:tcBorders>
            <w:shd w:val="clear" w:color="auto" w:fill="FFFFFF"/>
          </w:tcPr>
          <w:p w14:paraId="6DB846C5" w14:textId="77777777" w:rsidR="00D23E5F" w:rsidRDefault="00D23E5F">
            <w:pPr>
              <w:rPr>
                <w:sz w:val="10"/>
                <w:szCs w:val="10"/>
              </w:rPr>
            </w:pPr>
          </w:p>
        </w:tc>
        <w:tc>
          <w:tcPr>
            <w:tcW w:w="3864" w:type="dxa"/>
            <w:tcBorders>
              <w:top w:val="single" w:sz="4" w:space="0" w:color="auto"/>
              <w:left w:val="single" w:sz="4" w:space="0" w:color="auto"/>
            </w:tcBorders>
            <w:shd w:val="clear" w:color="auto" w:fill="FFFFFF"/>
          </w:tcPr>
          <w:p w14:paraId="6DB846C6" w14:textId="77777777" w:rsidR="00D23E5F" w:rsidRDefault="00C80F81">
            <w:pPr>
              <w:pStyle w:val="Style12"/>
              <w:shd w:val="clear" w:color="auto" w:fill="auto"/>
              <w:spacing w:after="180" w:line="341" w:lineRule="auto"/>
            </w:pPr>
            <w:r>
              <w:rPr>
                <w:b/>
                <w:bCs/>
              </w:rPr>
              <w:t>Součástí serveru musí být licence na výše popsaný management nástroj.</w:t>
            </w:r>
          </w:p>
          <w:p w14:paraId="6DB846C7" w14:textId="77777777" w:rsidR="00D23E5F" w:rsidRDefault="00C80F81">
            <w:pPr>
              <w:pStyle w:val="Style12"/>
              <w:shd w:val="clear" w:color="auto" w:fill="auto"/>
              <w:spacing w:after="0" w:line="348" w:lineRule="auto"/>
            </w:pPr>
            <w:r>
              <w:rPr>
                <w:b/>
                <w:bCs/>
              </w:rPr>
              <w:t xml:space="preserve">Server musí být plně kompatibilní a </w:t>
            </w:r>
            <w:proofErr w:type="spellStart"/>
            <w:r>
              <w:rPr>
                <w:b/>
                <w:bCs/>
              </w:rPr>
              <w:t>integrovatelný</w:t>
            </w:r>
            <w:proofErr w:type="spellEnd"/>
            <w:r>
              <w:rPr>
                <w:b/>
                <w:bCs/>
              </w:rPr>
              <w:t xml:space="preserve"> do </w:t>
            </w:r>
            <w:r>
              <w:rPr>
                <w:b/>
                <w:bCs/>
              </w:rPr>
              <w:t xml:space="preserve">stávajícího management nástroje HPE </w:t>
            </w:r>
            <w:proofErr w:type="spellStart"/>
            <w:r>
              <w:rPr>
                <w:b/>
                <w:bCs/>
              </w:rPr>
              <w:t>OneView</w:t>
            </w:r>
            <w:proofErr w:type="spellEnd"/>
            <w:r>
              <w:rPr>
                <w:b/>
                <w:bCs/>
              </w:rPr>
              <w:t>.</w:t>
            </w:r>
          </w:p>
        </w:tc>
        <w:tc>
          <w:tcPr>
            <w:tcW w:w="2712" w:type="dxa"/>
            <w:tcBorders>
              <w:top w:val="single" w:sz="4" w:space="0" w:color="auto"/>
              <w:left w:val="single" w:sz="4" w:space="0" w:color="auto"/>
              <w:right w:val="single" w:sz="4" w:space="0" w:color="auto"/>
            </w:tcBorders>
            <w:shd w:val="clear" w:color="auto" w:fill="FFFFFF"/>
            <w:vAlign w:val="bottom"/>
          </w:tcPr>
          <w:p w14:paraId="6DB846C8" w14:textId="77777777" w:rsidR="00D23E5F" w:rsidRDefault="00C80F81">
            <w:pPr>
              <w:pStyle w:val="Style12"/>
              <w:shd w:val="clear" w:color="auto" w:fill="auto"/>
              <w:spacing w:after="0" w:line="295" w:lineRule="auto"/>
              <w:ind w:left="460"/>
            </w:pPr>
            <w:r>
              <w:t xml:space="preserve">včetně vymazání dat na discích </w:t>
            </w:r>
            <w:r>
              <w:rPr>
                <w:lang w:val="en-US" w:eastAsia="en-US" w:bidi="en-US"/>
              </w:rPr>
              <w:t>(secure erase)</w:t>
            </w:r>
          </w:p>
          <w:p w14:paraId="6DB846C9" w14:textId="77777777" w:rsidR="00D23E5F" w:rsidRDefault="00C80F81">
            <w:pPr>
              <w:pStyle w:val="Style12"/>
              <w:shd w:val="clear" w:color="auto" w:fill="auto"/>
              <w:spacing w:after="0" w:line="295" w:lineRule="auto"/>
              <w:ind w:left="460" w:hanging="460"/>
            </w:pPr>
            <w:r>
              <w:t xml:space="preserve">- ověřování uživatelů na základě integrace s </w:t>
            </w:r>
            <w:r>
              <w:rPr>
                <w:lang w:val="en-US" w:eastAsia="en-US" w:bidi="en-US"/>
              </w:rPr>
              <w:t>Active Directory</w:t>
            </w:r>
          </w:p>
          <w:p w14:paraId="6DB846CA" w14:textId="77777777" w:rsidR="00D23E5F" w:rsidRDefault="00C80F81">
            <w:pPr>
              <w:pStyle w:val="Style12"/>
              <w:shd w:val="clear" w:color="auto" w:fill="auto"/>
              <w:spacing w:after="180" w:line="341" w:lineRule="auto"/>
              <w:jc w:val="both"/>
            </w:pPr>
            <w:r>
              <w:t xml:space="preserve">Management musí poskytovat ve svém GUI telemetrii serveru (stav a vytížení CPU, RAM, disků, napájení, GPU, </w:t>
            </w:r>
            <w:r>
              <w:rPr>
                <w:lang w:val="en-US" w:eastAsia="en-US" w:bidi="en-US"/>
              </w:rPr>
              <w:t xml:space="preserve">serial </w:t>
            </w:r>
            <w:r>
              <w:t xml:space="preserve">data log, optická síťová rozhraní, termální parametry, atd.) s možností </w:t>
            </w:r>
            <w:proofErr w:type="spellStart"/>
            <w:r>
              <w:t>streamingu</w:t>
            </w:r>
            <w:proofErr w:type="spellEnd"/>
            <w:r>
              <w:t xml:space="preserve"> pomocí </w:t>
            </w:r>
            <w:proofErr w:type="spellStart"/>
            <w:r>
              <w:t>Syslog</w:t>
            </w:r>
            <w:proofErr w:type="spellEnd"/>
          </w:p>
          <w:p w14:paraId="6DB846CB" w14:textId="77777777" w:rsidR="00D23E5F" w:rsidRDefault="00C80F81">
            <w:pPr>
              <w:pStyle w:val="Style12"/>
              <w:shd w:val="clear" w:color="auto" w:fill="auto"/>
              <w:spacing w:after="180" w:line="341" w:lineRule="auto"/>
              <w:jc w:val="both"/>
            </w:pPr>
            <w:r>
              <w:rPr>
                <w:b/>
                <w:bCs/>
              </w:rPr>
              <w:t>Součástí serveru je licence na výše popsaný management nástroj.</w:t>
            </w:r>
          </w:p>
          <w:p w14:paraId="6DB846CC" w14:textId="77777777" w:rsidR="00D23E5F" w:rsidRDefault="00C80F81">
            <w:pPr>
              <w:pStyle w:val="Style12"/>
              <w:shd w:val="clear" w:color="auto" w:fill="auto"/>
              <w:spacing w:after="180" w:line="298" w:lineRule="auto"/>
              <w:jc w:val="both"/>
            </w:pPr>
            <w:r>
              <w:rPr>
                <w:b/>
                <w:bCs/>
              </w:rPr>
              <w:t xml:space="preserve">Server je plně kompatibilní a </w:t>
            </w:r>
            <w:proofErr w:type="spellStart"/>
            <w:r>
              <w:rPr>
                <w:b/>
                <w:bCs/>
              </w:rPr>
              <w:t>integrovatelný</w:t>
            </w:r>
            <w:proofErr w:type="spellEnd"/>
            <w:r>
              <w:rPr>
                <w:b/>
                <w:bCs/>
              </w:rPr>
              <w:t xml:space="preserve"> do stávajícího management nástroje HPE </w:t>
            </w:r>
            <w:proofErr w:type="spellStart"/>
            <w:r>
              <w:rPr>
                <w:b/>
                <w:bCs/>
              </w:rPr>
              <w:t>OneView</w:t>
            </w:r>
            <w:proofErr w:type="spellEnd"/>
            <w:r>
              <w:rPr>
                <w:b/>
                <w:bCs/>
              </w:rPr>
              <w:t>.</w:t>
            </w:r>
          </w:p>
        </w:tc>
      </w:tr>
      <w:tr w:rsidR="00D23E5F" w14:paraId="6DB846D1" w14:textId="77777777">
        <w:tblPrEx>
          <w:tblCellMar>
            <w:top w:w="0" w:type="dxa"/>
            <w:bottom w:w="0" w:type="dxa"/>
          </w:tblCellMar>
        </w:tblPrEx>
        <w:trPr>
          <w:trHeight w:hRule="exact" w:val="955"/>
          <w:jc w:val="center"/>
        </w:trPr>
        <w:tc>
          <w:tcPr>
            <w:tcW w:w="2179" w:type="dxa"/>
            <w:tcBorders>
              <w:top w:val="single" w:sz="4" w:space="0" w:color="auto"/>
              <w:left w:val="single" w:sz="4" w:space="0" w:color="auto"/>
            </w:tcBorders>
            <w:shd w:val="clear" w:color="auto" w:fill="FFFFFF"/>
          </w:tcPr>
          <w:p w14:paraId="6DB846CE" w14:textId="77777777" w:rsidR="00D23E5F" w:rsidRDefault="00C80F81">
            <w:pPr>
              <w:pStyle w:val="Style12"/>
              <w:shd w:val="clear" w:color="auto" w:fill="auto"/>
              <w:spacing w:after="0" w:line="240" w:lineRule="auto"/>
              <w:ind w:firstLine="140"/>
            </w:pPr>
            <w:r>
              <w:t>Kompatibilita</w:t>
            </w:r>
          </w:p>
        </w:tc>
        <w:tc>
          <w:tcPr>
            <w:tcW w:w="3864" w:type="dxa"/>
            <w:tcBorders>
              <w:top w:val="single" w:sz="4" w:space="0" w:color="auto"/>
              <w:left w:val="single" w:sz="4" w:space="0" w:color="auto"/>
            </w:tcBorders>
            <w:shd w:val="clear" w:color="auto" w:fill="FFFFFF"/>
            <w:vAlign w:val="bottom"/>
          </w:tcPr>
          <w:p w14:paraId="6DB846CF" w14:textId="77777777" w:rsidR="00D23E5F" w:rsidRDefault="00C80F81">
            <w:pPr>
              <w:pStyle w:val="Style12"/>
              <w:shd w:val="clear" w:color="auto" w:fill="auto"/>
              <w:spacing w:after="0" w:line="288" w:lineRule="auto"/>
              <w:rPr>
                <w:sz w:val="17"/>
                <w:szCs w:val="17"/>
              </w:rPr>
            </w:pPr>
            <w:r>
              <w:rPr>
                <w:sz w:val="17"/>
                <w:szCs w:val="17"/>
              </w:rPr>
              <w:t xml:space="preserve">Kompatibilní s OS: RHEL8.X, 9.x Windows 2019, 2022 </w:t>
            </w:r>
            <w:proofErr w:type="spellStart"/>
            <w:r>
              <w:rPr>
                <w:sz w:val="17"/>
                <w:szCs w:val="17"/>
              </w:rPr>
              <w:t>vSphere</w:t>
            </w:r>
            <w:proofErr w:type="spellEnd"/>
            <w:r>
              <w:rPr>
                <w:sz w:val="17"/>
                <w:szCs w:val="17"/>
              </w:rPr>
              <w:t xml:space="preserve"> 7.X, 8.X</w:t>
            </w:r>
          </w:p>
        </w:tc>
        <w:tc>
          <w:tcPr>
            <w:tcW w:w="2712" w:type="dxa"/>
            <w:tcBorders>
              <w:top w:val="single" w:sz="4" w:space="0" w:color="auto"/>
              <w:left w:val="single" w:sz="4" w:space="0" w:color="auto"/>
              <w:right w:val="single" w:sz="4" w:space="0" w:color="auto"/>
            </w:tcBorders>
            <w:shd w:val="clear" w:color="auto" w:fill="FFFFFF"/>
            <w:vAlign w:val="bottom"/>
          </w:tcPr>
          <w:p w14:paraId="6DB846D0" w14:textId="77777777" w:rsidR="00D23E5F" w:rsidRDefault="00C80F81">
            <w:pPr>
              <w:pStyle w:val="Style12"/>
              <w:shd w:val="clear" w:color="auto" w:fill="auto"/>
              <w:spacing w:after="0" w:line="290" w:lineRule="auto"/>
              <w:jc w:val="both"/>
              <w:rPr>
                <w:sz w:val="17"/>
                <w:szCs w:val="17"/>
              </w:rPr>
            </w:pPr>
            <w:r>
              <w:rPr>
                <w:sz w:val="17"/>
                <w:szCs w:val="17"/>
              </w:rPr>
              <w:t xml:space="preserve">Kompatibilní s OS: RHEL8.X, 9.x Windows 2019, 2022 </w:t>
            </w:r>
            <w:proofErr w:type="spellStart"/>
            <w:r>
              <w:rPr>
                <w:sz w:val="17"/>
                <w:szCs w:val="17"/>
              </w:rPr>
              <w:t>vSphere</w:t>
            </w:r>
            <w:proofErr w:type="spellEnd"/>
            <w:r>
              <w:rPr>
                <w:sz w:val="17"/>
                <w:szCs w:val="17"/>
              </w:rPr>
              <w:t xml:space="preserve"> 7.X, 8.X</w:t>
            </w:r>
          </w:p>
        </w:tc>
      </w:tr>
      <w:tr w:rsidR="00D23E5F" w14:paraId="6DB846DD" w14:textId="77777777">
        <w:tblPrEx>
          <w:tblCellMar>
            <w:top w:w="0" w:type="dxa"/>
            <w:bottom w:w="0" w:type="dxa"/>
          </w:tblCellMar>
        </w:tblPrEx>
        <w:trPr>
          <w:trHeight w:hRule="exact" w:val="4675"/>
          <w:jc w:val="center"/>
        </w:trPr>
        <w:tc>
          <w:tcPr>
            <w:tcW w:w="2179" w:type="dxa"/>
            <w:tcBorders>
              <w:top w:val="single" w:sz="4" w:space="0" w:color="auto"/>
              <w:left w:val="single" w:sz="4" w:space="0" w:color="auto"/>
            </w:tcBorders>
            <w:shd w:val="clear" w:color="auto" w:fill="FFFFFF"/>
          </w:tcPr>
          <w:p w14:paraId="6DB846D2" w14:textId="77777777" w:rsidR="00D23E5F" w:rsidRDefault="00C80F81">
            <w:pPr>
              <w:pStyle w:val="Style12"/>
              <w:shd w:val="clear" w:color="auto" w:fill="auto"/>
              <w:spacing w:after="0" w:line="240" w:lineRule="auto"/>
              <w:ind w:firstLine="140"/>
            </w:pPr>
            <w:r>
              <w:t>Ostatní</w:t>
            </w:r>
          </w:p>
        </w:tc>
        <w:tc>
          <w:tcPr>
            <w:tcW w:w="3864" w:type="dxa"/>
            <w:tcBorders>
              <w:top w:val="single" w:sz="4" w:space="0" w:color="auto"/>
              <w:left w:val="single" w:sz="4" w:space="0" w:color="auto"/>
            </w:tcBorders>
            <w:shd w:val="clear" w:color="auto" w:fill="FFFFFF"/>
          </w:tcPr>
          <w:p w14:paraId="6DB846D3" w14:textId="77777777" w:rsidR="00D23E5F" w:rsidRDefault="00C80F81">
            <w:pPr>
              <w:pStyle w:val="Style12"/>
              <w:shd w:val="clear" w:color="auto" w:fill="auto"/>
              <w:spacing w:after="180" w:line="338" w:lineRule="auto"/>
            </w:pPr>
            <w:r>
              <w:rPr>
                <w:lang w:val="en-US" w:eastAsia="en-US" w:bidi="en-US"/>
              </w:rPr>
              <w:t xml:space="preserve">Trusted Platform </w:t>
            </w:r>
            <w:r>
              <w:t>Module verze 2.0</w:t>
            </w:r>
          </w:p>
          <w:p w14:paraId="6DB846D4" w14:textId="77777777" w:rsidR="00D23E5F" w:rsidRDefault="00C80F81">
            <w:pPr>
              <w:pStyle w:val="Style12"/>
              <w:shd w:val="clear" w:color="auto" w:fill="auto"/>
              <w:spacing w:after="180" w:line="348" w:lineRule="auto"/>
            </w:pPr>
            <w:r>
              <w:t xml:space="preserve">Pro přístup ke všem komponentám serveru není </w:t>
            </w:r>
            <w:r>
              <w:t>nutné nářadí, barevně značené hot-</w:t>
            </w:r>
            <w:proofErr w:type="spellStart"/>
            <w:r>
              <w:t>plug</w:t>
            </w:r>
            <w:proofErr w:type="spellEnd"/>
            <w:r>
              <w:t xml:space="preserve"> vnitřní komponenty</w:t>
            </w:r>
          </w:p>
          <w:p w14:paraId="6DB846D5" w14:textId="77777777" w:rsidR="00D23E5F" w:rsidRDefault="00C80F81">
            <w:pPr>
              <w:pStyle w:val="Style12"/>
              <w:shd w:val="clear" w:color="auto" w:fill="auto"/>
              <w:spacing w:after="180" w:line="338" w:lineRule="auto"/>
            </w:pPr>
            <w:r>
              <w:t xml:space="preserve">Firmware všech součástí serveru, musí být kryptograficky podepsán tak, aby v rámci distribučního řetězce nemohlo dojít </w:t>
            </w:r>
            <w:proofErr w:type="spellStart"/>
            <w:r>
              <w:t>kjeho</w:t>
            </w:r>
            <w:proofErr w:type="spellEnd"/>
            <w:r>
              <w:t xml:space="preserve"> narušení nebo jeho alternaci. Autenticitu a integritu firmware nahraného v součástkách musí být možné ověřit nástrojem výrobce nebo v managementu serveru. Server musí podporovat uzamčení možnosti aktualizace </w:t>
            </w:r>
            <w:proofErr w:type="spellStart"/>
            <w:r>
              <w:t>bios</w:t>
            </w:r>
            <w:proofErr w:type="spellEnd"/>
            <w:r>
              <w:t xml:space="preserve"> a firmware</w:t>
            </w:r>
          </w:p>
          <w:p w14:paraId="6DB846D6" w14:textId="77777777" w:rsidR="00D23E5F" w:rsidRDefault="00C80F81">
            <w:pPr>
              <w:pStyle w:val="Style12"/>
              <w:shd w:val="clear" w:color="auto" w:fill="auto"/>
              <w:spacing w:after="180" w:line="338" w:lineRule="auto"/>
            </w:pPr>
            <w:r>
              <w:t>Certifikace min. FIPS 140-2</w:t>
            </w:r>
          </w:p>
        </w:tc>
        <w:tc>
          <w:tcPr>
            <w:tcW w:w="2712" w:type="dxa"/>
            <w:tcBorders>
              <w:top w:val="single" w:sz="4" w:space="0" w:color="auto"/>
              <w:left w:val="single" w:sz="4" w:space="0" w:color="auto"/>
              <w:right w:val="single" w:sz="4" w:space="0" w:color="auto"/>
            </w:tcBorders>
            <w:shd w:val="clear" w:color="auto" w:fill="FFFFFF"/>
            <w:vAlign w:val="bottom"/>
          </w:tcPr>
          <w:p w14:paraId="6DB846D7" w14:textId="77777777" w:rsidR="00D23E5F" w:rsidRDefault="00C80F81">
            <w:pPr>
              <w:pStyle w:val="Style12"/>
              <w:shd w:val="clear" w:color="auto" w:fill="auto"/>
              <w:spacing w:after="180" w:line="319" w:lineRule="auto"/>
            </w:pPr>
            <w:r>
              <w:rPr>
                <w:lang w:val="en-US" w:eastAsia="en-US" w:bidi="en-US"/>
              </w:rPr>
              <w:t xml:space="preserve">Trusted Platform </w:t>
            </w:r>
            <w:r>
              <w:t>Module verze 2.0</w:t>
            </w:r>
          </w:p>
          <w:p w14:paraId="6DB846D8" w14:textId="77777777" w:rsidR="00D23E5F" w:rsidRDefault="00C80F81">
            <w:pPr>
              <w:pStyle w:val="Style12"/>
              <w:shd w:val="clear" w:color="auto" w:fill="auto"/>
              <w:spacing w:after="180" w:line="341" w:lineRule="auto"/>
            </w:pPr>
            <w:r>
              <w:t xml:space="preserve">Pro přístup ke všem komponentám </w:t>
            </w:r>
            <w:r>
              <w:t>serveru není nutné nářadí, barevně značené hot-</w:t>
            </w:r>
            <w:proofErr w:type="spellStart"/>
            <w:r>
              <w:t>plug</w:t>
            </w:r>
            <w:proofErr w:type="spellEnd"/>
            <w:r>
              <w:t xml:space="preserve"> vnitřní komponenty.</w:t>
            </w:r>
          </w:p>
          <w:p w14:paraId="6DB846D9" w14:textId="77777777" w:rsidR="00D23E5F" w:rsidRDefault="00C80F81">
            <w:pPr>
              <w:pStyle w:val="Style12"/>
              <w:shd w:val="clear" w:color="auto" w:fill="auto"/>
              <w:spacing w:after="0" w:line="295" w:lineRule="auto"/>
            </w:pPr>
            <w:r>
              <w:t xml:space="preserve">Firmware všech součástí serveru je kryptograficky podepsán tak, aby v </w:t>
            </w:r>
            <w:r>
              <w:rPr>
                <w:i/>
                <w:iCs/>
              </w:rPr>
              <w:t>rámci</w:t>
            </w:r>
            <w:r>
              <w:t xml:space="preserve"> distribučního řetězce nemohlo dojít k jeho narušení nebo jeho alternaci.</w:t>
            </w:r>
          </w:p>
          <w:p w14:paraId="6DB846DA" w14:textId="77777777" w:rsidR="00D23E5F" w:rsidRDefault="00C80F81">
            <w:pPr>
              <w:pStyle w:val="Style12"/>
              <w:shd w:val="clear" w:color="auto" w:fill="auto"/>
              <w:spacing w:after="180" w:line="341" w:lineRule="auto"/>
            </w:pPr>
            <w:r>
              <w:t>Autenticitu a integritu firmware nahraného v součástkách je možné ověřit nástrojem výrobce nebo v managementu serveru.</w:t>
            </w:r>
          </w:p>
          <w:p w14:paraId="6DB846DB" w14:textId="77777777" w:rsidR="00D23E5F" w:rsidRDefault="00C80F81">
            <w:pPr>
              <w:pStyle w:val="Style12"/>
              <w:shd w:val="clear" w:color="auto" w:fill="auto"/>
              <w:spacing w:after="0" w:line="298" w:lineRule="auto"/>
            </w:pPr>
            <w:r>
              <w:t xml:space="preserve">Server podporuje uzamčení možnosti aktualizace </w:t>
            </w:r>
            <w:proofErr w:type="spellStart"/>
            <w:r>
              <w:t>bios</w:t>
            </w:r>
            <w:proofErr w:type="spellEnd"/>
            <w:r>
              <w:t xml:space="preserve"> a firmware;</w:t>
            </w:r>
          </w:p>
          <w:p w14:paraId="6DB846DC" w14:textId="77777777" w:rsidR="00D23E5F" w:rsidRDefault="00C80F81">
            <w:pPr>
              <w:pStyle w:val="Style12"/>
              <w:shd w:val="clear" w:color="auto" w:fill="auto"/>
              <w:spacing w:after="180" w:line="298" w:lineRule="auto"/>
            </w:pPr>
            <w:r>
              <w:t>Certifikace min. FIPS 140-2.</w:t>
            </w:r>
          </w:p>
        </w:tc>
      </w:tr>
      <w:tr w:rsidR="00D23E5F" w14:paraId="6DB846E1" w14:textId="77777777">
        <w:tblPrEx>
          <w:tblCellMar>
            <w:top w:w="0" w:type="dxa"/>
            <w:bottom w:w="0" w:type="dxa"/>
          </w:tblCellMar>
        </w:tblPrEx>
        <w:trPr>
          <w:trHeight w:hRule="exact" w:val="456"/>
          <w:jc w:val="center"/>
        </w:trPr>
        <w:tc>
          <w:tcPr>
            <w:tcW w:w="2179" w:type="dxa"/>
            <w:tcBorders>
              <w:top w:val="single" w:sz="4" w:space="0" w:color="auto"/>
              <w:left w:val="single" w:sz="4" w:space="0" w:color="auto"/>
              <w:bottom w:val="single" w:sz="4" w:space="0" w:color="auto"/>
            </w:tcBorders>
            <w:shd w:val="clear" w:color="auto" w:fill="FFFFFF"/>
          </w:tcPr>
          <w:p w14:paraId="6DB846DE" w14:textId="77777777" w:rsidR="00D23E5F" w:rsidRDefault="00C80F81">
            <w:pPr>
              <w:pStyle w:val="Style12"/>
              <w:shd w:val="clear" w:color="auto" w:fill="auto"/>
              <w:spacing w:after="0" w:line="240" w:lineRule="auto"/>
            </w:pPr>
            <w:r>
              <w:t>Příslušenství</w:t>
            </w:r>
          </w:p>
        </w:tc>
        <w:tc>
          <w:tcPr>
            <w:tcW w:w="3864" w:type="dxa"/>
            <w:tcBorders>
              <w:top w:val="single" w:sz="4" w:space="0" w:color="auto"/>
              <w:left w:val="single" w:sz="4" w:space="0" w:color="auto"/>
              <w:bottom w:val="single" w:sz="4" w:space="0" w:color="auto"/>
            </w:tcBorders>
            <w:shd w:val="clear" w:color="auto" w:fill="FFFFFF"/>
          </w:tcPr>
          <w:p w14:paraId="6DB846DF" w14:textId="77777777" w:rsidR="00D23E5F" w:rsidRDefault="00C80F81">
            <w:pPr>
              <w:pStyle w:val="Style12"/>
              <w:shd w:val="clear" w:color="auto" w:fill="auto"/>
              <w:spacing w:after="0" w:line="240" w:lineRule="auto"/>
            </w:pPr>
            <w:r>
              <w:rPr>
                <w:lang w:val="en-US" w:eastAsia="en-US" w:bidi="en-US"/>
              </w:rPr>
              <w:t>Rack mount kit</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14:paraId="6DB846E0" w14:textId="77777777" w:rsidR="00D23E5F" w:rsidRDefault="00C80F81">
            <w:pPr>
              <w:pStyle w:val="Style12"/>
              <w:shd w:val="clear" w:color="auto" w:fill="auto"/>
              <w:spacing w:after="0" w:line="240" w:lineRule="auto"/>
            </w:pPr>
            <w:r>
              <w:rPr>
                <w:lang w:val="en-US" w:eastAsia="en-US" w:bidi="en-US"/>
              </w:rPr>
              <w:t>Rack mount kit</w:t>
            </w:r>
          </w:p>
        </w:tc>
      </w:tr>
    </w:tbl>
    <w:p w14:paraId="6DB846E2" w14:textId="77777777" w:rsidR="00D23E5F" w:rsidRDefault="00C80F81">
      <w:pPr>
        <w:pStyle w:val="Style2"/>
        <w:keepNext/>
        <w:keepLines/>
        <w:shd w:val="clear" w:color="auto" w:fill="auto"/>
        <w:spacing w:after="340" w:line="240" w:lineRule="auto"/>
        <w:jc w:val="both"/>
      </w:pPr>
      <w:bookmarkStart w:id="8" w:name="bookmark10"/>
      <w:bookmarkStart w:id="9" w:name="bookmark8"/>
      <w:bookmarkStart w:id="10" w:name="bookmark9"/>
      <w:r>
        <w:rPr>
          <w:lang w:val="cs-CZ" w:eastAsia="cs-CZ" w:bidi="cs-CZ"/>
        </w:rPr>
        <w:t>Specifikace softwaru pro zálohování:</w:t>
      </w:r>
      <w:bookmarkEnd w:id="8"/>
      <w:bookmarkEnd w:id="9"/>
      <w:bookmarkEnd w:id="10"/>
    </w:p>
    <w:p w14:paraId="6DB846E3" w14:textId="77777777" w:rsidR="00D23E5F" w:rsidRDefault="00C80F81">
      <w:pPr>
        <w:pStyle w:val="Style2"/>
        <w:keepNext/>
        <w:keepLines/>
        <w:shd w:val="clear" w:color="auto" w:fill="auto"/>
        <w:spacing w:after="140"/>
        <w:jc w:val="both"/>
      </w:pPr>
      <w:bookmarkStart w:id="11" w:name="bookmark11"/>
      <w:bookmarkStart w:id="12" w:name="bookmark12"/>
      <w:bookmarkStart w:id="13" w:name="bookmark13"/>
      <w:r>
        <w:rPr>
          <w:lang w:val="cs-CZ" w:eastAsia="cs-CZ" w:bidi="cs-CZ"/>
        </w:rPr>
        <w:t>7x P-FDNVUL-0I-SU3YP-00</w:t>
      </w:r>
      <w:bookmarkEnd w:id="11"/>
      <w:bookmarkEnd w:id="12"/>
      <w:bookmarkEnd w:id="13"/>
    </w:p>
    <w:p w14:paraId="6DB846E4" w14:textId="77777777" w:rsidR="00D23E5F" w:rsidRDefault="00C80F81">
      <w:pPr>
        <w:pStyle w:val="Style2"/>
        <w:keepNext/>
        <w:keepLines/>
        <w:shd w:val="clear" w:color="auto" w:fill="auto"/>
        <w:spacing w:after="140"/>
      </w:pPr>
      <w:bookmarkStart w:id="14" w:name="bookmark14"/>
      <w:bookmarkStart w:id="15" w:name="bookmark15"/>
      <w:bookmarkStart w:id="16" w:name="bookmark16"/>
      <w:proofErr w:type="spellStart"/>
      <w:r>
        <w:rPr>
          <w:lang w:val="cs-CZ" w:eastAsia="cs-CZ" w:bidi="cs-CZ"/>
        </w:rPr>
        <w:t>Veeam</w:t>
      </w:r>
      <w:proofErr w:type="spellEnd"/>
      <w:r>
        <w:rPr>
          <w:lang w:val="cs-CZ" w:eastAsia="cs-CZ" w:bidi="cs-CZ"/>
        </w:rPr>
        <w:t xml:space="preserve"> Data </w:t>
      </w:r>
      <w:r>
        <w:t xml:space="preserve">Platform </w:t>
      </w:r>
      <w:proofErr w:type="spellStart"/>
      <w:r>
        <w:rPr>
          <w:lang w:val="cs-CZ" w:eastAsia="cs-CZ" w:bidi="cs-CZ"/>
        </w:rPr>
        <w:t>Foundation</w:t>
      </w:r>
      <w:proofErr w:type="spellEnd"/>
      <w:r>
        <w:rPr>
          <w:lang w:val="cs-CZ" w:eastAsia="cs-CZ" w:bidi="cs-CZ"/>
        </w:rPr>
        <w:t xml:space="preserve"> </w:t>
      </w:r>
      <w:r>
        <w:t xml:space="preserve">Universal Subscription License. Includes Enterprise Plus Edition features. 10 </w:t>
      </w:r>
      <w:r>
        <w:t>instance pack. 3 Years Subscription Upfront Billing &amp; Production (24/7) Support. Public Sector.</w:t>
      </w:r>
      <w:bookmarkEnd w:id="14"/>
      <w:bookmarkEnd w:id="15"/>
      <w:bookmarkEnd w:id="16"/>
    </w:p>
    <w:p w14:paraId="6DB846E5" w14:textId="77777777" w:rsidR="00D23E5F" w:rsidRDefault="00C80F81">
      <w:pPr>
        <w:pStyle w:val="Style22"/>
        <w:shd w:val="clear" w:color="auto" w:fill="auto"/>
        <w:spacing w:line="314" w:lineRule="auto"/>
        <w:jc w:val="both"/>
      </w:pPr>
      <w:r>
        <w:t>Požadovaný počet licenci': Zálohování 70 virtuálních serverů</w:t>
      </w:r>
    </w:p>
    <w:p w14:paraId="6DB846E6" w14:textId="77777777" w:rsidR="00D23E5F" w:rsidRDefault="00C80F81">
      <w:pPr>
        <w:pStyle w:val="Style22"/>
        <w:shd w:val="clear" w:color="auto" w:fill="auto"/>
        <w:spacing w:line="314" w:lineRule="auto"/>
        <w:jc w:val="both"/>
      </w:pPr>
      <w:r>
        <w:t>Požadovaná doba podpory: 3 roky v režimu 24/7 od výrobce</w:t>
      </w:r>
    </w:p>
    <w:p w14:paraId="6DB846E7" w14:textId="77777777" w:rsidR="00D23E5F" w:rsidRDefault="00C80F81">
      <w:pPr>
        <w:pStyle w:val="Style22"/>
        <w:shd w:val="clear" w:color="auto" w:fill="auto"/>
        <w:spacing w:line="314" w:lineRule="auto"/>
        <w:jc w:val="both"/>
      </w:pPr>
      <w:r>
        <w:lastRenderedPageBreak/>
        <w:t xml:space="preserve">Zálohovací software musí pracovat s infrastrukturou </w:t>
      </w:r>
      <w:r>
        <w:rPr>
          <w:lang w:val="en-US" w:eastAsia="en-US" w:bidi="en-US"/>
        </w:rPr>
        <w:t xml:space="preserve">VMware </w:t>
      </w:r>
      <w:r>
        <w:t>založenou na verzích 6.0 6.5 a 7.0</w:t>
      </w:r>
    </w:p>
    <w:p w14:paraId="6DB846E8" w14:textId="77777777" w:rsidR="00D23E5F" w:rsidRDefault="00C80F81">
      <w:pPr>
        <w:pStyle w:val="Style22"/>
        <w:shd w:val="clear" w:color="auto" w:fill="auto"/>
        <w:spacing w:line="314" w:lineRule="auto"/>
        <w:jc w:val="both"/>
      </w:pPr>
      <w:r>
        <w:t xml:space="preserve">Software musí podporovat hostitele spravované serverem </w:t>
      </w:r>
      <w:r>
        <w:rPr>
          <w:lang w:val="en-US" w:eastAsia="en-US" w:bidi="en-US"/>
        </w:rPr>
        <w:t xml:space="preserve">VMware </w:t>
      </w:r>
      <w:proofErr w:type="spellStart"/>
      <w:r>
        <w:t>vCenter</w:t>
      </w:r>
      <w:proofErr w:type="spellEnd"/>
      <w:r>
        <w:t xml:space="preserve"> Server a samostatné hostitele</w:t>
      </w:r>
    </w:p>
    <w:p w14:paraId="6DB846E9" w14:textId="77777777" w:rsidR="00D23E5F" w:rsidRDefault="00C80F81">
      <w:pPr>
        <w:pStyle w:val="Style22"/>
        <w:shd w:val="clear" w:color="auto" w:fill="auto"/>
        <w:spacing w:line="314" w:lineRule="auto"/>
        <w:jc w:val="both"/>
      </w:pPr>
      <w:r>
        <w:t xml:space="preserve">Software musí podporovat zálohování všech operačních systémů, které jsou podporovány pro provoz ve </w:t>
      </w:r>
      <w:r>
        <w:rPr>
          <w:lang w:val="en-US" w:eastAsia="en-US" w:bidi="en-US"/>
        </w:rPr>
        <w:t>VMware</w:t>
      </w:r>
    </w:p>
    <w:p w14:paraId="6DB846EA" w14:textId="77777777" w:rsidR="00D23E5F" w:rsidRDefault="00C80F81">
      <w:pPr>
        <w:pStyle w:val="Style22"/>
        <w:shd w:val="clear" w:color="auto" w:fill="auto"/>
        <w:spacing w:line="314" w:lineRule="auto"/>
      </w:pPr>
      <w:r>
        <w:t>Software musí podporovat zálohování sdílených souborů ze zařízení založených na NAS pomocí sdílených složek SMB/CIFS a NFS a přímo ze souborových serverů Windows a Linux</w:t>
      </w:r>
    </w:p>
    <w:p w14:paraId="6DB846EB" w14:textId="77777777" w:rsidR="00D23E5F" w:rsidRDefault="00C80F81">
      <w:pPr>
        <w:pStyle w:val="Style22"/>
        <w:shd w:val="clear" w:color="auto" w:fill="auto"/>
        <w:spacing w:line="314" w:lineRule="auto"/>
        <w:jc w:val="both"/>
      </w:pPr>
      <w:r>
        <w:t>Software musí být nezávislý na hardware a musí využívat jakýkoli hardware serveru a úložiště</w:t>
      </w:r>
    </w:p>
    <w:p w14:paraId="6DB846EC" w14:textId="77777777" w:rsidR="00D23E5F" w:rsidRDefault="00C80F81">
      <w:pPr>
        <w:pStyle w:val="Style22"/>
        <w:shd w:val="clear" w:color="auto" w:fill="auto"/>
        <w:spacing w:line="322" w:lineRule="auto"/>
      </w:pPr>
      <w:r>
        <w:t>Software musí vytvářet samostatné zálohovací archivy ve formě souborů, které jsou volně přenositelné, s možností vytvářet takové soubory na úrovní zálohovací úlohy nebo na VM</w:t>
      </w:r>
    </w:p>
    <w:p w14:paraId="6DB846ED" w14:textId="77777777" w:rsidR="00D23E5F" w:rsidRDefault="00C80F81">
      <w:pPr>
        <w:pStyle w:val="Style22"/>
        <w:shd w:val="clear" w:color="auto" w:fill="auto"/>
        <w:spacing w:line="314" w:lineRule="auto"/>
        <w:jc w:val="both"/>
      </w:pPr>
      <w:r>
        <w:t>Software musí umožňovat vytváření záloh v plném, syntetickém úplném, přírůstkovém a zpětném přírůstkovém režimu</w:t>
      </w:r>
    </w:p>
    <w:p w14:paraId="6DB846EE" w14:textId="77777777" w:rsidR="00D23E5F" w:rsidRDefault="00C80F81">
      <w:pPr>
        <w:pStyle w:val="Style22"/>
        <w:shd w:val="clear" w:color="auto" w:fill="auto"/>
        <w:spacing w:line="314" w:lineRule="auto"/>
      </w:pPr>
      <w:r>
        <w:t xml:space="preserve">Software musí mít mechanismy </w:t>
      </w:r>
      <w:proofErr w:type="spellStart"/>
      <w:r>
        <w:t>deduplikace</w:t>
      </w:r>
      <w:proofErr w:type="spellEnd"/>
      <w:r>
        <w:t xml:space="preserve"> a komprese, které vedou ke snížení objemu úložného prostoru pro zálohy. Povolení </w:t>
      </w:r>
      <w:proofErr w:type="spellStart"/>
      <w:r>
        <w:t>deduplikace</w:t>
      </w:r>
      <w:proofErr w:type="spellEnd"/>
      <w:r>
        <w:t xml:space="preserve"> a komprese nesmí omezit žádné funkcionality uvedené ve specifikaci</w:t>
      </w:r>
    </w:p>
    <w:p w14:paraId="6DB846EF" w14:textId="77777777" w:rsidR="00D23E5F" w:rsidRDefault="00C80F81">
      <w:pPr>
        <w:pStyle w:val="Style22"/>
        <w:shd w:val="clear" w:color="auto" w:fill="auto"/>
        <w:spacing w:line="322" w:lineRule="auto"/>
      </w:pPr>
      <w:r>
        <w:t xml:space="preserve">Software musí poskytovat abstrakční vrstvu přes jednotlivá úložná zařízení, aby se vytvořil jeden virtuální fond </w:t>
      </w:r>
      <w:proofErr w:type="spellStart"/>
      <w:r>
        <w:t>záiohovacího</w:t>
      </w:r>
      <w:proofErr w:type="spellEnd"/>
      <w:r>
        <w:t xml:space="preserve"> úložiště pro ukládání záloh. Musí být podporováno neomezené množství rozšíření.</w:t>
      </w:r>
    </w:p>
    <w:p w14:paraId="6DB846F0" w14:textId="77777777" w:rsidR="00D23E5F" w:rsidRDefault="00C80F81">
      <w:pPr>
        <w:pStyle w:val="Style22"/>
        <w:shd w:val="clear" w:color="auto" w:fill="auto"/>
        <w:spacing w:line="307" w:lineRule="auto"/>
      </w:pPr>
      <w:r>
        <w:t xml:space="preserve">Software nesmí použít centrální databázi pro ukládání jakýchkoli metadat </w:t>
      </w:r>
      <w:proofErr w:type="spellStart"/>
      <w:r>
        <w:t>deduplikace</w:t>
      </w:r>
      <w:proofErr w:type="spellEnd"/>
      <w:r>
        <w:t xml:space="preserve">. Ztráta databáze nemůže způsobit, že záložní soubory budou nestabilní. </w:t>
      </w:r>
      <w:r>
        <w:rPr>
          <w:lang w:val="en-US" w:eastAsia="en-US" w:bidi="en-US"/>
        </w:rPr>
        <w:t xml:space="preserve">Metadata </w:t>
      </w:r>
      <w:proofErr w:type="spellStart"/>
      <w:r>
        <w:t>deduplikace</w:t>
      </w:r>
      <w:proofErr w:type="spellEnd"/>
      <w:r>
        <w:t xml:space="preserve"> musí být uložena v záložních souborech</w:t>
      </w:r>
    </w:p>
    <w:p w14:paraId="6DB846F1" w14:textId="77777777" w:rsidR="00D23E5F" w:rsidRDefault="00C80F81">
      <w:pPr>
        <w:pStyle w:val="Style22"/>
        <w:shd w:val="clear" w:color="auto" w:fill="auto"/>
        <w:spacing w:line="314" w:lineRule="auto"/>
      </w:pPr>
      <w:r>
        <w:t>Software nesmí vyžadovat instalaci jakéhokoli druhu stálého agenta uvnitř virtuálních počítačů, který vyžaduje údržbu, nasazení, upgrade pro všechny operace zálohování a obnovy</w:t>
      </w:r>
    </w:p>
    <w:p w14:paraId="6DB846F2" w14:textId="77777777" w:rsidR="00D23E5F" w:rsidRDefault="00C80F81">
      <w:pPr>
        <w:pStyle w:val="Style22"/>
        <w:shd w:val="clear" w:color="auto" w:fill="auto"/>
        <w:spacing w:line="314" w:lineRule="auto"/>
      </w:pPr>
      <w:r>
        <w:t>Jednoprůchodová záloha je vyžadována pro všechny druhy obnovení včetně granulárních obnov</w:t>
      </w:r>
    </w:p>
    <w:p w14:paraId="6DB846F3" w14:textId="77777777" w:rsidR="00D23E5F" w:rsidRDefault="00C80F81">
      <w:pPr>
        <w:pStyle w:val="Style22"/>
        <w:shd w:val="clear" w:color="auto" w:fill="auto"/>
        <w:spacing w:line="322" w:lineRule="auto"/>
      </w:pPr>
      <w:r>
        <w:t xml:space="preserve">Software musí umožňovat připojování a spouštění jakéhokoli skriptu pro zálohování před nebo </w:t>
      </w:r>
      <w:r>
        <w:rPr>
          <w:i/>
          <w:iCs/>
        </w:rPr>
        <w:t>po spuštění</w:t>
      </w:r>
      <w:r>
        <w:t xml:space="preserve"> zálohovací úlohy, nebo před a po </w:t>
      </w:r>
      <w:proofErr w:type="spellStart"/>
      <w:r>
        <w:t>snapshotu</w:t>
      </w:r>
      <w:proofErr w:type="spellEnd"/>
      <w:r>
        <w:t xml:space="preserve"> VM</w:t>
      </w:r>
    </w:p>
    <w:p w14:paraId="6DB846F4" w14:textId="77777777" w:rsidR="00D23E5F" w:rsidRDefault="00C80F81">
      <w:pPr>
        <w:pStyle w:val="Style22"/>
        <w:shd w:val="clear" w:color="auto" w:fill="auto"/>
        <w:spacing w:line="322" w:lineRule="auto"/>
      </w:pPr>
      <w:r>
        <w:t xml:space="preserve">Software musí nabízet samoobslužný portál, prostřednictvím kterého si uživatelé mohou obnovit soubory, virtuální počítače, objekty MS </w:t>
      </w:r>
      <w:r>
        <w:rPr>
          <w:lang w:val="en-US" w:eastAsia="en-US" w:bidi="en-US"/>
        </w:rPr>
        <w:t xml:space="preserve">Exchange </w:t>
      </w:r>
      <w:r>
        <w:t>a databáze MS SQL, databáze Oracle (včetně obnovení v čase)</w:t>
      </w:r>
    </w:p>
    <w:p w14:paraId="6DB846F5" w14:textId="77777777" w:rsidR="00D23E5F" w:rsidRDefault="00C80F81">
      <w:pPr>
        <w:pStyle w:val="Style22"/>
        <w:shd w:val="clear" w:color="auto" w:fill="auto"/>
        <w:spacing w:line="314" w:lineRule="auto"/>
      </w:pPr>
      <w:r>
        <w:t>Software musí být schopen integrace s jinými systémy pomocí zabudovaného rozhraní REST API</w:t>
      </w:r>
    </w:p>
    <w:p w14:paraId="6DB846F6" w14:textId="77777777" w:rsidR="00D23E5F" w:rsidRDefault="00C80F81">
      <w:pPr>
        <w:pStyle w:val="Style22"/>
        <w:shd w:val="clear" w:color="auto" w:fill="auto"/>
        <w:spacing w:line="314" w:lineRule="auto"/>
      </w:pPr>
      <w:r>
        <w:t>Software musí nabízet šifrování celého síťového provozu mezi všemi komponentami a také šifrování „na cíli" záložních souborů v úložišti. Šifrování nemůže omezit žádné funkce uvedené ve specifikaci</w:t>
      </w:r>
    </w:p>
    <w:p w14:paraId="6DB846F7" w14:textId="77777777" w:rsidR="00D23E5F" w:rsidRDefault="00C80F81">
      <w:pPr>
        <w:pStyle w:val="Style22"/>
        <w:shd w:val="clear" w:color="auto" w:fill="auto"/>
        <w:spacing w:line="314" w:lineRule="auto"/>
      </w:pPr>
      <w:r>
        <w:t>Software musí mít architekturu klient / server s možností instalace více instancí administrativní konzoly</w:t>
      </w:r>
    </w:p>
    <w:p w14:paraId="6DB846F8" w14:textId="77777777" w:rsidR="00D23E5F" w:rsidRDefault="00C80F81">
      <w:pPr>
        <w:pStyle w:val="Style22"/>
        <w:shd w:val="clear" w:color="auto" w:fill="auto"/>
        <w:spacing w:line="314" w:lineRule="auto"/>
      </w:pPr>
      <w:r>
        <w:t xml:space="preserve">Software musí využívat mechanismus sledování změn bloku. Min. podpora pro hypervizor </w:t>
      </w:r>
      <w:proofErr w:type="spellStart"/>
      <w:r>
        <w:t>vSphere</w:t>
      </w:r>
      <w:proofErr w:type="spellEnd"/>
      <w:r>
        <w:t xml:space="preserve">, implementace CBT musí být certifikována výrobcem </w:t>
      </w:r>
      <w:r>
        <w:rPr>
          <w:i/>
          <w:iCs/>
        </w:rPr>
        <w:t xml:space="preserve">hypervizoru </w:t>
      </w:r>
      <w:r>
        <w:rPr>
          <w:i/>
          <w:iCs/>
          <w:lang w:val="en-US" w:eastAsia="en-US" w:bidi="en-US"/>
        </w:rPr>
        <w:t>(VMware)</w:t>
      </w:r>
    </w:p>
    <w:p w14:paraId="6DB846F9" w14:textId="77777777" w:rsidR="00D23E5F" w:rsidRDefault="00C80F81">
      <w:pPr>
        <w:pStyle w:val="Style22"/>
        <w:shd w:val="clear" w:color="auto" w:fill="auto"/>
        <w:spacing w:line="307" w:lineRule="auto"/>
      </w:pPr>
      <w:r>
        <w:t>Software musí nabízet způsoby, jak omezit stres na produkčním úložišti během zálohování tak, aby záloha kontrolovatelným způsobem ovlivňovala latenci produkčního úložiště. Toto musí být nabídnuto pro všechny podporované hypervizory</w:t>
      </w:r>
    </w:p>
    <w:p w14:paraId="6DB846FA" w14:textId="77777777" w:rsidR="00D23E5F" w:rsidRDefault="00C80F81">
      <w:pPr>
        <w:pStyle w:val="Style22"/>
        <w:shd w:val="clear" w:color="auto" w:fill="auto"/>
        <w:spacing w:line="314" w:lineRule="auto"/>
      </w:pPr>
      <w:r>
        <w:t xml:space="preserve">Výše uvedené funkce musí být konfigurovatelná na úrovni </w:t>
      </w:r>
      <w:proofErr w:type="spellStart"/>
      <w:r>
        <w:t>datastore</w:t>
      </w:r>
      <w:proofErr w:type="spellEnd"/>
      <w:r>
        <w:t xml:space="preserve"> virtualizační platformy</w:t>
      </w:r>
    </w:p>
    <w:p w14:paraId="6DB846FB" w14:textId="77777777" w:rsidR="00D23E5F" w:rsidRDefault="00C80F81">
      <w:pPr>
        <w:pStyle w:val="Style22"/>
        <w:shd w:val="clear" w:color="auto" w:fill="auto"/>
        <w:spacing w:line="314" w:lineRule="auto"/>
      </w:pPr>
      <w:r>
        <w:t xml:space="preserve">Software musí nabízet automatickou detekci </w:t>
      </w:r>
      <w:r>
        <w:rPr>
          <w:lang w:val="en-US" w:eastAsia="en-US" w:bidi="en-US"/>
        </w:rPr>
        <w:t xml:space="preserve">„orphaned snapshots" a </w:t>
      </w:r>
      <w:r>
        <w:t>musí provést jejich konsolidaci automaticky bez zásahu uživatele</w:t>
      </w:r>
    </w:p>
    <w:p w14:paraId="6DB846FC" w14:textId="77777777" w:rsidR="00D23E5F" w:rsidRDefault="00C80F81">
      <w:pPr>
        <w:pStyle w:val="Style22"/>
        <w:shd w:val="clear" w:color="auto" w:fill="auto"/>
      </w:pPr>
      <w:r>
        <w:rPr>
          <w:lang w:val="en-US" w:eastAsia="en-US" w:bidi="en-US"/>
        </w:rPr>
        <w:t xml:space="preserve">Software </w:t>
      </w:r>
      <w:r>
        <w:t xml:space="preserve">musí umožňovat vytváření záloh integrací se snímky úložiště. Dále musí umožnit obnovu jednotlivých VM, souborů a položek aplikace z těchto snímků. Proces zálohy nemůže k připojení snímku použít dočasného hostitele. Popsaná funkce musí fungovat pro prostředí </w:t>
      </w:r>
      <w:r>
        <w:rPr>
          <w:lang w:val="en-US" w:eastAsia="en-US" w:bidi="en-US"/>
        </w:rPr>
        <w:t xml:space="preserve">VMware </w:t>
      </w:r>
      <w:proofErr w:type="spellStart"/>
      <w:r>
        <w:t>vSphere</w:t>
      </w:r>
      <w:proofErr w:type="spellEnd"/>
      <w:r>
        <w:t xml:space="preserve"> a musí podporovat min. následující pole: HPE, </w:t>
      </w:r>
      <w:r>
        <w:rPr>
          <w:lang w:val="en-US" w:eastAsia="en-US" w:bidi="en-US"/>
        </w:rPr>
        <w:t xml:space="preserve">NetApp, </w:t>
      </w:r>
      <w:r>
        <w:t xml:space="preserve">IBM, </w:t>
      </w:r>
      <w:r>
        <w:rPr>
          <w:lang w:val="en-US" w:eastAsia="en-US" w:bidi="en-US"/>
        </w:rPr>
        <w:t>Huawei</w:t>
      </w:r>
    </w:p>
    <w:p w14:paraId="6DB846FD" w14:textId="77777777" w:rsidR="00D23E5F" w:rsidRDefault="00C80F81">
      <w:pPr>
        <w:pStyle w:val="Style22"/>
        <w:shd w:val="clear" w:color="auto" w:fill="auto"/>
        <w:spacing w:line="322" w:lineRule="auto"/>
      </w:pPr>
      <w:r>
        <w:t xml:space="preserve">Software musí mít oficiální podporu pro </w:t>
      </w:r>
      <w:r>
        <w:rPr>
          <w:lang w:val="en-US" w:eastAsia="en-US" w:bidi="en-US"/>
        </w:rPr>
        <w:t xml:space="preserve">VMware </w:t>
      </w:r>
      <w:proofErr w:type="spellStart"/>
      <w:r>
        <w:t>vSAN</w:t>
      </w:r>
      <w:proofErr w:type="spellEnd"/>
      <w:r>
        <w:t xml:space="preserve"> certifikovanou </w:t>
      </w:r>
      <w:r>
        <w:rPr>
          <w:lang w:val="en-US" w:eastAsia="en-US" w:bidi="en-US"/>
        </w:rPr>
        <w:t>VMware</w:t>
      </w:r>
    </w:p>
    <w:p w14:paraId="6DB846FE" w14:textId="77777777" w:rsidR="00D23E5F" w:rsidRDefault="00C80F81">
      <w:pPr>
        <w:pStyle w:val="Style22"/>
        <w:shd w:val="clear" w:color="auto" w:fill="auto"/>
        <w:spacing w:line="322" w:lineRule="auto"/>
      </w:pPr>
      <w:r>
        <w:t>Software musí podporovat NDMP</w:t>
      </w:r>
    </w:p>
    <w:p w14:paraId="6DB846FF" w14:textId="77777777" w:rsidR="00D23E5F" w:rsidRDefault="00C80F81">
      <w:pPr>
        <w:pStyle w:val="Style22"/>
        <w:shd w:val="clear" w:color="auto" w:fill="auto"/>
        <w:spacing w:line="322" w:lineRule="auto"/>
      </w:pPr>
      <w:r>
        <w:t>Kopie musí umožňovat vytváření a udržování politiky uchovávání GFS (</w:t>
      </w:r>
      <w:proofErr w:type="spellStart"/>
      <w:r>
        <w:t>grandfather</w:t>
      </w:r>
      <w:proofErr w:type="spellEnd"/>
      <w:r>
        <w:t>-</w:t>
      </w:r>
      <w:proofErr w:type="spellStart"/>
      <w:r>
        <w:t>father</w:t>
      </w:r>
      <w:proofErr w:type="spellEnd"/>
      <w:r>
        <w:t>-son)</w:t>
      </w:r>
    </w:p>
    <w:p w14:paraId="6DB84700" w14:textId="77777777" w:rsidR="00D23E5F" w:rsidRDefault="00C80F81">
      <w:pPr>
        <w:pStyle w:val="Style22"/>
        <w:shd w:val="clear" w:color="auto" w:fill="auto"/>
        <w:spacing w:line="314" w:lineRule="auto"/>
      </w:pPr>
      <w:r>
        <w:t xml:space="preserve">Software musí využívat protokol </w:t>
      </w:r>
      <w:r>
        <w:rPr>
          <w:lang w:val="en-US" w:eastAsia="en-US" w:bidi="en-US"/>
        </w:rPr>
        <w:t xml:space="preserve">Catalyst </w:t>
      </w:r>
      <w:r>
        <w:t xml:space="preserve">(včetně </w:t>
      </w:r>
      <w:r>
        <w:rPr>
          <w:lang w:val="en-US" w:eastAsia="en-US" w:bidi="en-US"/>
        </w:rPr>
        <w:t xml:space="preserve">Catalyst </w:t>
      </w:r>
      <w:r>
        <w:t xml:space="preserve">Copy) pokud je HPE </w:t>
      </w:r>
      <w:proofErr w:type="spellStart"/>
      <w:r>
        <w:t>StoreOnce</w:t>
      </w:r>
      <w:proofErr w:type="spellEnd"/>
      <w:r>
        <w:t xml:space="preserve"> používán jako záložní úložiště. To musí být podporováno pomocí připojení k síti LAN nebo FC</w:t>
      </w:r>
    </w:p>
    <w:p w14:paraId="6DB84701" w14:textId="77777777" w:rsidR="00D23E5F" w:rsidRDefault="00C80F81">
      <w:pPr>
        <w:pStyle w:val="Style22"/>
        <w:shd w:val="clear" w:color="auto" w:fill="auto"/>
        <w:spacing w:line="314" w:lineRule="auto"/>
      </w:pPr>
      <w:r>
        <w:t xml:space="preserve">Software musí podporovat rozhraní </w:t>
      </w:r>
      <w:proofErr w:type="spellStart"/>
      <w:r>
        <w:t>BlockCIone</w:t>
      </w:r>
      <w:proofErr w:type="spellEnd"/>
      <w:r>
        <w:t xml:space="preserve"> API pokud se jako záložní úložiště používá systém Windows server 2016 nebo 2019 se systémem souborů </w:t>
      </w:r>
      <w:proofErr w:type="spellStart"/>
      <w:r>
        <w:t>ReFS</w:t>
      </w:r>
      <w:proofErr w:type="spellEnd"/>
    </w:p>
    <w:p w14:paraId="6DB84702" w14:textId="77777777" w:rsidR="00D23E5F" w:rsidRDefault="00C80F81">
      <w:pPr>
        <w:pStyle w:val="Style22"/>
        <w:shd w:val="clear" w:color="auto" w:fill="auto"/>
        <w:spacing w:line="322" w:lineRule="auto"/>
      </w:pPr>
      <w:r>
        <w:lastRenderedPageBreak/>
        <w:t>Podobná funkcionalita musí být zajištěna pro úložiště založená na souborovém systému Linux XFS</w:t>
      </w:r>
    </w:p>
    <w:p w14:paraId="6DB84703" w14:textId="77777777" w:rsidR="00D23E5F" w:rsidRDefault="00C80F81">
      <w:pPr>
        <w:pStyle w:val="Style22"/>
        <w:shd w:val="clear" w:color="auto" w:fill="auto"/>
        <w:spacing w:line="314" w:lineRule="auto"/>
      </w:pPr>
      <w:r>
        <w:t xml:space="preserve">Software musí být schopen kopírovat body obnovení a replikovat virtuální počítače do vzdáleného umístění pomocí technologie založené na vestavěné akceleraci </w:t>
      </w:r>
      <w:r>
        <w:rPr>
          <w:lang w:val="en-US" w:eastAsia="en-US" w:bidi="en-US"/>
        </w:rPr>
        <w:t>WAN</w:t>
      </w:r>
    </w:p>
    <w:p w14:paraId="6DB84704" w14:textId="77777777" w:rsidR="00D23E5F" w:rsidRDefault="00C80F81">
      <w:pPr>
        <w:pStyle w:val="Style22"/>
        <w:shd w:val="clear" w:color="auto" w:fill="auto"/>
        <w:spacing w:line="314" w:lineRule="auto"/>
      </w:pPr>
      <w:r>
        <w:t xml:space="preserve">Software musí mít replikaci produkčních VM přímo z infrastruktury </w:t>
      </w:r>
      <w:r>
        <w:rPr>
          <w:lang w:val="en-US" w:eastAsia="en-US" w:bidi="en-US"/>
        </w:rPr>
        <w:t xml:space="preserve">VMware </w:t>
      </w:r>
      <w:proofErr w:type="spellStart"/>
      <w:r>
        <w:t>vSphere</w:t>
      </w:r>
      <w:proofErr w:type="spellEnd"/>
      <w:r>
        <w:t>, mezi hostiteli ESXI, včetně asynchronní nepřetržité replikace. Software musí navíc umožnit jako zdroj replikačních úloh využít soubory záloh</w:t>
      </w:r>
    </w:p>
    <w:p w14:paraId="6DB84705" w14:textId="77777777" w:rsidR="00D23E5F" w:rsidRDefault="00C80F81">
      <w:pPr>
        <w:pStyle w:val="Style22"/>
        <w:shd w:val="clear" w:color="auto" w:fill="auto"/>
        <w:spacing w:line="322" w:lineRule="auto"/>
      </w:pPr>
      <w:r>
        <w:t>Software musí umožňovat uchovávání více bodů obnovení na replikačních virtuálních počítačích</w:t>
      </w:r>
    </w:p>
    <w:p w14:paraId="6DB84706" w14:textId="77777777" w:rsidR="00D23E5F" w:rsidRDefault="00C80F81">
      <w:pPr>
        <w:pStyle w:val="Style22"/>
        <w:shd w:val="clear" w:color="auto" w:fill="auto"/>
        <w:spacing w:line="322" w:lineRule="auto"/>
      </w:pPr>
      <w:r>
        <w:t xml:space="preserve">Software musí umožňovat </w:t>
      </w:r>
      <w:r>
        <w:rPr>
          <w:lang w:val="en-US" w:eastAsia="en-US" w:bidi="en-US"/>
        </w:rPr>
        <w:t xml:space="preserve">„seeding" </w:t>
      </w:r>
      <w:r>
        <w:t>replik stávajícího virtuálního počítače</w:t>
      </w:r>
    </w:p>
    <w:p w14:paraId="6DB84707" w14:textId="77777777" w:rsidR="00D23E5F" w:rsidRDefault="00C80F81">
      <w:pPr>
        <w:pStyle w:val="Style22"/>
        <w:shd w:val="clear" w:color="auto" w:fill="auto"/>
        <w:spacing w:line="322" w:lineRule="auto"/>
      </w:pPr>
      <w:r>
        <w:t xml:space="preserve">Software musí využívat všechny režimy přenosu zálohy podporované hypervizorem (network, </w:t>
      </w:r>
      <w:proofErr w:type="spellStart"/>
      <w:r>
        <w:t>hotadd</w:t>
      </w:r>
      <w:proofErr w:type="spellEnd"/>
      <w:r>
        <w:t xml:space="preserve">, </w:t>
      </w:r>
      <w:r>
        <w:rPr>
          <w:lang w:val="en-US" w:eastAsia="en-US" w:bidi="en-US"/>
        </w:rPr>
        <w:t>direct SAN a direct NFS)</w:t>
      </w:r>
    </w:p>
    <w:p w14:paraId="6DB84708" w14:textId="77777777" w:rsidR="00D23E5F" w:rsidRDefault="00C80F81">
      <w:pPr>
        <w:pStyle w:val="Style22"/>
        <w:shd w:val="clear" w:color="auto" w:fill="auto"/>
        <w:spacing w:line="322" w:lineRule="auto"/>
      </w:pPr>
      <w:r>
        <w:rPr>
          <w:lang w:val="en-US" w:eastAsia="en-US" w:bidi="en-US"/>
        </w:rPr>
        <w:t xml:space="preserve">Software </w:t>
      </w:r>
      <w:r>
        <w:t xml:space="preserve">musí být schopen vytvořit zálohu ad-hoc pomocí nativní konzole nebo webového klienta </w:t>
      </w:r>
      <w:proofErr w:type="spellStart"/>
      <w:r>
        <w:t>vSphere</w:t>
      </w:r>
      <w:proofErr w:type="spellEnd"/>
    </w:p>
    <w:p w14:paraId="6DB84709" w14:textId="77777777" w:rsidR="00D23E5F" w:rsidRDefault="00C80F81">
      <w:pPr>
        <w:pStyle w:val="Style22"/>
        <w:shd w:val="clear" w:color="auto" w:fill="auto"/>
        <w:spacing w:line="329" w:lineRule="auto"/>
      </w:pPr>
      <w:r>
        <w:t xml:space="preserve">Software musí umožňovat </w:t>
      </w:r>
      <w:r>
        <w:t>paralelní zpracování virtuálních počítačů a jejich disků včetně paralelní obnovy virtuálních disků v úplném režimu obnovy VM</w:t>
      </w:r>
    </w:p>
    <w:p w14:paraId="6DB8470A" w14:textId="77777777" w:rsidR="00D23E5F" w:rsidRDefault="00C80F81">
      <w:pPr>
        <w:pStyle w:val="Style22"/>
        <w:shd w:val="clear" w:color="auto" w:fill="auto"/>
      </w:pPr>
      <w:r>
        <w:t xml:space="preserve">Software musí umožňovat okamžitou obnovu </w:t>
      </w:r>
      <w:r>
        <w:rPr>
          <w:lang w:val="en-US" w:eastAsia="en-US" w:bidi="en-US"/>
        </w:rPr>
        <w:t xml:space="preserve">vice </w:t>
      </w:r>
      <w:r>
        <w:t xml:space="preserve">virtuálních strojů současně, přímo ze záložních souborů z libovolného bodu obnoveni (vestavěný NFS server). Tato funkce musí být podporována pro prostředí </w:t>
      </w:r>
      <w:proofErr w:type="spellStart"/>
      <w:r>
        <w:t>vSphere</w:t>
      </w:r>
      <w:proofErr w:type="spellEnd"/>
      <w:r>
        <w:t xml:space="preserve"> a musí fungovat bez ohledu na hardware používaný k ukládání záložních souborů VM</w:t>
      </w:r>
    </w:p>
    <w:p w14:paraId="6DB8470B" w14:textId="77777777" w:rsidR="00D23E5F" w:rsidRDefault="00C80F81">
      <w:pPr>
        <w:pStyle w:val="Style22"/>
        <w:shd w:val="clear" w:color="auto" w:fill="auto"/>
        <w:spacing w:line="322" w:lineRule="auto"/>
      </w:pPr>
      <w:r>
        <w:t xml:space="preserve">Kromě toho musí v prostředích </w:t>
      </w:r>
      <w:proofErr w:type="spellStart"/>
      <w:r>
        <w:t>vSphere</w:t>
      </w:r>
      <w:proofErr w:type="spellEnd"/>
      <w:r>
        <w:t xml:space="preserve"> výše uvedená funkce umožňovat spuštění zálohy vytvořené z různých platforem (různých virtuálních, fyzických a veřejných cloudových virtuálních cloudů)</w:t>
      </w:r>
    </w:p>
    <w:p w14:paraId="6DB8470C" w14:textId="77777777" w:rsidR="00D23E5F" w:rsidRDefault="00C80F81">
      <w:pPr>
        <w:pStyle w:val="Style22"/>
        <w:shd w:val="clear" w:color="auto" w:fill="auto"/>
        <w:spacing w:line="322" w:lineRule="auto"/>
      </w:pPr>
      <w:r>
        <w:t xml:space="preserve">Software musí umožňovat </w:t>
      </w:r>
      <w:r>
        <w:rPr>
          <w:lang w:val="en-US" w:eastAsia="en-US" w:bidi="en-US"/>
        </w:rPr>
        <w:t xml:space="preserve">online </w:t>
      </w:r>
      <w:r>
        <w:t>migraci virtuálních počítačů, které běží tímto způsobem, do produkčního úložiště pomocí funkcí hypervizoru. Řešení musí také poskytovat svou vlastni funkci, která takové schopnosti poskytne.</w:t>
      </w:r>
    </w:p>
    <w:p w14:paraId="6DB8470D" w14:textId="77777777" w:rsidR="00D23E5F" w:rsidRDefault="00C80F81">
      <w:pPr>
        <w:pStyle w:val="Style22"/>
        <w:shd w:val="clear" w:color="auto" w:fill="auto"/>
        <w:spacing w:line="322" w:lineRule="auto"/>
      </w:pPr>
      <w:r>
        <w:t xml:space="preserve">Software musí umožňovat prezentaci disků přímo ze záložního souboru do spuštěné </w:t>
      </w:r>
      <w:r>
        <w:rPr>
          <w:lang w:val="en-US" w:eastAsia="en-US" w:bidi="en-US"/>
        </w:rPr>
        <w:t xml:space="preserve">VMware </w:t>
      </w:r>
      <w:r>
        <w:t>VM</w:t>
      </w:r>
    </w:p>
    <w:p w14:paraId="6DB8470E" w14:textId="77777777" w:rsidR="00D23E5F" w:rsidRDefault="00C80F81">
      <w:pPr>
        <w:pStyle w:val="Style22"/>
        <w:shd w:val="clear" w:color="auto" w:fill="auto"/>
        <w:spacing w:line="322" w:lineRule="auto"/>
      </w:pPr>
      <w:r>
        <w:t>Software musí umožňovat úplné obnovení VM, obnovu souborů VM nebo disků VM</w:t>
      </w:r>
    </w:p>
    <w:p w14:paraId="6DB8470F" w14:textId="77777777" w:rsidR="00D23E5F" w:rsidRDefault="00C80F81">
      <w:pPr>
        <w:pStyle w:val="Style22"/>
        <w:shd w:val="clear" w:color="auto" w:fill="auto"/>
        <w:spacing w:line="322" w:lineRule="auto"/>
      </w:pPr>
      <w:r>
        <w:t>Software musí umožňovat obnovu souborů na stroj operátora nebo přímo do produkční VM bez potřeby agenta nainstalovaného uvnitř VM. Během obnovy bez agentů nesmí existovat žádné omezení na velikost souboru ani omezení počtu souborů</w:t>
      </w:r>
    </w:p>
    <w:p w14:paraId="6DB84710" w14:textId="77777777" w:rsidR="00D23E5F" w:rsidRDefault="00C80F81">
      <w:pPr>
        <w:pStyle w:val="Style22"/>
        <w:shd w:val="clear" w:color="auto" w:fill="auto"/>
        <w:spacing w:line="329" w:lineRule="auto"/>
      </w:pPr>
      <w:r>
        <w:t xml:space="preserve">Software musí umožňovat obnovu souborů přímo do virtuálního počítače pomocí síťového připojení a rozhraní VIX API v prostředích </w:t>
      </w:r>
      <w:r>
        <w:rPr>
          <w:lang w:val="en-US" w:eastAsia="en-US" w:bidi="en-US"/>
        </w:rPr>
        <w:t>VMware</w:t>
      </w:r>
    </w:p>
    <w:p w14:paraId="6DB84711" w14:textId="77777777" w:rsidR="00D23E5F" w:rsidRDefault="00C80F81">
      <w:pPr>
        <w:pStyle w:val="Style22"/>
        <w:shd w:val="clear" w:color="auto" w:fill="auto"/>
        <w:spacing w:line="322" w:lineRule="auto"/>
      </w:pPr>
      <w:r>
        <w:t>Software musí podporovat obnovu souborů z následujících souborových systémů:</w:t>
      </w:r>
    </w:p>
    <w:p w14:paraId="6DB84712" w14:textId="77777777" w:rsidR="00D23E5F" w:rsidRDefault="00C80F81">
      <w:pPr>
        <w:pStyle w:val="Style22"/>
        <w:shd w:val="clear" w:color="auto" w:fill="auto"/>
        <w:spacing w:line="322" w:lineRule="auto"/>
      </w:pPr>
      <w:r>
        <w:t xml:space="preserve">Linux: ext2, ext3, ext4, </w:t>
      </w:r>
      <w:proofErr w:type="spellStart"/>
      <w:r>
        <w:t>ReiserFS</w:t>
      </w:r>
      <w:proofErr w:type="spellEnd"/>
      <w:r>
        <w:t xml:space="preserve">, JFS, XFS, BTRFS. Windows: NTFS, FAT, FAT32, </w:t>
      </w:r>
      <w:proofErr w:type="spellStart"/>
      <w:r>
        <w:t>ReFS</w:t>
      </w:r>
      <w:proofErr w:type="spellEnd"/>
      <w:r>
        <w:t xml:space="preserve">. </w:t>
      </w:r>
      <w:proofErr w:type="spellStart"/>
      <w:r>
        <w:t>Solaris</w:t>
      </w:r>
      <w:proofErr w:type="spellEnd"/>
      <w:r>
        <w:t>: ZFS, UFS. Mac: HFS, HFS+. Novel OES: NSS</w:t>
      </w:r>
    </w:p>
    <w:p w14:paraId="6DB84713" w14:textId="77777777" w:rsidR="00D23E5F" w:rsidRDefault="00C80F81">
      <w:pPr>
        <w:pStyle w:val="Style22"/>
        <w:shd w:val="clear" w:color="auto" w:fill="auto"/>
        <w:spacing w:line="322" w:lineRule="auto"/>
      </w:pPr>
      <w:r>
        <w:t xml:space="preserve">Software musí podporovat obnovu souborů z Linux LVM a Windows </w:t>
      </w:r>
      <w:r>
        <w:rPr>
          <w:lang w:val="en-US" w:eastAsia="en-US" w:bidi="en-US"/>
        </w:rPr>
        <w:t>Storage Spaces</w:t>
      </w:r>
    </w:p>
    <w:p w14:paraId="6DB84714" w14:textId="77777777" w:rsidR="00D23E5F" w:rsidRDefault="00C80F81">
      <w:pPr>
        <w:pStyle w:val="Style22"/>
        <w:shd w:val="clear" w:color="auto" w:fill="auto"/>
        <w:spacing w:line="322" w:lineRule="auto"/>
      </w:pPr>
      <w:r>
        <w:t>Software musí umožňovat rychlou a podrobnou obnovu aplikačních objektů bez použití jakéhokoli agenta nainstalovaného uvnitř virtuálních počítačů</w:t>
      </w:r>
    </w:p>
    <w:p w14:paraId="6DB84715" w14:textId="77777777" w:rsidR="00D23E5F" w:rsidRDefault="00C80F81">
      <w:pPr>
        <w:pStyle w:val="Style22"/>
        <w:shd w:val="clear" w:color="auto" w:fill="auto"/>
      </w:pPr>
      <w:r>
        <w:rPr>
          <w:lang w:val="en-US" w:eastAsia="en-US" w:bidi="en-US"/>
        </w:rPr>
        <w:t xml:space="preserve">Software </w:t>
      </w:r>
      <w:r>
        <w:t xml:space="preserve">musí podporovat granulami obnovení libovolného objektu a všech atributů tohoto objektu včetně hesla, GPO, AD </w:t>
      </w:r>
      <w:r>
        <w:rPr>
          <w:lang w:val="en-US" w:eastAsia="en-US" w:bidi="en-US"/>
        </w:rPr>
        <w:t xml:space="preserve">configuration partition, </w:t>
      </w:r>
      <w:r>
        <w:t xml:space="preserve">AD integrovaných záznamů DNS, Microsoft </w:t>
      </w:r>
      <w:proofErr w:type="spellStart"/>
      <w:r>
        <w:t>System</w:t>
      </w:r>
      <w:proofErr w:type="spellEnd"/>
      <w:r>
        <w:t xml:space="preserve"> </w:t>
      </w:r>
      <w:r>
        <w:rPr>
          <w:lang w:val="en-US" w:eastAsia="en-US" w:bidi="en-US"/>
        </w:rPr>
        <w:t xml:space="preserve">Objects, </w:t>
      </w:r>
      <w:r>
        <w:t xml:space="preserve">informací o certifikátu CA a AD </w:t>
      </w:r>
      <w:r>
        <w:rPr>
          <w:lang w:val="en-US" w:eastAsia="en-US" w:bidi="en-US"/>
        </w:rPr>
        <w:t>Sites subnet</w:t>
      </w:r>
    </w:p>
    <w:p w14:paraId="6DB84716" w14:textId="77777777" w:rsidR="00D23E5F" w:rsidRDefault="00C80F81">
      <w:pPr>
        <w:pStyle w:val="Style22"/>
        <w:shd w:val="clear" w:color="auto" w:fill="auto"/>
        <w:spacing w:line="314" w:lineRule="auto"/>
      </w:pPr>
      <w:r>
        <w:t xml:space="preserve">Software musí podporovat Microsoft </w:t>
      </w:r>
      <w:r>
        <w:rPr>
          <w:lang w:val="en-US" w:eastAsia="en-US" w:bidi="en-US"/>
        </w:rPr>
        <w:t xml:space="preserve">Exchange </w:t>
      </w:r>
      <w:r>
        <w:t xml:space="preserve">2010 a novější, granulární obnovení jakéhokoli objektu včetně objektů ve složce </w:t>
      </w:r>
      <w:r>
        <w:rPr>
          <w:lang w:val="en-US" w:eastAsia="en-US" w:bidi="en-US"/>
        </w:rPr>
        <w:t>„Permanently deleted objects"</w:t>
      </w:r>
    </w:p>
    <w:p w14:paraId="6DB84717" w14:textId="77777777" w:rsidR="00D23E5F" w:rsidRDefault="00C80F81">
      <w:pPr>
        <w:pStyle w:val="Style22"/>
        <w:shd w:val="clear" w:color="auto" w:fill="auto"/>
        <w:spacing w:line="314" w:lineRule="auto"/>
      </w:pPr>
      <w:r>
        <w:t>Software musí podporovat granulární obnovení Microsoft SQL 2005 a novějších, včetně databázi s možností obnovení v čase (PÍT), obnovy na úrovni tabulky, schéma</w:t>
      </w:r>
    </w:p>
    <w:p w14:paraId="6DB84718" w14:textId="77777777" w:rsidR="00D23E5F" w:rsidRDefault="00C80F81">
      <w:pPr>
        <w:pStyle w:val="Style22"/>
        <w:shd w:val="clear" w:color="auto" w:fill="auto"/>
        <w:spacing w:line="314" w:lineRule="auto"/>
      </w:pPr>
      <w:r>
        <w:t xml:space="preserve">Software musí podporovat podrobné obnovení Microsoft </w:t>
      </w:r>
      <w:proofErr w:type="spellStart"/>
      <w:r>
        <w:rPr>
          <w:lang w:val="en-US" w:eastAsia="en-US" w:bidi="en-US"/>
        </w:rPr>
        <w:t>Sharepoint</w:t>
      </w:r>
      <w:proofErr w:type="spellEnd"/>
      <w:r>
        <w:rPr>
          <w:lang w:val="en-US" w:eastAsia="en-US" w:bidi="en-US"/>
        </w:rPr>
        <w:t xml:space="preserve"> </w:t>
      </w:r>
      <w:r>
        <w:t>Server 2010 a novějších. Možnost obnovit položky, weby, oprávnění</w:t>
      </w:r>
    </w:p>
    <w:p w14:paraId="6DB84719" w14:textId="77777777" w:rsidR="00D23E5F" w:rsidRDefault="00C80F81">
      <w:pPr>
        <w:pStyle w:val="Style22"/>
        <w:shd w:val="clear" w:color="auto" w:fill="auto"/>
        <w:spacing w:line="314" w:lineRule="auto"/>
      </w:pPr>
      <w:r>
        <w:t xml:space="preserve">Software musí podporovat granulární obnovu databází Oracle s obnovou v čase (PÍT) a podporou Oracle </w:t>
      </w:r>
      <w:proofErr w:type="spellStart"/>
      <w:r>
        <w:t>DataGuard</w:t>
      </w:r>
      <w:proofErr w:type="spellEnd"/>
      <w:r>
        <w:t>. Toto musí být nabídnuto pro databáze spuštěné v operačních systémech Windows a Linux</w:t>
      </w:r>
    </w:p>
    <w:p w14:paraId="6DB8471A" w14:textId="77777777" w:rsidR="00D23E5F" w:rsidRDefault="00C80F81">
      <w:pPr>
        <w:pStyle w:val="Style22"/>
        <w:shd w:val="clear" w:color="auto" w:fill="auto"/>
        <w:spacing w:line="319" w:lineRule="auto"/>
      </w:pPr>
      <w:r>
        <w:t>Software musí umožňovat publikování MS SQL a Oracle DB přímo ze záložního souboru na spuštěný databázový server</w:t>
      </w:r>
    </w:p>
    <w:p w14:paraId="6DB8471B" w14:textId="77777777" w:rsidR="00D23E5F" w:rsidRDefault="00C80F81">
      <w:pPr>
        <w:pStyle w:val="Style22"/>
        <w:shd w:val="clear" w:color="auto" w:fill="auto"/>
        <w:spacing w:line="319" w:lineRule="auto"/>
      </w:pPr>
      <w:r>
        <w:t>Software musí umožňovat integraci nativního pluginu pro zálohování Oracle RMAN</w:t>
      </w:r>
    </w:p>
    <w:p w14:paraId="6DB8471C" w14:textId="77777777" w:rsidR="00D23E5F" w:rsidRDefault="00C80F81">
      <w:pPr>
        <w:pStyle w:val="Style22"/>
        <w:shd w:val="clear" w:color="auto" w:fill="auto"/>
        <w:spacing w:line="319" w:lineRule="auto"/>
      </w:pPr>
      <w:r>
        <w:t xml:space="preserve">Software musí umožňovat „reverzní CBT" a obnovu pomocí </w:t>
      </w:r>
      <w:r>
        <w:rPr>
          <w:lang w:val="en-US" w:eastAsia="en-US" w:bidi="en-US"/>
        </w:rPr>
        <w:t>Direct SAN</w:t>
      </w:r>
    </w:p>
    <w:p w14:paraId="6DB8471D" w14:textId="77777777" w:rsidR="00D23E5F" w:rsidRDefault="00C80F81">
      <w:pPr>
        <w:pStyle w:val="Style22"/>
        <w:shd w:val="clear" w:color="auto" w:fill="auto"/>
        <w:spacing w:line="322" w:lineRule="auto"/>
      </w:pPr>
      <w:r>
        <w:lastRenderedPageBreak/>
        <w:t xml:space="preserve">Software musí umožňovat vytváření virtuální laboratoře (izolovaného prostředí) pro infrastrukturu </w:t>
      </w:r>
      <w:r>
        <w:rPr>
          <w:lang w:val="en-US" w:eastAsia="en-US" w:bidi="en-US"/>
        </w:rPr>
        <w:t xml:space="preserve">VMware </w:t>
      </w:r>
      <w:r>
        <w:t>pomocí VM spuštěných přímo ze záložních souborů. Musí nabídnout vytvoření takového prostředí přímo ze snímků úložiště vytvořených na podporovaných zařízeních</w:t>
      </w:r>
    </w:p>
    <w:p w14:paraId="6DB8471E" w14:textId="77777777" w:rsidR="00D23E5F" w:rsidRDefault="00C80F81">
      <w:pPr>
        <w:pStyle w:val="Style22"/>
        <w:shd w:val="clear" w:color="auto" w:fill="auto"/>
        <w:spacing w:line="322" w:lineRule="auto"/>
      </w:pPr>
      <w:r>
        <w:t xml:space="preserve">Software musí mít mechanismy ověřování obnovení zálohy umožňující testování obnovy virtuálních počítačů v izolovaném síťovém prostředí na infrastruktuře </w:t>
      </w:r>
      <w:r>
        <w:rPr>
          <w:lang w:val="en-US" w:eastAsia="en-US" w:bidi="en-US"/>
        </w:rPr>
        <w:t xml:space="preserve">VMware. </w:t>
      </w:r>
      <w:r>
        <w:t xml:space="preserve">Ověření musí umožňovat testování aplikace uvnitř VM pomoci vlastních nebo předdefinovaných skriptů. Ověření musí být </w:t>
      </w:r>
      <w:proofErr w:type="spellStart"/>
      <w:r>
        <w:t>naplánovatelné</w:t>
      </w:r>
      <w:proofErr w:type="spellEnd"/>
      <w:r>
        <w:t xml:space="preserve"> a zcela automatizované</w:t>
      </w:r>
    </w:p>
    <w:p w14:paraId="6DB8471F" w14:textId="77777777" w:rsidR="00D23E5F" w:rsidRDefault="00C80F81">
      <w:pPr>
        <w:pStyle w:val="Style22"/>
        <w:shd w:val="clear" w:color="auto" w:fill="auto"/>
        <w:spacing w:line="319" w:lineRule="auto"/>
      </w:pPr>
      <w:r>
        <w:t xml:space="preserve">Software musí mít podobné mechanismy pro testováni replik VM v </w:t>
      </w:r>
      <w:r>
        <w:t xml:space="preserve">prostředí </w:t>
      </w:r>
      <w:proofErr w:type="spellStart"/>
      <w:r>
        <w:t>vSphere</w:t>
      </w:r>
      <w:proofErr w:type="spellEnd"/>
    </w:p>
    <w:p w14:paraId="6DB84720" w14:textId="77777777" w:rsidR="00D23E5F" w:rsidRDefault="00C80F81">
      <w:pPr>
        <w:pStyle w:val="Style22"/>
        <w:shd w:val="clear" w:color="auto" w:fill="auto"/>
        <w:spacing w:line="322" w:lineRule="auto"/>
      </w:pPr>
      <w:r>
        <w:t xml:space="preserve">Software musí být před obnovením produkčních prostředí integrován s antivirovým softwarem, aby bylo možné skenovat zálohu na úrovni </w:t>
      </w:r>
      <w:r>
        <w:rPr>
          <w:lang w:val="en-US" w:eastAsia="en-US" w:bidi="en-US"/>
        </w:rPr>
        <w:t xml:space="preserve">image </w:t>
      </w:r>
      <w:r>
        <w:t xml:space="preserve">disků. Skenováni musí být provedeno na souborovém systému v záložním souboru, aniž by bylo nutné předem extrahovat data. Integrace musí zahrnovat alespoň Windows </w:t>
      </w:r>
      <w:r>
        <w:rPr>
          <w:lang w:val="en-US" w:eastAsia="en-US" w:bidi="en-US"/>
        </w:rPr>
        <w:t xml:space="preserve">Defender, </w:t>
      </w:r>
      <w:r>
        <w:t xml:space="preserve">Symantec </w:t>
      </w:r>
      <w:r>
        <w:rPr>
          <w:lang w:val="en-US" w:eastAsia="en-US" w:bidi="en-US"/>
        </w:rPr>
        <w:t xml:space="preserve">Protection </w:t>
      </w:r>
      <w:proofErr w:type="spellStart"/>
      <w:r>
        <w:t>Engine</w:t>
      </w:r>
      <w:proofErr w:type="spellEnd"/>
      <w:r>
        <w:t xml:space="preserve"> a ESET NOD32, </w:t>
      </w:r>
      <w:r>
        <w:rPr>
          <w:lang w:val="en-US" w:eastAsia="en-US" w:bidi="en-US"/>
        </w:rPr>
        <w:t xml:space="preserve">Kaspersky </w:t>
      </w:r>
      <w:r>
        <w:t>AV.</w:t>
      </w:r>
    </w:p>
    <w:p w14:paraId="6DB84721" w14:textId="77777777" w:rsidR="00D23E5F" w:rsidRDefault="00C80F81">
      <w:pPr>
        <w:pStyle w:val="Style22"/>
        <w:shd w:val="clear" w:color="auto" w:fill="auto"/>
        <w:spacing w:line="314" w:lineRule="auto"/>
      </w:pPr>
      <w:r>
        <w:t>Software musí umožňovat automatizovanou dvoustupňovou obnovu virtuálních strojů, což umožňuje vložení vlastních skriptů za účelem změny dat před obnovením do produkčního prostředí.</w:t>
      </w:r>
    </w:p>
    <w:p w14:paraId="6DB84722" w14:textId="77777777" w:rsidR="00D23E5F" w:rsidRDefault="00C80F81">
      <w:pPr>
        <w:pStyle w:val="Style22"/>
        <w:shd w:val="clear" w:color="auto" w:fill="auto"/>
        <w:spacing w:line="329" w:lineRule="auto"/>
      </w:pPr>
      <w:r>
        <w:t>Součástí dodávky řešení je Instalace OS. Instalace, konfigurace a napojení zálohovacího systému na stávající virtualizaci. Školení pro práci se zálohovacím řešením.</w:t>
      </w:r>
    </w:p>
    <w:sectPr w:rsidR="00D23E5F">
      <w:pgSz w:w="11938" w:h="16858"/>
      <w:pgMar w:top="1762" w:right="1700" w:bottom="1466" w:left="1410" w:header="1334" w:footer="103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4727" w14:textId="77777777" w:rsidR="00C80F81" w:rsidRDefault="00C80F81">
      <w:r>
        <w:separator/>
      </w:r>
    </w:p>
  </w:endnote>
  <w:endnote w:type="continuationSeparator" w:id="0">
    <w:p w14:paraId="6DB84729" w14:textId="77777777" w:rsidR="00C80F81" w:rsidRDefault="00C8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4723" w14:textId="77777777" w:rsidR="00D23E5F" w:rsidRDefault="00D23E5F"/>
  </w:footnote>
  <w:footnote w:type="continuationSeparator" w:id="0">
    <w:p w14:paraId="6DB84724" w14:textId="77777777" w:rsidR="00D23E5F" w:rsidRDefault="00D23E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AC3"/>
    <w:multiLevelType w:val="multilevel"/>
    <w:tmpl w:val="FEB889E0"/>
    <w:lvl w:ilvl="0">
      <w:start w:val="4"/>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B59A6"/>
    <w:multiLevelType w:val="multilevel"/>
    <w:tmpl w:val="04C41CE8"/>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22866"/>
    <w:multiLevelType w:val="multilevel"/>
    <w:tmpl w:val="F0A44E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D43FC"/>
    <w:multiLevelType w:val="multilevel"/>
    <w:tmpl w:val="AAAC0A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522602"/>
    <w:multiLevelType w:val="multilevel"/>
    <w:tmpl w:val="85D0127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1C5483"/>
    <w:multiLevelType w:val="multilevel"/>
    <w:tmpl w:val="FCB0A2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095D84"/>
    <w:multiLevelType w:val="multilevel"/>
    <w:tmpl w:val="A9C217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5B611B"/>
    <w:multiLevelType w:val="multilevel"/>
    <w:tmpl w:val="1A3490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772D3F"/>
    <w:multiLevelType w:val="multilevel"/>
    <w:tmpl w:val="ED987F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631423"/>
    <w:multiLevelType w:val="multilevel"/>
    <w:tmpl w:val="5A946286"/>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8F0BFD"/>
    <w:multiLevelType w:val="multilevel"/>
    <w:tmpl w:val="37FAF3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8F3C87"/>
    <w:multiLevelType w:val="multilevel"/>
    <w:tmpl w:val="762CD5F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E24367"/>
    <w:multiLevelType w:val="multilevel"/>
    <w:tmpl w:val="0B7E628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D930C0"/>
    <w:multiLevelType w:val="multilevel"/>
    <w:tmpl w:val="E8EC27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8053630">
    <w:abstractNumId w:val="9"/>
  </w:num>
  <w:num w:numId="2" w16cid:durableId="1166282103">
    <w:abstractNumId w:val="2"/>
  </w:num>
  <w:num w:numId="3" w16cid:durableId="100296179">
    <w:abstractNumId w:val="5"/>
  </w:num>
  <w:num w:numId="4" w16cid:durableId="1954743579">
    <w:abstractNumId w:val="3"/>
  </w:num>
  <w:num w:numId="5" w16cid:durableId="391734136">
    <w:abstractNumId w:val="8"/>
  </w:num>
  <w:num w:numId="6" w16cid:durableId="1681732513">
    <w:abstractNumId w:val="6"/>
  </w:num>
  <w:num w:numId="7" w16cid:durableId="933896793">
    <w:abstractNumId w:val="7"/>
  </w:num>
  <w:num w:numId="8" w16cid:durableId="945422925">
    <w:abstractNumId w:val="0"/>
  </w:num>
  <w:num w:numId="9" w16cid:durableId="611329037">
    <w:abstractNumId w:val="13"/>
  </w:num>
  <w:num w:numId="10" w16cid:durableId="549070489">
    <w:abstractNumId w:val="10"/>
  </w:num>
  <w:num w:numId="11" w16cid:durableId="1662468662">
    <w:abstractNumId w:val="4"/>
  </w:num>
  <w:num w:numId="12" w16cid:durableId="1088842876">
    <w:abstractNumId w:val="12"/>
  </w:num>
  <w:num w:numId="13" w16cid:durableId="772480697">
    <w:abstractNumId w:val="11"/>
  </w:num>
  <w:num w:numId="14" w16cid:durableId="397560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5F"/>
    <w:rsid w:val="00576403"/>
    <w:rsid w:val="00B94FAB"/>
    <w:rsid w:val="00C80F81"/>
    <w:rsid w:val="00D23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460E"/>
  <w15:docId w15:val="{A29C78A1-B4DB-4948-8632-798711B8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18"/>
      <w:szCs w:val="18"/>
      <w:u w:val="none"/>
      <w:lang w:val="en-US" w:eastAsia="en-US" w:bidi="en-US"/>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18"/>
      <w:szCs w:val="18"/>
      <w:u w:val="none"/>
    </w:rPr>
  </w:style>
  <w:style w:type="character" w:customStyle="1" w:styleId="CharStyle9">
    <w:name w:val="Char Style 9"/>
    <w:basedOn w:val="Standardnpsmoodstavce"/>
    <w:link w:val="Style8"/>
    <w:rPr>
      <w:rFonts w:ascii="Arial" w:eastAsia="Arial" w:hAnsi="Arial" w:cs="Arial"/>
      <w:b/>
      <w:bCs/>
      <w:i w:val="0"/>
      <w:iCs w:val="0"/>
      <w:smallCaps w:val="0"/>
      <w:strike w:val="0"/>
      <w:sz w:val="26"/>
      <w:szCs w:val="26"/>
      <w:u w:val="none"/>
    </w:rPr>
  </w:style>
  <w:style w:type="character" w:customStyle="1" w:styleId="CharStyle11">
    <w:name w:val="Char Style 11"/>
    <w:basedOn w:val="Standardnpsmoodstavce"/>
    <w:link w:val="Style10"/>
    <w:rPr>
      <w:rFonts w:ascii="Arial" w:eastAsia="Arial" w:hAnsi="Arial" w:cs="Arial"/>
      <w:b/>
      <w:bCs/>
      <w:i w:val="0"/>
      <w:iCs w:val="0"/>
      <w:smallCaps w:val="0"/>
      <w:strike w:val="0"/>
      <w:sz w:val="22"/>
      <w:szCs w:val="22"/>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15"/>
      <w:szCs w:val="15"/>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sz w:val="15"/>
      <w:szCs w:val="15"/>
      <w:u w:val="none"/>
    </w:rPr>
  </w:style>
  <w:style w:type="paragraph" w:customStyle="1" w:styleId="Style2">
    <w:name w:val="Style 2"/>
    <w:basedOn w:val="Normln"/>
    <w:link w:val="CharStyle3"/>
    <w:pPr>
      <w:shd w:val="clear" w:color="auto" w:fill="FFFFFF"/>
      <w:spacing w:after="170" w:line="326" w:lineRule="auto"/>
      <w:outlineLvl w:val="0"/>
    </w:pPr>
    <w:rPr>
      <w:rFonts w:ascii="Arial" w:eastAsia="Arial" w:hAnsi="Arial" w:cs="Arial"/>
      <w:b/>
      <w:bCs/>
      <w:sz w:val="18"/>
      <w:szCs w:val="18"/>
      <w:lang w:val="en-US" w:eastAsia="en-US" w:bidi="en-US"/>
    </w:rPr>
  </w:style>
  <w:style w:type="paragraph" w:customStyle="1" w:styleId="Style4">
    <w:name w:val="Style 4"/>
    <w:basedOn w:val="Normln"/>
    <w:link w:val="CharStyle5"/>
    <w:pPr>
      <w:shd w:val="clear" w:color="auto" w:fill="FFFFFF"/>
      <w:spacing w:line="346" w:lineRule="auto"/>
      <w:ind w:left="360" w:hanging="340"/>
    </w:pPr>
    <w:rPr>
      <w:rFonts w:ascii="Arial" w:eastAsia="Arial" w:hAnsi="Arial" w:cs="Arial"/>
      <w:sz w:val="18"/>
      <w:szCs w:val="18"/>
    </w:rPr>
  </w:style>
  <w:style w:type="paragraph" w:customStyle="1" w:styleId="Style8">
    <w:name w:val="Style 8"/>
    <w:basedOn w:val="Normln"/>
    <w:link w:val="CharStyle9"/>
    <w:pPr>
      <w:shd w:val="clear" w:color="auto" w:fill="FFFFFF"/>
      <w:spacing w:after="140"/>
      <w:jc w:val="center"/>
    </w:pPr>
    <w:rPr>
      <w:rFonts w:ascii="Arial" w:eastAsia="Arial" w:hAnsi="Arial" w:cs="Arial"/>
      <w:b/>
      <w:bCs/>
      <w:sz w:val="26"/>
      <w:szCs w:val="26"/>
    </w:rPr>
  </w:style>
  <w:style w:type="paragraph" w:customStyle="1" w:styleId="Style10">
    <w:name w:val="Style 10"/>
    <w:basedOn w:val="Normln"/>
    <w:link w:val="CharStyle11"/>
    <w:pPr>
      <w:shd w:val="clear" w:color="auto" w:fill="FFFFFF"/>
      <w:spacing w:after="260"/>
      <w:jc w:val="center"/>
    </w:pPr>
    <w:rPr>
      <w:rFonts w:ascii="Arial" w:eastAsia="Arial" w:hAnsi="Arial" w:cs="Arial"/>
      <w:b/>
      <w:bCs/>
      <w:sz w:val="22"/>
      <w:szCs w:val="22"/>
    </w:rPr>
  </w:style>
  <w:style w:type="paragraph" w:customStyle="1" w:styleId="Style12">
    <w:name w:val="Style 12"/>
    <w:basedOn w:val="Normln"/>
    <w:link w:val="CharStyle13"/>
    <w:pPr>
      <w:shd w:val="clear" w:color="auto" w:fill="FFFFFF"/>
      <w:spacing w:after="140" w:line="317" w:lineRule="auto"/>
    </w:pPr>
    <w:rPr>
      <w:rFonts w:ascii="Arial" w:eastAsia="Arial" w:hAnsi="Arial" w:cs="Arial"/>
      <w:sz w:val="15"/>
      <w:szCs w:val="15"/>
    </w:rPr>
  </w:style>
  <w:style w:type="paragraph" w:customStyle="1" w:styleId="Style22">
    <w:name w:val="Style 22"/>
    <w:basedOn w:val="Normln"/>
    <w:link w:val="CharStyle23"/>
    <w:pPr>
      <w:shd w:val="clear" w:color="auto" w:fill="FFFFFF"/>
      <w:spacing w:after="140" w:line="317"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13" ma:contentTypeDescription="Vytvoří nový dokument" ma:contentTypeScope="" ma:versionID="da10373ea007b96f0c0168e89ed2251f">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e351051de314f5cd0ee1877490a9330a"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EABF2-EB9D-4132-B97C-65C251604E78}">
  <ds:schemaRefs>
    <ds:schemaRef ds:uri="http://schemas.microsoft.com/sharepoint/v3/contenttype/forms"/>
  </ds:schemaRefs>
</ds:datastoreItem>
</file>

<file path=customXml/itemProps2.xml><?xml version="1.0" encoding="utf-8"?>
<ds:datastoreItem xmlns:ds="http://schemas.openxmlformats.org/officeDocument/2006/customXml" ds:itemID="{335ABFAC-DF22-41C1-904A-27BA0631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313e-b948-4ff7-93a2-5ad4759a4f80"/>
    <ds:schemaRef ds:uri="4faf8b71-de24-42c7-b387-73ed9a50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3506</Words>
  <Characters>20687</Characters>
  <Application>Microsoft Office Word</Application>
  <DocSecurity>0</DocSecurity>
  <Lines>172</Lines>
  <Paragraphs>48</Paragraphs>
  <ScaleCrop>false</ScaleCrop>
  <Company>Národní muzeum</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Tousson Jolana</dc:creator>
  <cp:lastModifiedBy>Tousson Jolana</cp:lastModifiedBy>
  <cp:revision>4</cp:revision>
  <dcterms:created xsi:type="dcterms:W3CDTF">2023-09-05T12:40:00Z</dcterms:created>
  <dcterms:modified xsi:type="dcterms:W3CDTF">2023-09-05T12:42:00Z</dcterms:modified>
</cp:coreProperties>
</file>