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2686" w14:textId="77777777"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2B5C868F" w:rsidR="002E003F" w:rsidRDefault="0081069A" w:rsidP="002E003F">
      <w:pPr>
        <w:jc w:val="center"/>
        <w:rPr>
          <w:sz w:val="22"/>
          <w:szCs w:val="22"/>
        </w:rPr>
      </w:pPr>
      <w:r w:rsidRPr="00FA4938">
        <w:rPr>
          <w:sz w:val="22"/>
          <w:szCs w:val="22"/>
        </w:rPr>
        <w:t xml:space="preserve">číslo smlouvy </w:t>
      </w:r>
      <w:r w:rsidR="00460313" w:rsidRPr="00460313">
        <w:rPr>
          <w:sz w:val="22"/>
          <w:szCs w:val="22"/>
        </w:rPr>
        <w:t>D/</w:t>
      </w:r>
      <w:r w:rsidR="004E4DC8">
        <w:rPr>
          <w:sz w:val="22"/>
          <w:szCs w:val="22"/>
        </w:rPr>
        <w:t>2023</w:t>
      </w:r>
      <w:bookmarkStart w:id="0" w:name="_GoBack"/>
      <w:bookmarkEnd w:id="0"/>
      <w:r w:rsidR="008A2F65">
        <w:rPr>
          <w:sz w:val="22"/>
          <w:szCs w:val="22"/>
        </w:rPr>
        <w:t>/</w:t>
      </w:r>
      <w:r w:rsidR="00BD5960">
        <w:rPr>
          <w:sz w:val="22"/>
          <w:szCs w:val="22"/>
        </w:rPr>
        <w:t>11</w:t>
      </w:r>
      <w:r w:rsidR="00045D93">
        <w:rPr>
          <w:sz w:val="22"/>
          <w:szCs w:val="22"/>
        </w:rPr>
        <w:t>3</w:t>
      </w:r>
      <w:r w:rsidR="008A2F65">
        <w:rPr>
          <w:sz w:val="22"/>
          <w:szCs w:val="22"/>
        </w:rPr>
        <w:t>/</w:t>
      </w:r>
      <w:r w:rsidR="00045D93">
        <w:rPr>
          <w:sz w:val="22"/>
          <w:szCs w:val="22"/>
        </w:rPr>
        <w:t>1</w:t>
      </w:r>
      <w:r w:rsidR="00BD5960">
        <w:rPr>
          <w:sz w:val="22"/>
          <w:szCs w:val="22"/>
        </w:rPr>
        <w:t>4</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proofErr w:type="gramStart"/>
      <w:r>
        <w:rPr>
          <w:sz w:val="24"/>
          <w:szCs w:val="24"/>
        </w:rPr>
        <w:t>č.ú</w:t>
      </w:r>
      <w:proofErr w:type="spellEnd"/>
      <w:r>
        <w:rPr>
          <w:sz w:val="24"/>
          <w:szCs w:val="24"/>
        </w:rPr>
        <w:t xml:space="preserve">. </w:t>
      </w:r>
      <w:r w:rsidRPr="007D58CA">
        <w:rPr>
          <w:sz w:val="24"/>
          <w:szCs w:val="24"/>
        </w:rPr>
        <w:t>1845359319/0800</w:t>
      </w:r>
      <w:proofErr w:type="gramEnd"/>
    </w:p>
    <w:p w14:paraId="278C37C8" w14:textId="3FFE66E2"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311962">
        <w:rPr>
          <w:sz w:val="24"/>
          <w:szCs w:val="24"/>
        </w:rPr>
        <w:t>cechova</w:t>
      </w:r>
      <w:r w:rsidRPr="00F13904">
        <w:rPr>
          <w:sz w:val="24"/>
          <w:szCs w:val="24"/>
        </w:rPr>
        <w:t>@mikskrnov.cz</w:t>
      </w:r>
    </w:p>
    <w:p w14:paraId="4944CA7F" w14:textId="20D8922E" w:rsidR="00F13904" w:rsidRPr="007D58CA" w:rsidRDefault="00F13904" w:rsidP="00F13904">
      <w:pPr>
        <w:rPr>
          <w:sz w:val="24"/>
          <w:szCs w:val="24"/>
        </w:rPr>
      </w:pPr>
      <w:r>
        <w:rPr>
          <w:sz w:val="24"/>
          <w:szCs w:val="24"/>
        </w:rPr>
        <w:t>zastoupen</w:t>
      </w:r>
      <w:r w:rsidR="00311962">
        <w:rPr>
          <w:sz w:val="24"/>
          <w:szCs w:val="24"/>
        </w:rPr>
        <w:t>o: Bc. Evou Čechovou, zástupcem statutárního orgánu MIKS Krnov</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0D393EFF" w14:textId="7E31B60A" w:rsidR="005852DF" w:rsidRPr="00BB7343" w:rsidRDefault="007D58CA" w:rsidP="00CF375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10082E6F" w14:textId="77777777" w:rsidR="00BB7343" w:rsidRPr="00BB7343" w:rsidRDefault="00BB7343" w:rsidP="00BB7343">
      <w:pPr>
        <w:tabs>
          <w:tab w:val="left" w:pos="4710"/>
        </w:tabs>
        <w:rPr>
          <w:b/>
          <w:iCs/>
          <w:sz w:val="24"/>
          <w:szCs w:val="24"/>
        </w:rPr>
      </w:pPr>
      <w:proofErr w:type="spellStart"/>
      <w:r w:rsidRPr="00BB7343">
        <w:rPr>
          <w:b/>
          <w:iCs/>
          <w:sz w:val="24"/>
          <w:szCs w:val="24"/>
        </w:rPr>
        <w:t>Flašar</w:t>
      </w:r>
      <w:proofErr w:type="spellEnd"/>
      <w:r w:rsidRPr="00BB7343">
        <w:rPr>
          <w:b/>
          <w:iCs/>
          <w:sz w:val="24"/>
          <w:szCs w:val="24"/>
        </w:rPr>
        <w:t xml:space="preserve"> Daniel</w:t>
      </w:r>
    </w:p>
    <w:p w14:paraId="2CD9BF42" w14:textId="6E3F5E0E" w:rsidR="00BB7343" w:rsidRPr="00BB7343" w:rsidRDefault="00BB7343" w:rsidP="00BB7343">
      <w:pPr>
        <w:tabs>
          <w:tab w:val="left" w:pos="4710"/>
        </w:tabs>
        <w:rPr>
          <w:bCs/>
          <w:iCs/>
          <w:sz w:val="24"/>
          <w:szCs w:val="24"/>
        </w:rPr>
      </w:pPr>
      <w:r w:rsidRPr="00BB7343">
        <w:rPr>
          <w:bCs/>
          <w:iCs/>
          <w:sz w:val="24"/>
          <w:szCs w:val="24"/>
        </w:rPr>
        <w:t>IČO : 07471441</w:t>
      </w:r>
    </w:p>
    <w:p w14:paraId="3287B93D" w14:textId="0400C52F" w:rsidR="00BB7343" w:rsidRPr="00BB7343" w:rsidRDefault="00407D43" w:rsidP="00BB7343">
      <w:pPr>
        <w:tabs>
          <w:tab w:val="left" w:pos="4710"/>
        </w:tabs>
        <w:rPr>
          <w:bCs/>
          <w:iCs/>
          <w:sz w:val="24"/>
          <w:szCs w:val="24"/>
        </w:rPr>
      </w:pPr>
      <w:r>
        <w:rPr>
          <w:bCs/>
          <w:iCs/>
          <w:sz w:val="24"/>
          <w:szCs w:val="24"/>
        </w:rPr>
        <w:t>Neklanova 6/</w:t>
      </w:r>
      <w:r w:rsidR="00BB7343" w:rsidRPr="00BB7343">
        <w:rPr>
          <w:bCs/>
          <w:iCs/>
          <w:sz w:val="24"/>
          <w:szCs w:val="24"/>
        </w:rPr>
        <w:t>537</w:t>
      </w:r>
    </w:p>
    <w:p w14:paraId="6390D72D" w14:textId="2C995446" w:rsidR="00BB7343" w:rsidRPr="00BB7343" w:rsidRDefault="00BB7343" w:rsidP="00BB7343">
      <w:pPr>
        <w:tabs>
          <w:tab w:val="left" w:pos="4710"/>
        </w:tabs>
        <w:rPr>
          <w:bCs/>
          <w:iCs/>
          <w:sz w:val="24"/>
          <w:szCs w:val="24"/>
        </w:rPr>
      </w:pPr>
      <w:r w:rsidRPr="00BB7343">
        <w:rPr>
          <w:bCs/>
          <w:iCs/>
          <w:sz w:val="24"/>
          <w:szCs w:val="24"/>
        </w:rPr>
        <w:t>70030 Ostrava – Zábřeh</w:t>
      </w:r>
    </w:p>
    <w:p w14:paraId="5EF98150" w14:textId="1C688831" w:rsidR="00BB7343" w:rsidRPr="00BB7343" w:rsidRDefault="00BB7343" w:rsidP="00BB7343">
      <w:pPr>
        <w:tabs>
          <w:tab w:val="left" w:pos="4710"/>
        </w:tabs>
        <w:rPr>
          <w:bCs/>
          <w:iCs/>
          <w:sz w:val="24"/>
          <w:szCs w:val="24"/>
        </w:rPr>
      </w:pPr>
      <w:r w:rsidRPr="00BB7343">
        <w:rPr>
          <w:bCs/>
          <w:iCs/>
          <w:sz w:val="24"/>
          <w:szCs w:val="24"/>
        </w:rPr>
        <w:t xml:space="preserve">Zastoupeno: Danielem </w:t>
      </w:r>
      <w:proofErr w:type="spellStart"/>
      <w:r w:rsidRPr="00BB7343">
        <w:rPr>
          <w:bCs/>
          <w:iCs/>
          <w:sz w:val="24"/>
          <w:szCs w:val="24"/>
        </w:rPr>
        <w:t>Flašarem</w:t>
      </w:r>
      <w:proofErr w:type="spellEnd"/>
    </w:p>
    <w:p w14:paraId="388B1547" w14:textId="48762AB1" w:rsidR="00BB7343" w:rsidRPr="00BB7343" w:rsidRDefault="00407D43" w:rsidP="00BB7343">
      <w:pPr>
        <w:tabs>
          <w:tab w:val="left" w:pos="4710"/>
        </w:tabs>
        <w:rPr>
          <w:bCs/>
          <w:iCs/>
          <w:sz w:val="24"/>
          <w:szCs w:val="24"/>
        </w:rPr>
      </w:pPr>
      <w:r>
        <w:rPr>
          <w:bCs/>
          <w:iCs/>
          <w:sz w:val="24"/>
          <w:szCs w:val="24"/>
        </w:rPr>
        <w:t>číslo účtu</w:t>
      </w:r>
      <w:r w:rsidR="00BB7343" w:rsidRPr="00BB7343">
        <w:rPr>
          <w:bCs/>
          <w:iCs/>
          <w:sz w:val="24"/>
          <w:szCs w:val="24"/>
        </w:rPr>
        <w:t>: 7249178332/5500</w:t>
      </w:r>
    </w:p>
    <w:p w14:paraId="22647DCA" w14:textId="77777777" w:rsidR="00BB7343" w:rsidRPr="0081069A" w:rsidRDefault="00BB7343" w:rsidP="00CF375A">
      <w:pPr>
        <w:rPr>
          <w:sz w:val="24"/>
          <w:szCs w:val="24"/>
        </w:rPr>
      </w:pP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011D2C72" w:rsid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BD5960">
        <w:rPr>
          <w:b/>
          <w:sz w:val="24"/>
          <w:szCs w:val="24"/>
        </w:rPr>
        <w:t>Technické zajištění na festivalu „Krnovské hudební slavnosti“</w:t>
      </w:r>
      <w:r w:rsidR="000D10F6">
        <w:rPr>
          <w:b/>
          <w:sz w:val="24"/>
          <w:szCs w:val="24"/>
        </w:rPr>
        <w:t xml:space="preserve"> </w:t>
      </w:r>
      <w:r w:rsidR="005C6934" w:rsidRPr="008B5846">
        <w:rPr>
          <w:sz w:val="24"/>
          <w:szCs w:val="24"/>
        </w:rPr>
        <w:t>(dále jen „</w:t>
      </w:r>
      <w:r w:rsidR="005C6934" w:rsidRPr="00E53E49">
        <w:rPr>
          <w:b/>
          <w:sz w:val="24"/>
          <w:szCs w:val="24"/>
        </w:rPr>
        <w:t>dílo</w:t>
      </w:r>
      <w:r w:rsidR="005C6934" w:rsidRPr="008B5846">
        <w:rPr>
          <w:sz w:val="24"/>
          <w:szCs w:val="24"/>
        </w:rPr>
        <w:t>“)</w:t>
      </w:r>
      <w:r w:rsidR="00DF34BB" w:rsidRPr="008B5846">
        <w:rPr>
          <w:sz w:val="24"/>
          <w:szCs w:val="24"/>
        </w:rPr>
        <w:t xml:space="preserve">, </w:t>
      </w:r>
      <w:r w:rsidR="006963B4">
        <w:rPr>
          <w:sz w:val="24"/>
          <w:szCs w:val="24"/>
        </w:rPr>
        <w:t>Předmětem díla je:</w:t>
      </w:r>
    </w:p>
    <w:p w14:paraId="47A1F909" w14:textId="77777777" w:rsidR="00E53E49" w:rsidRPr="008B5846" w:rsidRDefault="00E53E49" w:rsidP="00E53E49">
      <w:pPr>
        <w:suppressAutoHyphens/>
        <w:ind w:left="361"/>
        <w:jc w:val="both"/>
        <w:rPr>
          <w:sz w:val="24"/>
          <w:szCs w:val="24"/>
        </w:rPr>
      </w:pPr>
    </w:p>
    <w:p w14:paraId="2376551D" w14:textId="049FE7AA" w:rsidR="00305FAB" w:rsidRDefault="006963B4" w:rsidP="00305FAB">
      <w:pPr>
        <w:pStyle w:val="Odstavecseseznamem"/>
        <w:numPr>
          <w:ilvl w:val="0"/>
          <w:numId w:val="30"/>
        </w:numPr>
        <w:suppressAutoHyphens/>
        <w:jc w:val="both"/>
        <w:rPr>
          <w:sz w:val="24"/>
          <w:szCs w:val="24"/>
        </w:rPr>
      </w:pPr>
      <w:r>
        <w:rPr>
          <w:sz w:val="24"/>
          <w:szCs w:val="24"/>
        </w:rPr>
        <w:t>M</w:t>
      </w:r>
      <w:r w:rsidR="00BB7343">
        <w:rPr>
          <w:sz w:val="24"/>
          <w:szCs w:val="24"/>
        </w:rPr>
        <w:t xml:space="preserve">obilní oplocení </w:t>
      </w:r>
      <w:r>
        <w:rPr>
          <w:sz w:val="24"/>
          <w:szCs w:val="24"/>
        </w:rPr>
        <w:t xml:space="preserve"> </w:t>
      </w:r>
    </w:p>
    <w:p w14:paraId="5B81B241" w14:textId="7850AE20" w:rsidR="00864D46" w:rsidRPr="008B5846" w:rsidRDefault="006963B4" w:rsidP="00305FAB">
      <w:pPr>
        <w:pStyle w:val="Odstavecseseznamem"/>
        <w:numPr>
          <w:ilvl w:val="0"/>
          <w:numId w:val="30"/>
        </w:numPr>
        <w:suppressAutoHyphens/>
        <w:jc w:val="both"/>
        <w:rPr>
          <w:sz w:val="24"/>
          <w:szCs w:val="24"/>
        </w:rPr>
      </w:pPr>
      <w:r>
        <w:rPr>
          <w:sz w:val="24"/>
          <w:szCs w:val="24"/>
        </w:rPr>
        <w:t>M</w:t>
      </w:r>
      <w:r w:rsidR="00BB7343">
        <w:rPr>
          <w:sz w:val="24"/>
          <w:szCs w:val="24"/>
        </w:rPr>
        <w:t>obilní WC</w:t>
      </w:r>
      <w:r w:rsidR="00407D43">
        <w:rPr>
          <w:sz w:val="24"/>
          <w:szCs w:val="24"/>
        </w:rPr>
        <w:t xml:space="preserve"> (včetně dopravy)</w:t>
      </w:r>
    </w:p>
    <w:p w14:paraId="3A60B1E2" w14:textId="340C3841" w:rsidR="00045D93" w:rsidRDefault="008E2F5F" w:rsidP="00045D93">
      <w:pPr>
        <w:pStyle w:val="Odstavecseseznamem"/>
        <w:numPr>
          <w:ilvl w:val="0"/>
          <w:numId w:val="30"/>
        </w:numPr>
        <w:suppressAutoHyphens/>
        <w:jc w:val="both"/>
        <w:rPr>
          <w:sz w:val="24"/>
          <w:szCs w:val="24"/>
        </w:rPr>
      </w:pPr>
      <w:r>
        <w:rPr>
          <w:sz w:val="24"/>
          <w:szCs w:val="24"/>
        </w:rPr>
        <w:t>M</w:t>
      </w:r>
      <w:r w:rsidR="003D68A0">
        <w:rPr>
          <w:sz w:val="24"/>
          <w:szCs w:val="24"/>
        </w:rPr>
        <w:t>obilní zábrany</w:t>
      </w:r>
    </w:p>
    <w:p w14:paraId="16E1069E" w14:textId="1C78F3FA" w:rsidR="006963B4" w:rsidRDefault="006963B4" w:rsidP="00045D93">
      <w:pPr>
        <w:pStyle w:val="Odstavecseseznamem"/>
        <w:numPr>
          <w:ilvl w:val="0"/>
          <w:numId w:val="30"/>
        </w:numPr>
        <w:suppressAutoHyphens/>
        <w:jc w:val="both"/>
        <w:rPr>
          <w:sz w:val="24"/>
          <w:szCs w:val="24"/>
        </w:rPr>
      </w:pPr>
      <w:r>
        <w:rPr>
          <w:sz w:val="24"/>
          <w:szCs w:val="24"/>
        </w:rPr>
        <w:lastRenderedPageBreak/>
        <w:t>Montáž, demontáž, doprava</w:t>
      </w:r>
    </w:p>
    <w:p w14:paraId="66B0EB51" w14:textId="7EC23A82" w:rsidR="006963B4" w:rsidRDefault="006963B4" w:rsidP="00045D93">
      <w:pPr>
        <w:pStyle w:val="Odstavecseseznamem"/>
        <w:numPr>
          <w:ilvl w:val="0"/>
          <w:numId w:val="30"/>
        </w:numPr>
        <w:suppressAutoHyphens/>
        <w:jc w:val="both"/>
        <w:rPr>
          <w:sz w:val="24"/>
          <w:szCs w:val="24"/>
        </w:rPr>
      </w:pPr>
      <w:r>
        <w:rPr>
          <w:sz w:val="24"/>
          <w:szCs w:val="24"/>
        </w:rPr>
        <w:t>Koordinátor</w:t>
      </w:r>
    </w:p>
    <w:p w14:paraId="33FBFC14" w14:textId="77777777" w:rsidR="003D68A0" w:rsidRPr="00045D93" w:rsidRDefault="003D68A0" w:rsidP="00720389">
      <w:pPr>
        <w:pStyle w:val="Odstavecseseznamem"/>
        <w:suppressAutoHyphens/>
        <w:ind w:left="721"/>
        <w:jc w:val="both"/>
        <w:rPr>
          <w:sz w:val="24"/>
          <w:szCs w:val="24"/>
        </w:rPr>
      </w:pPr>
    </w:p>
    <w:p w14:paraId="7F593355" w14:textId="71B34104" w:rsidR="00AE11EF" w:rsidRDefault="008B5846" w:rsidP="00FA574B">
      <w:pPr>
        <w:suppressAutoHyphens/>
        <w:jc w:val="both"/>
        <w:rPr>
          <w:sz w:val="24"/>
          <w:szCs w:val="24"/>
        </w:rPr>
      </w:pPr>
      <w:r w:rsidRPr="00305FAB">
        <w:rPr>
          <w:sz w:val="24"/>
          <w:szCs w:val="24"/>
        </w:rPr>
        <w:t xml:space="preserve">Bližší specifikace </w:t>
      </w:r>
      <w:r w:rsidR="00E53E49" w:rsidRPr="00305FAB">
        <w:rPr>
          <w:sz w:val="24"/>
          <w:szCs w:val="24"/>
        </w:rPr>
        <w:t xml:space="preserve">díla smlouvy </w:t>
      </w:r>
      <w:r w:rsidR="00AE11EF" w:rsidRPr="00305FAB">
        <w:rPr>
          <w:sz w:val="24"/>
          <w:szCs w:val="24"/>
        </w:rPr>
        <w:t>je uvedena v cenové nabídce</w:t>
      </w:r>
      <w:r w:rsidR="00FA574B" w:rsidRPr="00305FAB">
        <w:rPr>
          <w:sz w:val="24"/>
          <w:szCs w:val="24"/>
        </w:rPr>
        <w:t xml:space="preserve"> zhotovitele</w:t>
      </w:r>
      <w:r w:rsidR="00E53E49" w:rsidRPr="00305FAB">
        <w:rPr>
          <w:sz w:val="24"/>
          <w:szCs w:val="24"/>
        </w:rPr>
        <w:t>, která je přílohou</w:t>
      </w:r>
      <w:r w:rsidR="0012539F">
        <w:rPr>
          <w:sz w:val="24"/>
          <w:szCs w:val="24"/>
        </w:rPr>
        <w:t xml:space="preserve"> č. 1</w:t>
      </w:r>
      <w:r w:rsidR="00E53E49" w:rsidRPr="00305FAB">
        <w:rPr>
          <w:sz w:val="24"/>
          <w:szCs w:val="24"/>
        </w:rPr>
        <w:t xml:space="preserve"> této smlouvy.</w:t>
      </w:r>
      <w:r w:rsidR="00AE11EF" w:rsidRPr="00305FAB">
        <w:rPr>
          <w:sz w:val="24"/>
          <w:szCs w:val="24"/>
        </w:rPr>
        <w:t xml:space="preserve"> </w:t>
      </w:r>
    </w:p>
    <w:p w14:paraId="022AE239" w14:textId="77777777" w:rsidR="003D68A0" w:rsidRDefault="003D68A0" w:rsidP="00FA574B">
      <w:pPr>
        <w:suppressAutoHyphens/>
        <w:jc w:val="both"/>
        <w:rPr>
          <w:sz w:val="24"/>
          <w:szCs w:val="24"/>
        </w:rPr>
      </w:pP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Pr="007D58CA" w:rsidRDefault="005C6934" w:rsidP="005C6934">
      <w:pPr>
        <w:pStyle w:val="Zkladntextodsazen31"/>
        <w:rPr>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63078252" w14:textId="6DF07867" w:rsidR="00CB1875" w:rsidRPr="007D58CA" w:rsidRDefault="007D58CA" w:rsidP="002F1352">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3D68A0">
        <w:rPr>
          <w:sz w:val="24"/>
          <w:szCs w:val="24"/>
        </w:rPr>
        <w:t>Park u městských lázní, Čsl. Armády 954, 794 01 Krnov</w:t>
      </w:r>
      <w:r w:rsidR="00720389">
        <w:rPr>
          <w:sz w:val="24"/>
          <w:szCs w:val="24"/>
        </w:rPr>
        <w:t>.</w:t>
      </w:r>
    </w:p>
    <w:p w14:paraId="321F8172" w14:textId="77777777" w:rsidR="007D58CA" w:rsidRPr="007D58CA" w:rsidRDefault="007D58CA"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Default="007D58CA" w:rsidP="007D58CA">
      <w:pPr>
        <w:jc w:val="center"/>
        <w:rPr>
          <w:b/>
          <w:bCs/>
          <w:sz w:val="24"/>
          <w:szCs w:val="24"/>
        </w:rPr>
      </w:pPr>
    </w:p>
    <w:p w14:paraId="7AD02B22" w14:textId="22EE2A71" w:rsidR="00E65B3A" w:rsidRPr="00E65B3A" w:rsidRDefault="007D58CA" w:rsidP="000D10F6">
      <w:pPr>
        <w:ind w:left="426" w:hanging="425"/>
        <w:jc w:val="both"/>
        <w:rPr>
          <w:rFonts w:eastAsia="MS Mincho"/>
          <w:b/>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výš</w:t>
      </w:r>
      <w:r w:rsidR="000D10F6">
        <w:rPr>
          <w:sz w:val="24"/>
          <w:szCs w:val="24"/>
        </w:rPr>
        <w:t xml:space="preserve">i:        </w:t>
      </w:r>
      <w:r w:rsidR="008E2F5F">
        <w:rPr>
          <w:sz w:val="24"/>
          <w:szCs w:val="24"/>
        </w:rPr>
        <w:t xml:space="preserve">     </w:t>
      </w:r>
      <w:r w:rsidR="008E2F5F">
        <w:rPr>
          <w:sz w:val="24"/>
          <w:szCs w:val="24"/>
        </w:rPr>
        <w:tab/>
      </w:r>
      <w:r w:rsidR="00AE11EF" w:rsidRPr="00E65B3A">
        <w:rPr>
          <w:rFonts w:eastAsia="MS Mincho"/>
          <w:b/>
          <w:sz w:val="24"/>
          <w:szCs w:val="24"/>
        </w:rPr>
        <w:t xml:space="preserve">Cena </w:t>
      </w:r>
      <w:r w:rsidR="006E5D34" w:rsidRPr="00E65B3A">
        <w:rPr>
          <w:rFonts w:eastAsia="MS Mincho"/>
          <w:b/>
          <w:sz w:val="24"/>
          <w:szCs w:val="24"/>
        </w:rPr>
        <w:t xml:space="preserve">celkem </w:t>
      </w:r>
      <w:r w:rsidR="002F1352" w:rsidRPr="00E65B3A">
        <w:rPr>
          <w:rFonts w:eastAsia="MS Mincho"/>
          <w:b/>
          <w:sz w:val="24"/>
          <w:szCs w:val="24"/>
        </w:rPr>
        <w:t>činí</w:t>
      </w:r>
      <w:r w:rsidR="00E65B3A" w:rsidRPr="00E65B3A">
        <w:rPr>
          <w:rFonts w:eastAsia="MS Mincho"/>
          <w:b/>
          <w:sz w:val="24"/>
          <w:szCs w:val="24"/>
        </w:rPr>
        <w:t>:</w:t>
      </w:r>
      <w:r w:rsidR="008E2F5F">
        <w:rPr>
          <w:rFonts w:eastAsia="MS Mincho"/>
          <w:b/>
          <w:sz w:val="24"/>
          <w:szCs w:val="24"/>
        </w:rPr>
        <w:t xml:space="preserve"> </w:t>
      </w:r>
      <w:r w:rsidR="00311962">
        <w:rPr>
          <w:rFonts w:eastAsia="MS Mincho"/>
          <w:b/>
          <w:sz w:val="24"/>
          <w:szCs w:val="24"/>
        </w:rPr>
        <w:t>210.000</w:t>
      </w:r>
      <w:r w:rsidR="00864D46">
        <w:rPr>
          <w:rFonts w:eastAsia="MS Mincho"/>
          <w:b/>
          <w:sz w:val="24"/>
          <w:szCs w:val="24"/>
        </w:rPr>
        <w:t>,- Kč (cena je konečná)</w:t>
      </w:r>
      <w:r w:rsidR="002F1352" w:rsidRPr="00E65B3A">
        <w:rPr>
          <w:rFonts w:eastAsia="MS Mincho"/>
          <w:b/>
          <w:sz w:val="24"/>
          <w:szCs w:val="24"/>
        </w:rPr>
        <w:t xml:space="preserve"> </w:t>
      </w:r>
    </w:p>
    <w:p w14:paraId="6BCD4339" w14:textId="77777777" w:rsidR="007D58CA" w:rsidRPr="0081069A" w:rsidRDefault="007D58CA" w:rsidP="007D58CA">
      <w:pPr>
        <w:pStyle w:val="Zkladntext"/>
        <w:tabs>
          <w:tab w:val="left" w:pos="550"/>
          <w:tab w:val="right" w:pos="8600"/>
        </w:tabs>
        <w:spacing w:line="240" w:lineRule="atLeast"/>
        <w:ind w:left="426" w:right="68" w:hanging="431"/>
        <w:rPr>
          <w:szCs w:val="24"/>
        </w:rPr>
      </w:pPr>
    </w:p>
    <w:p w14:paraId="3C98D4F3" w14:textId="382030F2"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 xml:space="preserve">Součástí sjednané ceny jsou veškeré práce a dodávky, </w:t>
      </w:r>
      <w:r w:rsidR="002F1352">
        <w:rPr>
          <w:szCs w:val="24"/>
          <w:lang w:val="cs-CZ"/>
        </w:rPr>
        <w:t>včetně dopravy, přípravy, materiálu</w:t>
      </w:r>
      <w:r w:rsidR="00720389">
        <w:rPr>
          <w:szCs w:val="24"/>
          <w:lang w:val="cs-CZ"/>
        </w:rPr>
        <w:t xml:space="preserve"> a</w:t>
      </w:r>
      <w:r w:rsidR="00045D93">
        <w:rPr>
          <w:szCs w:val="24"/>
          <w:lang w:val="cs-CZ"/>
        </w:rPr>
        <w:t xml:space="preserve"> personálu</w:t>
      </w:r>
      <w:r w:rsidR="00720389">
        <w:rPr>
          <w:szCs w:val="24"/>
          <w:lang w:val="cs-CZ"/>
        </w:rPr>
        <w:t>.</w:t>
      </w:r>
    </w:p>
    <w:p w14:paraId="4E2E2FD7" w14:textId="69FBF409" w:rsidR="007D58CA" w:rsidRPr="00305FAB"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305FAB">
        <w:rPr>
          <w:szCs w:val="24"/>
        </w:rPr>
        <w:t xml:space="preserve">V případě, že zhotovitel </w:t>
      </w:r>
      <w:r w:rsidR="00AE48C2" w:rsidRPr="00305FAB">
        <w:rPr>
          <w:szCs w:val="24"/>
          <w:lang w:val="cs-CZ"/>
        </w:rPr>
        <w:t xml:space="preserve">nebude </w:t>
      </w:r>
      <w:r w:rsidR="00E53E49" w:rsidRPr="00305FAB">
        <w:rPr>
          <w:szCs w:val="24"/>
          <w:lang w:val="cs-CZ"/>
        </w:rPr>
        <w:t>realiz</w:t>
      </w:r>
      <w:r w:rsidR="00AE48C2" w:rsidRPr="00305FAB">
        <w:rPr>
          <w:szCs w:val="24"/>
          <w:lang w:val="cs-CZ"/>
        </w:rPr>
        <w:t>ovat</w:t>
      </w:r>
      <w:r w:rsidR="00E53E49" w:rsidRPr="00305FAB">
        <w:rPr>
          <w:szCs w:val="24"/>
          <w:lang w:val="cs-CZ"/>
        </w:rPr>
        <w:t xml:space="preserve"> některou z položek tvořících Dílo</w:t>
      </w:r>
      <w:r w:rsidRPr="00305FAB">
        <w:rPr>
          <w:szCs w:val="24"/>
        </w:rPr>
        <w:t xml:space="preserve">, které jsou uvedeny v rozsahu díla sjednaném smlouvou (tj. </w:t>
      </w:r>
      <w:proofErr w:type="spellStart"/>
      <w:r w:rsidRPr="00305FAB">
        <w:rPr>
          <w:szCs w:val="24"/>
        </w:rPr>
        <w:t>méněpráce</w:t>
      </w:r>
      <w:proofErr w:type="spellEnd"/>
      <w:r w:rsidRPr="00305FAB">
        <w:rPr>
          <w:szCs w:val="24"/>
        </w:rPr>
        <w:t>), ať už z důvod</w:t>
      </w:r>
      <w:r w:rsidR="00E53E49" w:rsidRPr="00305FAB">
        <w:rPr>
          <w:szCs w:val="24"/>
          <w:lang w:val="cs-CZ"/>
        </w:rPr>
        <w:t>ů</w:t>
      </w:r>
      <w:r w:rsidRPr="00305FAB">
        <w:rPr>
          <w:szCs w:val="24"/>
        </w:rPr>
        <w:t xml:space="preserve"> objektivních</w:t>
      </w:r>
      <w:r w:rsidR="00E53E49" w:rsidRPr="00305FAB">
        <w:rPr>
          <w:szCs w:val="24"/>
          <w:lang w:val="cs-CZ"/>
        </w:rPr>
        <w:t xml:space="preserve"> (vyšší moci)</w:t>
      </w:r>
      <w:r w:rsidRPr="00305FAB">
        <w:rPr>
          <w:szCs w:val="24"/>
        </w:rPr>
        <w:t>, technických nebo z</w:t>
      </w:r>
      <w:r w:rsidR="00E53E49" w:rsidRPr="00305FAB">
        <w:rPr>
          <w:szCs w:val="24"/>
        </w:rPr>
        <w:t> </w:t>
      </w:r>
      <w:r w:rsidR="00E53E49" w:rsidRPr="00305FAB">
        <w:rPr>
          <w:szCs w:val="24"/>
          <w:lang w:val="cs-CZ"/>
        </w:rPr>
        <w:t>důvodů na jeho</w:t>
      </w:r>
      <w:r w:rsidRPr="00305FAB">
        <w:rPr>
          <w:szCs w:val="24"/>
        </w:rPr>
        <w:t xml:space="preserve"> stran</w:t>
      </w:r>
      <w:r w:rsidR="00E53E49" w:rsidRPr="00305FAB">
        <w:rPr>
          <w:szCs w:val="24"/>
          <w:lang w:val="cs-CZ"/>
        </w:rPr>
        <w:t>ě</w:t>
      </w:r>
      <w:r w:rsidRPr="00305FAB">
        <w:rPr>
          <w:szCs w:val="24"/>
        </w:rPr>
        <w:t>, nebudou tyto neprovedené práce uhrazeny</w:t>
      </w:r>
      <w:r w:rsidR="00E53E49" w:rsidRPr="00305FAB">
        <w:rPr>
          <w:szCs w:val="24"/>
          <w:lang w:val="cs-CZ"/>
        </w:rPr>
        <w:t xml:space="preserve"> </w:t>
      </w:r>
      <w:r w:rsidRPr="00305FAB">
        <w:rPr>
          <w:szCs w:val="24"/>
        </w:rPr>
        <w:t xml:space="preserve">bez předchozího souhlasu objednatele a uzavření platného dodatku k této smlouvě o změně rozsahu díla a jeho ceně. Jestliže vyvstane nutnost těchto </w:t>
      </w:r>
      <w:proofErr w:type="spellStart"/>
      <w:r w:rsidRPr="00305FAB">
        <w:rPr>
          <w:szCs w:val="24"/>
        </w:rPr>
        <w:t>méněprací</w:t>
      </w:r>
      <w:proofErr w:type="spellEnd"/>
      <w:r w:rsidRPr="00305FAB">
        <w:rPr>
          <w:szCs w:val="24"/>
        </w:rPr>
        <w:t xml:space="preserve">, bude zhotovitel povinen s objednatelem jednat o změně rozsahu díla a jeho ceně. V případě </w:t>
      </w:r>
      <w:proofErr w:type="spellStart"/>
      <w:r w:rsidRPr="00305FAB">
        <w:rPr>
          <w:szCs w:val="24"/>
        </w:rPr>
        <w:t>méněprací</w:t>
      </w:r>
      <w:proofErr w:type="spellEnd"/>
      <w:r w:rsidRPr="00305FAB">
        <w:rPr>
          <w:szCs w:val="24"/>
        </w:rPr>
        <w:t xml:space="preserve"> bude cena ponížena o neprovedené práce. </w:t>
      </w:r>
    </w:p>
    <w:p w14:paraId="44004F63" w14:textId="77777777" w:rsidR="00981AC0" w:rsidRPr="00D93895" w:rsidRDefault="00981AC0" w:rsidP="00981AC0">
      <w:pPr>
        <w:pStyle w:val="Zkladntext"/>
        <w:tabs>
          <w:tab w:val="left" w:pos="500"/>
          <w:tab w:val="left" w:pos="5100"/>
          <w:tab w:val="right" w:pos="8600"/>
        </w:tabs>
        <w:suppressAutoHyphens/>
        <w:spacing w:line="240" w:lineRule="atLeast"/>
        <w:ind w:left="360" w:right="68"/>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6997E735" w14:textId="77777777" w:rsidR="00720389"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8B1530">
        <w:rPr>
          <w:sz w:val="24"/>
          <w:szCs w:val="24"/>
        </w:rPr>
        <w:t>Práce na realizaci předmětu smlouvy budou zhoto</w:t>
      </w:r>
      <w:r w:rsidR="00623407" w:rsidRPr="008B1530">
        <w:rPr>
          <w:sz w:val="24"/>
          <w:szCs w:val="24"/>
        </w:rPr>
        <w:t>vitelem započaty</w:t>
      </w:r>
      <w:r w:rsidR="00864D46">
        <w:rPr>
          <w:sz w:val="24"/>
          <w:szCs w:val="24"/>
        </w:rPr>
        <w:t xml:space="preserve"> a realizovány</w:t>
      </w:r>
      <w:r w:rsidR="00623407" w:rsidRPr="008B1530">
        <w:rPr>
          <w:sz w:val="24"/>
          <w:szCs w:val="24"/>
        </w:rPr>
        <w:t xml:space="preserve"> </w:t>
      </w:r>
      <w:r w:rsidR="00AE11EF" w:rsidRPr="008B1530">
        <w:rPr>
          <w:sz w:val="24"/>
          <w:szCs w:val="24"/>
        </w:rPr>
        <w:t>dne</w:t>
      </w:r>
      <w:r w:rsidR="000D7C78" w:rsidRPr="008B1530">
        <w:rPr>
          <w:sz w:val="24"/>
          <w:szCs w:val="24"/>
        </w:rPr>
        <w:t>:</w:t>
      </w:r>
    </w:p>
    <w:p w14:paraId="10B37818" w14:textId="6DB69DCB" w:rsidR="000D7C78" w:rsidRPr="008B1530" w:rsidRDefault="003D68A0" w:rsidP="00720389">
      <w:pPr>
        <w:tabs>
          <w:tab w:val="left" w:pos="284"/>
          <w:tab w:val="left" w:pos="4990"/>
          <w:tab w:val="left" w:leader="underscore" w:pos="9639"/>
        </w:tabs>
        <w:suppressAutoHyphens/>
        <w:ind w:left="284"/>
        <w:jc w:val="both"/>
        <w:rPr>
          <w:sz w:val="24"/>
          <w:szCs w:val="24"/>
        </w:rPr>
      </w:pPr>
      <w:r>
        <w:rPr>
          <w:sz w:val="24"/>
          <w:szCs w:val="24"/>
        </w:rPr>
        <w:t>6. 9. 2023</w:t>
      </w:r>
      <w:r w:rsidR="00864D46">
        <w:rPr>
          <w:sz w:val="24"/>
          <w:szCs w:val="24"/>
        </w:rPr>
        <w:t>.</w:t>
      </w:r>
      <w:r>
        <w:rPr>
          <w:sz w:val="24"/>
          <w:szCs w:val="24"/>
        </w:rPr>
        <w:t xml:space="preserve"> </w:t>
      </w:r>
      <w:r w:rsidR="00864D46">
        <w:rPr>
          <w:sz w:val="24"/>
          <w:szCs w:val="24"/>
        </w:rPr>
        <w:t xml:space="preserve">Prostranství bude zpřístupněno od </w:t>
      </w:r>
      <w:r>
        <w:rPr>
          <w:sz w:val="24"/>
          <w:szCs w:val="24"/>
        </w:rPr>
        <w:t>8</w:t>
      </w:r>
      <w:r w:rsidR="00720389">
        <w:rPr>
          <w:sz w:val="24"/>
          <w:szCs w:val="24"/>
        </w:rPr>
        <w:t>:00 hod</w:t>
      </w:r>
      <w:r>
        <w:rPr>
          <w:sz w:val="24"/>
          <w:szCs w:val="24"/>
        </w:rPr>
        <w:t xml:space="preserve">. Demontáž a odvoz technického </w:t>
      </w:r>
      <w:r w:rsidR="00407D43">
        <w:rPr>
          <w:sz w:val="24"/>
          <w:szCs w:val="24"/>
        </w:rPr>
        <w:t>zajištění bude zrealizován do 11</w:t>
      </w:r>
      <w:r>
        <w:rPr>
          <w:sz w:val="24"/>
          <w:szCs w:val="24"/>
        </w:rPr>
        <w:t>. 9. 2023.</w:t>
      </w:r>
    </w:p>
    <w:p w14:paraId="17897CBE" w14:textId="1E7D01B9" w:rsidR="00560FD4" w:rsidRPr="00864D46" w:rsidRDefault="00560FD4" w:rsidP="00864D46">
      <w:pPr>
        <w:suppressAutoHyphens/>
        <w:jc w:val="both"/>
        <w:rPr>
          <w:sz w:val="24"/>
          <w:szCs w:val="24"/>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9357EC" w:rsidRDefault="007D58CA" w:rsidP="007D58CA">
      <w:pPr>
        <w:pStyle w:val="Zkladntext"/>
        <w:numPr>
          <w:ilvl w:val="0"/>
          <w:numId w:val="17"/>
        </w:numPr>
        <w:tabs>
          <w:tab w:val="left" w:pos="426"/>
        </w:tabs>
        <w:suppressAutoHyphens/>
        <w:spacing w:line="240" w:lineRule="atLeast"/>
        <w:ind w:left="426" w:right="68" w:hanging="426"/>
        <w:rPr>
          <w:szCs w:val="24"/>
        </w:rPr>
      </w:pPr>
      <w:r w:rsidRPr="009357EC">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3696CAF5" w14:textId="7EF60449" w:rsidR="008D1A5D" w:rsidRPr="00864D46" w:rsidRDefault="001A3AFC" w:rsidP="00864D46">
      <w:pPr>
        <w:numPr>
          <w:ilvl w:val="0"/>
          <w:numId w:val="17"/>
        </w:numPr>
        <w:tabs>
          <w:tab w:val="left" w:pos="426"/>
        </w:tabs>
        <w:suppressAutoHyphens/>
        <w:ind w:left="426" w:hanging="426"/>
        <w:jc w:val="both"/>
        <w:rPr>
          <w:sz w:val="24"/>
          <w:szCs w:val="24"/>
        </w:rPr>
      </w:pPr>
      <w:r w:rsidRPr="00A010DB">
        <w:rPr>
          <w:sz w:val="24"/>
          <w:szCs w:val="24"/>
        </w:rPr>
        <w:t xml:space="preserve">Objednatel přiměřeným způsobem zajistí zhotoviteli přístup do všech prostor určených k provádění </w:t>
      </w:r>
      <w:r w:rsidR="00864D46">
        <w:rPr>
          <w:sz w:val="24"/>
          <w:szCs w:val="24"/>
        </w:rPr>
        <w:t>díla</w:t>
      </w:r>
      <w:r w:rsidR="0009553B" w:rsidRPr="00A010DB">
        <w:rPr>
          <w:sz w:val="24"/>
          <w:szCs w:val="24"/>
        </w:rPr>
        <w:t>.</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w:t>
      </w:r>
      <w:r w:rsidRPr="00A010DB">
        <w:rPr>
          <w:sz w:val="24"/>
          <w:szCs w:val="24"/>
        </w:rPr>
        <w:lastRenderedPageBreak/>
        <w:t xml:space="preserve">dodržovat hygienické, ekologické a požární předpisy. Všichni pracovníci musí být proškoleni o bezpečnosti práce </w:t>
      </w:r>
      <w:r w:rsidR="00A010DB" w:rsidRPr="00A010DB">
        <w:rPr>
          <w:sz w:val="24"/>
          <w:szCs w:val="24"/>
        </w:rPr>
        <w:t>na místě plnění díla.</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14:paraId="2D5E2F24" w14:textId="77777777" w:rsidR="007D58CA" w:rsidRPr="00A010DB" w:rsidRDefault="007D58CA"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0DB109A2" w14:textId="77777777" w:rsidR="007D58CA" w:rsidRPr="008D1A5D" w:rsidRDefault="007D58CA" w:rsidP="007D58CA">
      <w:pPr>
        <w:pStyle w:val="Zkladntext"/>
        <w:spacing w:line="240" w:lineRule="atLeast"/>
        <w:ind w:left="300" w:right="68" w:hanging="305"/>
        <w:rPr>
          <w:color w:val="FF0000"/>
          <w:szCs w:val="24"/>
        </w:rPr>
      </w:pPr>
    </w:p>
    <w:p w14:paraId="07F7E6E6" w14:textId="25AE86E3" w:rsidR="007D58CA" w:rsidRPr="00864D46" w:rsidRDefault="008D1A5D" w:rsidP="00AF58FD">
      <w:pPr>
        <w:pStyle w:val="Zkladntext"/>
        <w:numPr>
          <w:ilvl w:val="0"/>
          <w:numId w:val="18"/>
        </w:numPr>
        <w:tabs>
          <w:tab w:val="left" w:pos="426"/>
        </w:tabs>
        <w:suppressAutoHyphens/>
        <w:spacing w:line="240" w:lineRule="atLeast"/>
        <w:ind w:left="426" w:right="68" w:hanging="426"/>
        <w:rPr>
          <w:b/>
          <w:szCs w:val="24"/>
        </w:rPr>
      </w:pPr>
      <w:r w:rsidRPr="00864D46">
        <w:rPr>
          <w:szCs w:val="24"/>
        </w:rPr>
        <w:t xml:space="preserve">Zhotovitel splní svou povinnost provést dílo jeho řádným dokončením a předáním objednateli ve sjednané lhůtě a na určeném místě. Dílo je považováno za ukončené po ukončení všech </w:t>
      </w:r>
      <w:r w:rsidR="00864D46" w:rsidRPr="00864D46">
        <w:rPr>
          <w:szCs w:val="24"/>
          <w:lang w:val="cs-CZ"/>
        </w:rPr>
        <w:t>akcí</w:t>
      </w:r>
      <w:r w:rsidRPr="00864D46">
        <w:rPr>
          <w:szCs w:val="24"/>
        </w:rPr>
        <w:t>, pokud jsou ukončeny řádně v celém rozsahu</w:t>
      </w:r>
      <w:r w:rsidR="00864D46">
        <w:rPr>
          <w:szCs w:val="24"/>
          <w:lang w:val="cs-CZ"/>
        </w:rPr>
        <w:t>.</w:t>
      </w:r>
    </w:p>
    <w:p w14:paraId="33796771" w14:textId="77777777" w:rsidR="00864D46" w:rsidRPr="007D58CA" w:rsidRDefault="00864D46" w:rsidP="00864D46">
      <w:pPr>
        <w:pStyle w:val="Zkladntext"/>
        <w:tabs>
          <w:tab w:val="left" w:pos="426"/>
        </w:tabs>
        <w:suppressAutoHyphens/>
        <w:spacing w:line="240" w:lineRule="atLeast"/>
        <w:ind w:left="426" w:right="68"/>
        <w:rPr>
          <w:b/>
          <w:szCs w:val="24"/>
        </w:rPr>
      </w:pPr>
    </w:p>
    <w:p w14:paraId="4C61C35F" w14:textId="77777777" w:rsidR="00092C3B" w:rsidRPr="006F79C4" w:rsidRDefault="00092C3B" w:rsidP="007D58CA">
      <w:pPr>
        <w:pStyle w:val="Zkladntext"/>
        <w:spacing w:line="240" w:lineRule="atLeast"/>
        <w:ind w:left="300" w:right="68" w:hanging="305"/>
        <w:jc w:val="center"/>
        <w:rPr>
          <w:b/>
          <w:szCs w:val="24"/>
          <w:lang w:val="cs-CZ"/>
        </w:rPr>
      </w:pPr>
      <w:r w:rsidRPr="006F79C4">
        <w:rPr>
          <w:b/>
          <w:szCs w:val="24"/>
          <w:lang w:val="cs-CZ"/>
        </w:rPr>
        <w:t>VIII</w:t>
      </w:r>
      <w:r w:rsidR="007D58CA" w:rsidRPr="006F79C4">
        <w:rPr>
          <w:b/>
          <w:szCs w:val="24"/>
        </w:rPr>
        <w:t xml:space="preserve">. </w:t>
      </w:r>
    </w:p>
    <w:p w14:paraId="5D90E7BB" w14:textId="77777777" w:rsidR="007D58CA" w:rsidRPr="006F79C4" w:rsidRDefault="007D58CA" w:rsidP="007D58CA">
      <w:pPr>
        <w:pStyle w:val="Zkladntext"/>
        <w:spacing w:line="240" w:lineRule="atLeast"/>
        <w:ind w:left="300" w:right="68" w:hanging="305"/>
        <w:jc w:val="center"/>
        <w:rPr>
          <w:b/>
          <w:szCs w:val="24"/>
          <w:u w:val="single"/>
        </w:rPr>
      </w:pPr>
      <w:r w:rsidRPr="006F79C4">
        <w:rPr>
          <w:b/>
          <w:szCs w:val="24"/>
          <w:u w:val="single"/>
        </w:rPr>
        <w:t>Platební podmínky</w:t>
      </w:r>
    </w:p>
    <w:p w14:paraId="1B16D112" w14:textId="77777777" w:rsidR="007D58CA" w:rsidRPr="006F79C4" w:rsidRDefault="007D58CA" w:rsidP="007D58CA">
      <w:pPr>
        <w:pStyle w:val="Zkladntext"/>
        <w:ind w:left="300" w:right="68" w:hanging="305"/>
        <w:rPr>
          <w:szCs w:val="24"/>
        </w:rPr>
      </w:pPr>
    </w:p>
    <w:p w14:paraId="3D81F1FB" w14:textId="738D19BA" w:rsidR="00AE48C2" w:rsidRPr="00311962" w:rsidRDefault="00311962" w:rsidP="00864D46">
      <w:pPr>
        <w:numPr>
          <w:ilvl w:val="0"/>
          <w:numId w:val="28"/>
        </w:numPr>
        <w:tabs>
          <w:tab w:val="left" w:pos="284"/>
        </w:tabs>
        <w:suppressAutoHyphens/>
        <w:ind w:left="284" w:hanging="284"/>
        <w:jc w:val="both"/>
        <w:rPr>
          <w:sz w:val="24"/>
          <w:szCs w:val="24"/>
        </w:rPr>
      </w:pPr>
      <w:r w:rsidRPr="00311962">
        <w:rPr>
          <w:sz w:val="24"/>
          <w:szCs w:val="24"/>
        </w:rPr>
        <w:t xml:space="preserve">Objednatel a zhotovitel se domluvili na záloze ve výši 150.000 Kč, která bude vyplacena předem na základě zálohové faktury se splatností 7 dnů. </w:t>
      </w:r>
    </w:p>
    <w:p w14:paraId="4542AF27" w14:textId="77777777" w:rsidR="00092C3B" w:rsidRPr="00F13904" w:rsidRDefault="007D58CA" w:rsidP="001B2DF1">
      <w:pPr>
        <w:numPr>
          <w:ilvl w:val="0"/>
          <w:numId w:val="28"/>
        </w:numPr>
        <w:suppressAutoHyphens/>
        <w:ind w:left="284" w:hanging="284"/>
        <w:jc w:val="both"/>
        <w:rPr>
          <w:sz w:val="24"/>
          <w:szCs w:val="24"/>
        </w:rPr>
      </w:pPr>
      <w:r w:rsidRPr="006F79C4">
        <w:rPr>
          <w:sz w:val="24"/>
          <w:szCs w:val="24"/>
        </w:rPr>
        <w:t>Podkladem pro úhradu smluvní ceny díla je faktura, která bude mít náležitosti daňového</w:t>
      </w:r>
      <w:r w:rsidRPr="007D58CA">
        <w:rPr>
          <w:sz w:val="24"/>
          <w:szCs w:val="24"/>
        </w:rPr>
        <w:t xml:space="preserve">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7B55B098" w14:textId="5F571AB4" w:rsidR="007D58CA" w:rsidRDefault="007D58CA" w:rsidP="00864D46">
      <w:pPr>
        <w:pStyle w:val="Zkladntext"/>
        <w:ind w:right="68"/>
        <w:rPr>
          <w:b/>
          <w:szCs w:val="24"/>
          <w:lang w:val="cs-CZ"/>
        </w:rPr>
      </w:pPr>
    </w:p>
    <w:p w14:paraId="2164BFF7" w14:textId="77777777" w:rsidR="00ED2C17" w:rsidRPr="00F13904" w:rsidRDefault="00ED2C17" w:rsidP="00F13904">
      <w:pPr>
        <w:pStyle w:val="Zkladntext"/>
        <w:ind w:right="68"/>
        <w:rPr>
          <w:b/>
          <w:szCs w:val="24"/>
          <w:lang w:val="cs-CZ"/>
        </w:rPr>
      </w:pPr>
    </w:p>
    <w:p w14:paraId="31252D3D" w14:textId="2BA844DB" w:rsidR="00E323AB" w:rsidRDefault="00864D46" w:rsidP="007D58CA">
      <w:pPr>
        <w:pStyle w:val="Zkladntext"/>
        <w:ind w:left="300" w:right="68" w:hanging="305"/>
        <w:jc w:val="center"/>
        <w:rPr>
          <w:b/>
          <w:szCs w:val="24"/>
          <w:lang w:val="cs-CZ"/>
        </w:rPr>
      </w:pPr>
      <w:r>
        <w:rPr>
          <w:b/>
          <w:szCs w:val="24"/>
          <w:lang w:val="cs-CZ"/>
        </w:rPr>
        <w:t>I</w:t>
      </w:r>
      <w:r w:rsidR="00E323AB">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5DEF0DEB" w:rsidR="007D58CA"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36F5CA5C" w14:textId="0E610B09" w:rsidR="00B91B22" w:rsidRDefault="00B91B22" w:rsidP="00B91B22">
      <w:pPr>
        <w:pStyle w:val="Zkladntext"/>
        <w:suppressAutoHyphens/>
        <w:ind w:right="68"/>
        <w:rPr>
          <w:szCs w:val="24"/>
        </w:rPr>
      </w:pPr>
    </w:p>
    <w:p w14:paraId="5F3B15CC" w14:textId="0C9FC7C3"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77777777" w:rsidR="007D58CA" w:rsidRPr="00ED2C17"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485DB872" w14:textId="305100A0" w:rsidR="00000AFF" w:rsidRDefault="00000AFF" w:rsidP="00000AFF">
      <w:pPr>
        <w:pStyle w:val="Zkladntext"/>
        <w:spacing w:line="240" w:lineRule="atLeast"/>
        <w:ind w:right="68"/>
        <w:rPr>
          <w:b/>
          <w:szCs w:val="24"/>
          <w:lang w:val="cs-CZ"/>
        </w:rPr>
      </w:pPr>
    </w:p>
    <w:p w14:paraId="467F2239" w14:textId="14411603"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Pr="007D58CA">
        <w:rPr>
          <w:b/>
          <w:szCs w:val="24"/>
        </w:rPr>
        <w:t xml:space="preserve">. </w:t>
      </w:r>
    </w:p>
    <w:p w14:paraId="1650B9E7" w14:textId="77777777" w:rsidR="007D58CA"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12DD1FDE" w14:textId="77777777" w:rsidR="009357EC" w:rsidRDefault="009357EC" w:rsidP="007D58CA">
      <w:pPr>
        <w:pStyle w:val="Zkladntext"/>
        <w:spacing w:line="240" w:lineRule="atLeast"/>
        <w:ind w:left="426" w:right="68" w:hanging="431"/>
        <w:jc w:val="center"/>
        <w:rPr>
          <w:b/>
          <w:szCs w:val="24"/>
          <w:u w:val="single"/>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lastRenderedPageBreak/>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7EE13ED8" w14:textId="63854ABB" w:rsidR="00BA4319" w:rsidRPr="003A6CB8" w:rsidRDefault="00BA4319" w:rsidP="00BA4319">
      <w:pPr>
        <w:pStyle w:val="Zkladntext"/>
        <w:numPr>
          <w:ilvl w:val="0"/>
          <w:numId w:val="22"/>
        </w:numPr>
        <w:tabs>
          <w:tab w:val="left" w:pos="426"/>
        </w:tabs>
        <w:suppressAutoHyphens/>
        <w:spacing w:line="240" w:lineRule="atLeast"/>
        <w:ind w:left="426" w:right="68" w:hanging="431"/>
        <w:rPr>
          <w:szCs w:val="24"/>
        </w:rPr>
      </w:pPr>
      <w:r w:rsidRPr="003A6CB8">
        <w:t>Tato smlouva zaniká a smluvní strany vůči sobě nebudou mít žádné vzájemné nároky</w:t>
      </w:r>
      <w:r w:rsidR="00CB4288" w:rsidRPr="003A6CB8">
        <w:rPr>
          <w:lang w:val="cs-CZ"/>
        </w:rPr>
        <w:t xml:space="preserve"> </w:t>
      </w:r>
      <w:r w:rsidR="00FC3850" w:rsidRPr="003A6CB8">
        <w:rPr>
          <w:lang w:val="cs-CZ"/>
        </w:rPr>
        <w:t>(vyjma těch uvedených ve smlouvě)</w:t>
      </w:r>
      <w:r w:rsidRPr="003A6CB8">
        <w:t xml:space="preserve"> v případě, že vystoupení bude zabráněno v důsledku nepředvídatelné nebo neodvratitelné události ležící mimo vliv smluvních stran, např. v důsledku přírodní katastrofy, epidemie, úředního zákazu apod.</w:t>
      </w:r>
    </w:p>
    <w:p w14:paraId="07AD20A8" w14:textId="77777777" w:rsidR="000D7C78"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29186791" w14:textId="0B3337B8" w:rsidR="000D7C78" w:rsidRPr="00BA4319" w:rsidRDefault="000D7C78" w:rsidP="000D7C78">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r w:rsidR="007D58CA" w:rsidRPr="000D7C78">
        <w:rPr>
          <w:szCs w:val="24"/>
        </w:rPr>
        <w:t xml:space="preserve">  </w:t>
      </w:r>
    </w:p>
    <w:p w14:paraId="75151F6A" w14:textId="77777777" w:rsidR="000D7C78" w:rsidRPr="00D93895" w:rsidRDefault="000D7C78" w:rsidP="000D7C78">
      <w:pPr>
        <w:pStyle w:val="Zkladntext"/>
        <w:tabs>
          <w:tab w:val="left" w:pos="426"/>
        </w:tabs>
        <w:suppressAutoHyphens/>
        <w:spacing w:line="240" w:lineRule="atLeast"/>
        <w:ind w:right="68"/>
        <w:rPr>
          <w:szCs w:val="24"/>
        </w:rPr>
      </w:pPr>
    </w:p>
    <w:p w14:paraId="24702C0F" w14:textId="77777777" w:rsidR="002A53F3" w:rsidRDefault="002A53F3" w:rsidP="007D58CA">
      <w:pPr>
        <w:rPr>
          <w:sz w:val="24"/>
          <w:szCs w:val="24"/>
        </w:rPr>
      </w:pPr>
    </w:p>
    <w:p w14:paraId="65511340" w14:textId="77777777" w:rsidR="003D68A0" w:rsidRPr="007D58CA" w:rsidRDefault="003D68A0" w:rsidP="007D58CA">
      <w:pPr>
        <w:rPr>
          <w:sz w:val="24"/>
          <w:szCs w:val="24"/>
        </w:rPr>
      </w:pPr>
    </w:p>
    <w:p w14:paraId="23315768" w14:textId="50E3D093" w:rsidR="00BC14BE" w:rsidRDefault="007D58CA" w:rsidP="007D58CA">
      <w:pPr>
        <w:pStyle w:val="Zkladntext"/>
        <w:spacing w:line="240" w:lineRule="atLeast"/>
        <w:ind w:right="68"/>
        <w:rPr>
          <w:szCs w:val="24"/>
          <w:lang w:val="cs-CZ"/>
        </w:rPr>
      </w:pPr>
      <w:r w:rsidRPr="006C30AE">
        <w:rPr>
          <w:szCs w:val="24"/>
        </w:rPr>
        <w:t>V </w:t>
      </w:r>
      <w:r w:rsidR="00E74FCF" w:rsidRPr="006C30AE">
        <w:rPr>
          <w:szCs w:val="24"/>
          <w:lang w:val="cs-CZ"/>
        </w:rPr>
        <w:t>Krnově</w:t>
      </w:r>
      <w:r w:rsidRPr="006C30AE">
        <w:rPr>
          <w:szCs w:val="24"/>
          <w:lang w:val="cs-CZ"/>
        </w:rPr>
        <w:t xml:space="preserve"> </w:t>
      </w:r>
      <w:r w:rsidRPr="006C30AE">
        <w:rPr>
          <w:szCs w:val="24"/>
        </w:rPr>
        <w:t>dn</w:t>
      </w:r>
      <w:r w:rsidR="00E74FCF" w:rsidRPr="006C30AE">
        <w:rPr>
          <w:szCs w:val="24"/>
        </w:rPr>
        <w:t xml:space="preserve">e  </w:t>
      </w:r>
      <w:r w:rsidR="00311962" w:rsidRPr="006C30AE">
        <w:rPr>
          <w:szCs w:val="24"/>
          <w:lang w:val="cs-CZ"/>
        </w:rPr>
        <w:t>15. 08. 2023</w:t>
      </w:r>
    </w:p>
    <w:p w14:paraId="0BCF57F1" w14:textId="4B1FEF6F" w:rsidR="000D10F6" w:rsidRDefault="00E74FCF" w:rsidP="007D58CA">
      <w:pPr>
        <w:pStyle w:val="Zkladntext"/>
        <w:spacing w:line="240" w:lineRule="atLeast"/>
        <w:ind w:right="68"/>
        <w:rPr>
          <w:szCs w:val="24"/>
        </w:rPr>
      </w:pPr>
      <w:r>
        <w:rPr>
          <w:szCs w:val="24"/>
        </w:rPr>
        <w:tab/>
      </w:r>
    </w:p>
    <w:p w14:paraId="6A82CFF6" w14:textId="6FE2058E" w:rsidR="007D58CA" w:rsidRPr="00BC14BE" w:rsidRDefault="00E74FCF" w:rsidP="007D58CA">
      <w:pPr>
        <w:pStyle w:val="Zkladntext"/>
        <w:spacing w:line="240" w:lineRule="atLeast"/>
        <w:ind w:right="68"/>
        <w:rPr>
          <w:szCs w:val="24"/>
          <w:lang w:val="cs-CZ"/>
        </w:rPr>
      </w:pPr>
      <w:r>
        <w:rPr>
          <w:szCs w:val="24"/>
        </w:rPr>
        <w:tab/>
        <w:t xml:space="preserve">           </w:t>
      </w:r>
      <w:r w:rsidR="007D58CA" w:rsidRPr="007D58CA">
        <w:rPr>
          <w:szCs w:val="24"/>
        </w:rPr>
        <w:t xml:space="preserve">   </w:t>
      </w:r>
      <w:r w:rsidR="0081069A">
        <w:rPr>
          <w:szCs w:val="24"/>
        </w:rPr>
        <w:tab/>
      </w:r>
      <w:r w:rsidR="00A00113">
        <w:rPr>
          <w:szCs w:val="24"/>
          <w:lang w:val="cs-CZ"/>
        </w:rPr>
        <w:t xml:space="preserve"> </w:t>
      </w:r>
      <w:r w:rsidR="00161803">
        <w:rPr>
          <w:szCs w:val="24"/>
          <w:lang w:val="cs-CZ"/>
        </w:rPr>
        <w:tab/>
      </w: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5101DF1F" w:rsidR="007D58CA"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p w14:paraId="68609A18" w14:textId="12BFAD27" w:rsidR="00000AFF" w:rsidRPr="000D10F6" w:rsidRDefault="00311962" w:rsidP="000D10F6">
      <w:pPr>
        <w:tabs>
          <w:tab w:val="left" w:pos="360"/>
          <w:tab w:val="left" w:pos="2880"/>
        </w:tabs>
        <w:rPr>
          <w:sz w:val="24"/>
          <w:szCs w:val="24"/>
        </w:rPr>
      </w:pPr>
      <w:r>
        <w:rPr>
          <w:sz w:val="24"/>
          <w:szCs w:val="24"/>
        </w:rPr>
        <w:t xml:space="preserve">     Bc. Eva Čechová</w:t>
      </w:r>
      <w:r w:rsidR="00000AFF">
        <w:rPr>
          <w:sz w:val="24"/>
          <w:szCs w:val="24"/>
        </w:rPr>
        <w:tab/>
      </w:r>
      <w:r w:rsidR="00000AFF">
        <w:rPr>
          <w:sz w:val="24"/>
          <w:szCs w:val="24"/>
        </w:rPr>
        <w:tab/>
      </w:r>
      <w:r w:rsidR="00000AFF">
        <w:rPr>
          <w:sz w:val="24"/>
          <w:szCs w:val="24"/>
        </w:rPr>
        <w:tab/>
      </w:r>
      <w:r w:rsidR="00000AFF">
        <w:rPr>
          <w:sz w:val="24"/>
          <w:szCs w:val="24"/>
        </w:rPr>
        <w:tab/>
      </w:r>
      <w:r w:rsidR="00000AFF">
        <w:rPr>
          <w:sz w:val="24"/>
          <w:szCs w:val="24"/>
        </w:rPr>
        <w:tab/>
        <w:t xml:space="preserve">       </w:t>
      </w:r>
      <w:r w:rsidR="003D68A0">
        <w:rPr>
          <w:sz w:val="24"/>
          <w:szCs w:val="24"/>
        </w:rPr>
        <w:t xml:space="preserve">  </w:t>
      </w:r>
      <w:r w:rsidR="00000AFF">
        <w:rPr>
          <w:sz w:val="24"/>
          <w:szCs w:val="24"/>
        </w:rPr>
        <w:t xml:space="preserve">  </w:t>
      </w:r>
      <w:r w:rsidR="003D68A0">
        <w:rPr>
          <w:sz w:val="24"/>
          <w:szCs w:val="24"/>
        </w:rPr>
        <w:t xml:space="preserve">Daniel </w:t>
      </w:r>
      <w:proofErr w:type="spellStart"/>
      <w:r w:rsidR="003D68A0">
        <w:rPr>
          <w:sz w:val="24"/>
          <w:szCs w:val="24"/>
        </w:rPr>
        <w:t>Flašar</w:t>
      </w:r>
      <w:proofErr w:type="spellEnd"/>
    </w:p>
    <w:sectPr w:rsidR="00000AFF" w:rsidRPr="000D10F6" w:rsidSect="000C2D05">
      <w:footerReference w:type="default" r:id="rId8"/>
      <w:pgSz w:w="11906" w:h="16838"/>
      <w:pgMar w:top="1134" w:right="1133" w:bottom="1135"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93F9" w14:textId="77777777" w:rsidR="00000AFF" w:rsidRDefault="00000AFF" w:rsidP="00000AFF">
      <w:r>
        <w:separator/>
      </w:r>
    </w:p>
  </w:endnote>
  <w:endnote w:type="continuationSeparator" w:id="0">
    <w:p w14:paraId="45109B85" w14:textId="77777777" w:rsidR="00000AFF" w:rsidRDefault="00000AFF" w:rsidP="000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892546"/>
      <w:docPartObj>
        <w:docPartGallery w:val="Page Numbers (Bottom of Page)"/>
        <w:docPartUnique/>
      </w:docPartObj>
    </w:sdtPr>
    <w:sdtEndPr/>
    <w:sdtContent>
      <w:p w14:paraId="752B45DA" w14:textId="7C7F2EEA" w:rsidR="00000AFF" w:rsidRDefault="00000AFF">
        <w:pPr>
          <w:pStyle w:val="Zpat"/>
          <w:jc w:val="center"/>
        </w:pPr>
        <w:r>
          <w:fldChar w:fldCharType="begin"/>
        </w:r>
        <w:r>
          <w:instrText>PAGE   \* MERGEFORMAT</w:instrText>
        </w:r>
        <w:r>
          <w:fldChar w:fldCharType="separate"/>
        </w:r>
        <w:r w:rsidR="004E4DC8">
          <w:rPr>
            <w:noProof/>
          </w:rPr>
          <w:t>4</w:t>
        </w:r>
        <w:r>
          <w:fldChar w:fldCharType="end"/>
        </w:r>
      </w:p>
    </w:sdtContent>
  </w:sdt>
  <w:p w14:paraId="1761E1C7" w14:textId="77777777" w:rsidR="00000AFF" w:rsidRDefault="00000A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F2B0" w14:textId="77777777" w:rsidR="00000AFF" w:rsidRDefault="00000AFF" w:rsidP="00000AFF">
      <w:r>
        <w:separator/>
      </w:r>
    </w:p>
  </w:footnote>
  <w:footnote w:type="continuationSeparator" w:id="0">
    <w:p w14:paraId="778D6DBA" w14:textId="77777777" w:rsidR="00000AFF" w:rsidRDefault="00000AFF" w:rsidP="0000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426C33"/>
    <w:multiLevelType w:val="hybridMultilevel"/>
    <w:tmpl w:val="85CED300"/>
    <w:lvl w:ilvl="0" w:tplc="F2C4C8D8">
      <w:start w:val="1"/>
      <w:numFmt w:val="lowerLetter"/>
      <w:lvlText w:val="%1)"/>
      <w:lvlJc w:val="left"/>
      <w:pPr>
        <w:ind w:left="781" w:hanging="360"/>
      </w:pPr>
      <w:rPr>
        <w:rFonts w:eastAsia="MS Mincho" w:hint="default"/>
        <w:b/>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5"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7"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15:restartNumberingAfterBreak="0">
    <w:nsid w:val="231631D3"/>
    <w:multiLevelType w:val="hybridMultilevel"/>
    <w:tmpl w:val="A99E8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453F03"/>
    <w:multiLevelType w:val="hybridMultilevel"/>
    <w:tmpl w:val="C114A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2"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5" w15:restartNumberingAfterBreak="0">
    <w:nsid w:val="4280758D"/>
    <w:multiLevelType w:val="hybridMultilevel"/>
    <w:tmpl w:val="85CED300"/>
    <w:lvl w:ilvl="0" w:tplc="FFFFFFFF">
      <w:start w:val="1"/>
      <w:numFmt w:val="lowerLetter"/>
      <w:lvlText w:val="%1)"/>
      <w:lvlJc w:val="left"/>
      <w:pPr>
        <w:ind w:left="781" w:hanging="360"/>
      </w:pPr>
      <w:rPr>
        <w:rFonts w:eastAsia="MS Mincho" w:hint="default"/>
        <w:b/>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6"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167945"/>
    <w:multiLevelType w:val="hybridMultilevel"/>
    <w:tmpl w:val="4FA85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32"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33"/>
  </w:num>
  <w:num w:numId="2">
    <w:abstractNumId w:val="21"/>
  </w:num>
  <w:num w:numId="3">
    <w:abstractNumId w:val="31"/>
  </w:num>
  <w:num w:numId="4">
    <w:abstractNumId w:val="15"/>
  </w:num>
  <w:num w:numId="5">
    <w:abstractNumId w:val="32"/>
  </w:num>
  <w:num w:numId="6">
    <w:abstractNumId w:val="13"/>
  </w:num>
  <w:num w:numId="7">
    <w:abstractNumId w:val="27"/>
  </w:num>
  <w:num w:numId="8">
    <w:abstractNumId w:val="29"/>
  </w:num>
  <w:num w:numId="9">
    <w:abstractNumId w:val="16"/>
  </w:num>
  <w:num w:numId="10">
    <w:abstractNumId w:val="20"/>
  </w:num>
  <w:num w:numId="11">
    <w:abstractNumId w:val="26"/>
  </w:num>
  <w:num w:numId="12">
    <w:abstractNumId w:val="23"/>
  </w:num>
  <w:num w:numId="13">
    <w:abstractNumId w:val="2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7"/>
  </w:num>
  <w:num w:numId="30">
    <w:abstractNumId w:val="24"/>
  </w:num>
  <w:num w:numId="31">
    <w:abstractNumId w:val="14"/>
  </w:num>
  <w:num w:numId="32">
    <w:abstractNumId w:val="19"/>
  </w:num>
  <w:num w:numId="33">
    <w:abstractNumId w:val="30"/>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0AFF"/>
    <w:rsid w:val="00045D93"/>
    <w:rsid w:val="00077F88"/>
    <w:rsid w:val="00092C3B"/>
    <w:rsid w:val="0009553B"/>
    <w:rsid w:val="000D10F6"/>
    <w:rsid w:val="000D7C78"/>
    <w:rsid w:val="000E5EC2"/>
    <w:rsid w:val="00112E28"/>
    <w:rsid w:val="0012539F"/>
    <w:rsid w:val="001412A0"/>
    <w:rsid w:val="001414B4"/>
    <w:rsid w:val="00161803"/>
    <w:rsid w:val="0016249C"/>
    <w:rsid w:val="00191187"/>
    <w:rsid w:val="001A3AFC"/>
    <w:rsid w:val="001B2DF1"/>
    <w:rsid w:val="001E17B9"/>
    <w:rsid w:val="002003BB"/>
    <w:rsid w:val="002056E5"/>
    <w:rsid w:val="00264081"/>
    <w:rsid w:val="002A53F3"/>
    <w:rsid w:val="002E003F"/>
    <w:rsid w:val="002E4E2B"/>
    <w:rsid w:val="002F1352"/>
    <w:rsid w:val="002F4CC1"/>
    <w:rsid w:val="00305FAB"/>
    <w:rsid w:val="00311962"/>
    <w:rsid w:val="00347B47"/>
    <w:rsid w:val="003A6CB8"/>
    <w:rsid w:val="003D5928"/>
    <w:rsid w:val="003D68A0"/>
    <w:rsid w:val="00400E69"/>
    <w:rsid w:val="00407D43"/>
    <w:rsid w:val="00420CCF"/>
    <w:rsid w:val="00421BEB"/>
    <w:rsid w:val="00456249"/>
    <w:rsid w:val="00460313"/>
    <w:rsid w:val="00487D91"/>
    <w:rsid w:val="00491664"/>
    <w:rsid w:val="004D60DA"/>
    <w:rsid w:val="004E4DC8"/>
    <w:rsid w:val="004E76B3"/>
    <w:rsid w:val="00560FD4"/>
    <w:rsid w:val="005852DF"/>
    <w:rsid w:val="005C6934"/>
    <w:rsid w:val="005E7597"/>
    <w:rsid w:val="005F1258"/>
    <w:rsid w:val="0061240B"/>
    <w:rsid w:val="00623407"/>
    <w:rsid w:val="00625B1F"/>
    <w:rsid w:val="006963B4"/>
    <w:rsid w:val="006C30AE"/>
    <w:rsid w:val="006D65D8"/>
    <w:rsid w:val="006E5D34"/>
    <w:rsid w:val="006F79C4"/>
    <w:rsid w:val="00720389"/>
    <w:rsid w:val="00731F6E"/>
    <w:rsid w:val="0075102F"/>
    <w:rsid w:val="00762D44"/>
    <w:rsid w:val="0076507F"/>
    <w:rsid w:val="007973E4"/>
    <w:rsid w:val="007D3761"/>
    <w:rsid w:val="007D58CA"/>
    <w:rsid w:val="0081069A"/>
    <w:rsid w:val="00833F29"/>
    <w:rsid w:val="00834200"/>
    <w:rsid w:val="00864D46"/>
    <w:rsid w:val="008A2F65"/>
    <w:rsid w:val="008B1530"/>
    <w:rsid w:val="008B5846"/>
    <w:rsid w:val="008D1A5D"/>
    <w:rsid w:val="008D3C8D"/>
    <w:rsid w:val="008D52D6"/>
    <w:rsid w:val="008E2F5F"/>
    <w:rsid w:val="008F455C"/>
    <w:rsid w:val="008F4FE8"/>
    <w:rsid w:val="0091068D"/>
    <w:rsid w:val="009357EC"/>
    <w:rsid w:val="00953CA3"/>
    <w:rsid w:val="00961555"/>
    <w:rsid w:val="00981AC0"/>
    <w:rsid w:val="009B421D"/>
    <w:rsid w:val="00A00113"/>
    <w:rsid w:val="00A010DB"/>
    <w:rsid w:val="00A663BD"/>
    <w:rsid w:val="00AC3AEA"/>
    <w:rsid w:val="00AE11EF"/>
    <w:rsid w:val="00AE48C2"/>
    <w:rsid w:val="00AF70A8"/>
    <w:rsid w:val="00B03FCA"/>
    <w:rsid w:val="00B615C0"/>
    <w:rsid w:val="00B85BAE"/>
    <w:rsid w:val="00B91B22"/>
    <w:rsid w:val="00BA4319"/>
    <w:rsid w:val="00BB3D67"/>
    <w:rsid w:val="00BB42AF"/>
    <w:rsid w:val="00BB7343"/>
    <w:rsid w:val="00BC14BE"/>
    <w:rsid w:val="00BD3AC2"/>
    <w:rsid w:val="00BD5691"/>
    <w:rsid w:val="00BD5960"/>
    <w:rsid w:val="00BE39D2"/>
    <w:rsid w:val="00C02DEB"/>
    <w:rsid w:val="00C52970"/>
    <w:rsid w:val="00C97A7B"/>
    <w:rsid w:val="00CB1875"/>
    <w:rsid w:val="00CB4288"/>
    <w:rsid w:val="00CF1374"/>
    <w:rsid w:val="00CF375A"/>
    <w:rsid w:val="00D12DFE"/>
    <w:rsid w:val="00D547D4"/>
    <w:rsid w:val="00D639B9"/>
    <w:rsid w:val="00D905EA"/>
    <w:rsid w:val="00D93895"/>
    <w:rsid w:val="00DD088F"/>
    <w:rsid w:val="00DD3886"/>
    <w:rsid w:val="00DE7F66"/>
    <w:rsid w:val="00DF34BB"/>
    <w:rsid w:val="00E16443"/>
    <w:rsid w:val="00E30BB7"/>
    <w:rsid w:val="00E323AB"/>
    <w:rsid w:val="00E53E49"/>
    <w:rsid w:val="00E65B3A"/>
    <w:rsid w:val="00E74FCF"/>
    <w:rsid w:val="00E80D82"/>
    <w:rsid w:val="00EC4C96"/>
    <w:rsid w:val="00EC5AE7"/>
    <w:rsid w:val="00ED2C17"/>
    <w:rsid w:val="00ED5CD6"/>
    <w:rsid w:val="00F13904"/>
    <w:rsid w:val="00F22790"/>
    <w:rsid w:val="00FA4938"/>
    <w:rsid w:val="00FA574B"/>
    <w:rsid w:val="00FC008B"/>
    <w:rsid w:val="00FC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uiPriority w:val="99"/>
    <w:rsid w:val="007D58CA"/>
    <w:pPr>
      <w:tabs>
        <w:tab w:val="center" w:pos="4536"/>
        <w:tab w:val="right" w:pos="9072"/>
      </w:tabs>
    </w:pPr>
  </w:style>
  <w:style w:type="character" w:customStyle="1" w:styleId="ZpatChar">
    <w:name w:val="Zápatí Char"/>
    <w:basedOn w:val="Standardnpsmoodstavce"/>
    <w:link w:val="Zpat"/>
    <w:uiPriority w:val="99"/>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character" w:styleId="Siln">
    <w:name w:val="Strong"/>
    <w:basedOn w:val="Standardnpsmoodstavce"/>
    <w:uiPriority w:val="22"/>
    <w:qFormat/>
    <w:rsid w:val="00E53E49"/>
    <w:rPr>
      <w:b/>
      <w:bCs/>
    </w:rPr>
  </w:style>
  <w:style w:type="character" w:customStyle="1" w:styleId="fn">
    <w:name w:val="fn"/>
    <w:basedOn w:val="Standardnpsmoodstavce"/>
    <w:rsid w:val="0030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4394">
      <w:bodyDiv w:val="1"/>
      <w:marLeft w:val="0"/>
      <w:marRight w:val="0"/>
      <w:marTop w:val="0"/>
      <w:marBottom w:val="0"/>
      <w:divBdr>
        <w:top w:val="none" w:sz="0" w:space="0" w:color="auto"/>
        <w:left w:val="none" w:sz="0" w:space="0" w:color="auto"/>
        <w:bottom w:val="none" w:sz="0" w:space="0" w:color="auto"/>
        <w:right w:val="none" w:sz="0" w:space="0" w:color="auto"/>
      </w:divBdr>
    </w:div>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447506012">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83A3-F897-4CB1-A29A-A9BCA162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1251</Words>
  <Characters>7387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cp:lastModifiedBy>
  <cp:revision>3</cp:revision>
  <cp:lastPrinted>2023-09-04T12:39:00Z</cp:lastPrinted>
  <dcterms:created xsi:type="dcterms:W3CDTF">2023-08-29T10:26:00Z</dcterms:created>
  <dcterms:modified xsi:type="dcterms:W3CDTF">2023-09-04T12:45:00Z</dcterms:modified>
</cp:coreProperties>
</file>