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1190700331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0"/>
        <w:ind w:left="0"/>
        <w:jc w:val="left"/>
        <w:rPr>
          <w:sz w:val="60"/>
        </w:rPr>
      </w:pPr>
    </w:p>
    <w:p>
      <w:pPr>
        <w:pStyle w:val="BodyText"/>
        <w:spacing w:before="0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/>
        <w:jc w:val="left"/>
      </w:pPr>
    </w:p>
    <w:p>
      <w:pPr>
        <w:pStyle w:val="Heading2"/>
        <w:jc w:val="left"/>
      </w:pPr>
      <w:r>
        <w:rPr/>
        <w:t>"</w:t>
      </w:r>
      <w:r>
        <w:rPr>
          <w:spacing w:val="-7"/>
        </w:rPr>
        <w:t> </w:t>
      </w:r>
      <w:r>
        <w:rPr/>
        <w:t>Lesní</w:t>
      </w:r>
      <w:r>
        <w:rPr>
          <w:spacing w:val="-7"/>
        </w:rPr>
        <w:t> </w:t>
      </w:r>
      <w:r>
        <w:rPr/>
        <w:t>mateřská</w:t>
      </w:r>
      <w:r>
        <w:rPr>
          <w:spacing w:val="-7"/>
        </w:rPr>
        <w:t> </w:t>
      </w:r>
      <w:r>
        <w:rPr/>
        <w:t>škola</w:t>
      </w:r>
      <w:r>
        <w:rPr>
          <w:spacing w:val="-7"/>
        </w:rPr>
        <w:t> </w:t>
      </w:r>
      <w:r>
        <w:rPr/>
        <w:t>skřítka</w:t>
      </w:r>
      <w:r>
        <w:rPr>
          <w:spacing w:val="-7"/>
        </w:rPr>
        <w:t> </w:t>
      </w:r>
      <w:r>
        <w:rPr/>
        <w:t>Pohádky,</w:t>
      </w:r>
      <w:r>
        <w:rPr>
          <w:spacing w:val="-9"/>
        </w:rPr>
        <w:t> </w:t>
      </w:r>
      <w:r>
        <w:rPr>
          <w:spacing w:val="-4"/>
        </w:rPr>
        <w:t>z.s."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Kolmá</w:t>
      </w:r>
      <w:r>
        <w:rPr>
          <w:spacing w:val="-6"/>
        </w:rPr>
        <w:t> </w:t>
      </w:r>
      <w:r>
        <w:rPr/>
        <w:t>570,</w:t>
      </w:r>
      <w:r>
        <w:rPr>
          <w:spacing w:val="-5"/>
        </w:rPr>
        <w:t> </w:t>
      </w:r>
      <w:r>
        <w:rPr/>
        <w:t>252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>
          <w:spacing w:val="-2"/>
        </w:rPr>
        <w:t>Zvole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02157110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>
          <w:spacing w:val="-2"/>
        </w:rPr>
        <w:t>zastoupený:</w:t>
      </w:r>
      <w:r>
        <w:rPr/>
        <w:tab/>
      </w:r>
      <w:r>
        <w:rPr>
          <w:w w:val="95"/>
        </w:rPr>
        <w:t>Martinou</w:t>
      </w:r>
      <w:r>
        <w:rPr>
          <w:spacing w:val="11"/>
        </w:rPr>
        <w:t> </w:t>
      </w:r>
      <w:r>
        <w:rPr>
          <w:w w:val="95"/>
        </w:rPr>
        <w:t>Š</w:t>
      </w:r>
      <w:r>
        <w:rPr>
          <w:spacing w:val="-3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j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v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u</w:t>
      </w:r>
      <w:r>
        <w:rPr>
          <w:spacing w:val="-4"/>
          <w:w w:val="95"/>
        </w:rPr>
        <w:t> </w:t>
      </w:r>
      <w:r>
        <w:rPr>
          <w:w w:val="95"/>
        </w:rPr>
        <w:t>,</w:t>
      </w:r>
      <w:r>
        <w:rPr>
          <w:spacing w:val="-2"/>
          <w:w w:val="95"/>
        </w:rPr>
        <w:t> </w:t>
      </w:r>
      <w:r>
        <w:rPr>
          <w:w w:val="95"/>
        </w:rPr>
        <w:t>předsedkyní</w:t>
      </w:r>
      <w:r>
        <w:rPr>
          <w:spacing w:val="11"/>
        </w:rPr>
        <w:t> </w:t>
      </w:r>
      <w:r>
        <w:rPr>
          <w:spacing w:val="-2"/>
          <w:w w:val="95"/>
        </w:rPr>
        <w:t>spolku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/>
        <w:jc w:val="left"/>
      </w:pPr>
      <w:r>
        <w:rPr/>
        <w:t>číslo účtu:</w:t>
        <w:tab/>
      </w:r>
      <w:r>
        <w:rPr>
          <w:spacing w:val="-2"/>
        </w:rPr>
        <w:t>2700486493/2010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0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1190700331 o poskytnutí finančních prostředků ze Státního fondu životního prostředí ČR ze dne 20.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 w:befor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544"/>
        <w:jc w:val="left"/>
      </w:pPr>
      <w:r>
        <w:rPr/>
        <w:t>„Zlepšení</w:t>
      </w:r>
      <w:r>
        <w:rPr>
          <w:spacing w:val="-5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pro</w:t>
      </w:r>
      <w:r>
        <w:rPr>
          <w:spacing w:val="-7"/>
        </w:rPr>
        <w:t> </w:t>
      </w:r>
      <w:r>
        <w:rPr/>
        <w:t>venkovní</w:t>
      </w:r>
      <w:r>
        <w:rPr>
          <w:spacing w:val="-7"/>
        </w:rPr>
        <w:t> </w:t>
      </w:r>
      <w:r>
        <w:rPr/>
        <w:t>výuku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vylepšení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LMŠ</w:t>
      </w:r>
      <w:r>
        <w:rPr>
          <w:spacing w:val="-7"/>
        </w:rPr>
        <w:t> </w:t>
      </w:r>
      <w:r>
        <w:rPr/>
        <w:t>skřítka</w:t>
      </w:r>
      <w:r>
        <w:rPr>
          <w:spacing w:val="-5"/>
        </w:rPr>
        <w:t> </w:t>
      </w:r>
      <w:r>
        <w:rPr/>
        <w:t>Pohádky ve</w:t>
      </w:r>
      <w:r>
        <w:rPr>
          <w:spacing w:val="-5"/>
        </w:rPr>
        <w:t> </w:t>
      </w:r>
      <w:r>
        <w:rPr>
          <w:spacing w:val="-2"/>
        </w:rPr>
        <w:t>Zvoli</w:t>
      </w:r>
    </w:p>
    <w:p>
      <w:pPr>
        <w:spacing w:before="1"/>
        <w:ind w:left="4680" w:right="0" w:firstLine="0"/>
        <w:jc w:val="left"/>
        <w:rPr>
          <w:b/>
          <w:sz w:val="20"/>
        </w:rPr>
      </w:pPr>
      <w:r>
        <w:rPr>
          <w:b/>
          <w:sz w:val="20"/>
        </w:rPr>
        <w:t>u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Prahy“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27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457,54 Kč </w:t>
      </w:r>
      <w:r>
        <w:rPr>
          <w:sz w:val="20"/>
        </w:rPr>
        <w:t>(slovy: dvě sta čtyři tisíc čtyři sta padesát sedm korun českých a padesát čtyři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240 538,29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9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>
          <w:spacing w:val="-4"/>
        </w:rPr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bodech</w:t>
      </w:r>
      <w:r>
        <w:rPr>
          <w:spacing w:val="-9"/>
          <w:sz w:val="20"/>
        </w:rPr>
        <w:t> </w:t>
      </w:r>
      <w:r>
        <w:rPr>
          <w:sz w:val="20"/>
        </w:rPr>
        <w:t>10–15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9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0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457,54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25"/>
          <w:sz w:val="20"/>
        </w:rPr>
        <w:t> </w:t>
      </w:r>
      <w:r>
        <w:rPr>
          <w:sz w:val="20"/>
        </w:rPr>
        <w:t>žádostí</w:t>
      </w:r>
      <w:r>
        <w:rPr>
          <w:spacing w:val="25"/>
          <w:sz w:val="20"/>
        </w:rPr>
        <w:t> </w:t>
      </w:r>
      <w:r>
        <w:rPr>
          <w:sz w:val="20"/>
        </w:rPr>
        <w:t>o uvolnění</w:t>
      </w:r>
      <w:r>
        <w:rPr>
          <w:spacing w:val="25"/>
          <w:sz w:val="20"/>
        </w:rPr>
        <w:t> </w:t>
      </w:r>
      <w:r>
        <w:rPr>
          <w:sz w:val="20"/>
        </w:rPr>
        <w:t>finančních</w:t>
      </w:r>
      <w:r>
        <w:rPr>
          <w:spacing w:val="25"/>
          <w:sz w:val="20"/>
        </w:rPr>
        <w:t> </w:t>
      </w:r>
      <w:r>
        <w:rPr>
          <w:sz w:val="20"/>
        </w:rPr>
        <w:t>prostředků,</w:t>
      </w:r>
      <w:r>
        <w:rPr>
          <w:spacing w:val="25"/>
          <w:sz w:val="20"/>
        </w:rPr>
        <w:t> </w:t>
      </w:r>
      <w:r>
        <w:rPr>
          <w:sz w:val="20"/>
        </w:rPr>
        <w:t>(bod</w:t>
      </w:r>
      <w:r>
        <w:rPr>
          <w:spacing w:val="25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4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11"/>
        </w:rPr>
        <w:t> </w:t>
      </w:r>
      <w:r>
        <w:rPr/>
        <w:t>vynaložených</w:t>
      </w:r>
      <w:r>
        <w:rPr>
          <w:spacing w:val="-10"/>
        </w:rPr>
        <w:t> </w:t>
      </w:r>
      <w:r>
        <w:rPr/>
        <w:t>finančních</w:t>
      </w:r>
      <w:r>
        <w:rPr>
          <w:spacing w:val="-10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0"/>
        <w:ind w:left="923" w:right="117"/>
      </w:pPr>
      <w:r>
        <w:rPr/>
        <w:t>„Zlepšení</w:t>
      </w:r>
      <w:r>
        <w:rPr>
          <w:spacing w:val="38"/>
        </w:rPr>
        <w:t> </w:t>
      </w:r>
      <w:r>
        <w:rPr/>
        <w:t>podmínek</w:t>
      </w:r>
      <w:r>
        <w:rPr>
          <w:spacing w:val="38"/>
        </w:rPr>
        <w:t> </w:t>
      </w:r>
      <w:r>
        <w:rPr/>
        <w:t>pro</w:t>
      </w:r>
      <w:r>
        <w:rPr>
          <w:spacing w:val="39"/>
        </w:rPr>
        <w:t> </w:t>
      </w:r>
      <w:r>
        <w:rPr/>
        <w:t>venkovní</w:t>
      </w:r>
      <w:r>
        <w:rPr>
          <w:spacing w:val="38"/>
        </w:rPr>
        <w:t> </w:t>
      </w:r>
      <w:r>
        <w:rPr/>
        <w:t>výuku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vylepšení</w:t>
      </w:r>
      <w:r>
        <w:rPr>
          <w:spacing w:val="40"/>
        </w:rPr>
        <w:t> </w:t>
      </w:r>
      <w:r>
        <w:rPr/>
        <w:t>prostředí</w:t>
      </w:r>
      <w:r>
        <w:rPr>
          <w:spacing w:val="38"/>
        </w:rPr>
        <w:t> </w:t>
      </w:r>
      <w:r>
        <w:rPr/>
        <w:t>v</w:t>
      </w:r>
      <w:r>
        <w:rPr>
          <w:spacing w:val="39"/>
        </w:rPr>
        <w:t> </w:t>
      </w:r>
      <w:r>
        <w:rPr/>
        <w:t>LMŠ</w:t>
      </w:r>
      <w:r>
        <w:rPr>
          <w:spacing w:val="38"/>
        </w:rPr>
        <w:t> </w:t>
      </w:r>
      <w:r>
        <w:rPr/>
        <w:t>skřítka</w:t>
      </w:r>
      <w:r>
        <w:rPr>
          <w:spacing w:val="40"/>
        </w:rPr>
        <w:t> </w:t>
      </w:r>
      <w:r>
        <w:rPr/>
        <w:t>Pohádky</w:t>
      </w:r>
      <w:r>
        <w:rPr>
          <w:spacing w:val="38"/>
        </w:rPr>
        <w:t> </w:t>
      </w:r>
      <w:r>
        <w:rPr/>
        <w:t>ve</w:t>
      </w:r>
      <w:r>
        <w:rPr>
          <w:spacing w:val="40"/>
        </w:rPr>
        <w:t> </w:t>
      </w:r>
      <w:r>
        <w:rPr/>
        <w:t>Zvoli u Prahy“ ze dne 22. 3. 2020, včetně případných změn a doplňků těchto dokumentů, pokud je Fond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7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12/2020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12/2022</w:t>
      </w:r>
      <w:r>
        <w:rPr>
          <w:spacing w:val="-4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předměty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aktualizovaném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ze dne 24. 3. 2023,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ind w:left="923" w:right="112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6"/>
          <w:sz w:val="20"/>
        </w:rPr>
        <w:t> </w:t>
      </w:r>
      <w:r>
        <w:rPr>
          <w:sz w:val="20"/>
        </w:rPr>
        <w:t>co</w:t>
      </w:r>
      <w:r>
        <w:rPr>
          <w:spacing w:val="-5"/>
          <w:sz w:val="20"/>
        </w:rPr>
        <w:t> </w:t>
      </w:r>
      <w:r>
        <w:rPr>
          <w:sz w:val="20"/>
        </w:rPr>
        <w:t>odpadl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pro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 w:right="118"/>
      </w:pPr>
      <w:r>
        <w:rPr/>
        <w:t>který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podpora</w:t>
      </w:r>
      <w:r>
        <w:rPr>
          <w:spacing w:val="-8"/>
        </w:rPr>
        <w:t> </w:t>
      </w:r>
      <w:r>
        <w:rPr/>
        <w:t>poskytována;</w:t>
      </w:r>
      <w:r>
        <w:rPr>
          <w:spacing w:val="-8"/>
        </w:rPr>
        <w:t> </w:t>
      </w:r>
      <w:r>
        <w:rPr/>
        <w:t>stejně</w:t>
      </w:r>
      <w:r>
        <w:rPr>
          <w:spacing w:val="-9"/>
        </w:rPr>
        <w:t> </w:t>
      </w:r>
      <w:r>
        <w:rPr/>
        <w:t>je</w:t>
      </w:r>
      <w:r>
        <w:rPr>
          <w:spacing w:val="-9"/>
        </w:rPr>
        <w:t> </w:t>
      </w:r>
      <w:r>
        <w:rPr/>
        <w:t>povinen</w:t>
      </w:r>
      <w:r>
        <w:rPr>
          <w:spacing w:val="-8"/>
        </w:rPr>
        <w:t> </w:t>
      </w:r>
      <w:r>
        <w:rPr/>
        <w:t>postupovat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oprávněná</w:t>
      </w:r>
      <w:r>
        <w:rPr>
          <w:spacing w:val="-8"/>
        </w:rPr>
        <w:t> </w:t>
      </w:r>
      <w:r>
        <w:rPr/>
        <w:t>potřeba</w:t>
      </w:r>
      <w:r>
        <w:rPr>
          <w:spacing w:val="-8"/>
        </w:rPr>
        <w:t> </w:t>
      </w:r>
      <w:r>
        <w:rPr/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 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pacing w:val="-5"/>
          <w:sz w:val="20"/>
        </w:rPr>
        <w:t> </w:t>
      </w:r>
      <w:r>
        <w:rPr>
          <w:sz w:val="20"/>
        </w:rPr>
        <w:t>sekce</w:t>
      </w:r>
      <w:r>
        <w:rPr>
          <w:spacing w:val="-5"/>
          <w:sz w:val="20"/>
        </w:rPr>
        <w:t> </w:t>
      </w:r>
      <w:r>
        <w:rPr>
          <w:sz w:val="20"/>
        </w:rPr>
        <w:t>Národní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Životní</w:t>
      </w:r>
      <w:r>
        <w:rPr>
          <w:spacing w:val="-5"/>
          <w:sz w:val="20"/>
        </w:rPr>
        <w:t> </w:t>
      </w:r>
      <w:r>
        <w:rPr>
          <w:sz w:val="20"/>
        </w:rPr>
        <w:t>prostředí 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– 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 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0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ind w:left="3275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 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0"/>
        <w:ind w:left="242"/>
        <w:jc w:val="left"/>
      </w:pPr>
      <w:r>
        <w:rPr>
          <w:spacing w:val="-4"/>
        </w:rPr>
        <w:t>dne: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2023-09-04T08:10:29Z</dcterms:created>
  <dcterms:modified xsi:type="dcterms:W3CDTF">2023-09-04T08:10:29Z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