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14A9">
      <w:pPr>
        <w:pStyle w:val="Style2"/>
        <w:widowControl/>
        <w:spacing w:before="86"/>
        <w:ind w:left="821"/>
        <w:jc w:val="both"/>
        <w:rPr>
          <w:rStyle w:val="FontStyle20"/>
        </w:rPr>
      </w:pPr>
      <w:r>
        <w:rPr>
          <w:rStyle w:val="FontStyle20"/>
        </w:rPr>
        <w:t xml:space="preserve">Dodatek č. 3 k nájemní smlouvě ze dne </w:t>
      </w:r>
      <w:proofErr w:type="gramStart"/>
      <w:r>
        <w:rPr>
          <w:rStyle w:val="FontStyle20"/>
        </w:rPr>
        <w:t>10.9.2002</w:t>
      </w:r>
      <w:proofErr w:type="gramEnd"/>
    </w:p>
    <w:p w:rsidR="00000000" w:rsidRDefault="00BE14A9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BE14A9">
      <w:pPr>
        <w:pStyle w:val="Style1"/>
        <w:widowControl/>
        <w:spacing w:before="70" w:line="259" w:lineRule="exact"/>
        <w:rPr>
          <w:rStyle w:val="FontStyle19"/>
        </w:rPr>
      </w:pPr>
      <w:proofErr w:type="gramStart"/>
      <w:r>
        <w:rPr>
          <w:rStyle w:val="FontStyle19"/>
        </w:rPr>
        <w:t>K.E.S.</w:t>
      </w:r>
      <w:proofErr w:type="gramEnd"/>
      <w:r>
        <w:rPr>
          <w:rStyle w:val="FontStyle19"/>
        </w:rPr>
        <w:t>, spol. s r.o.,</w:t>
      </w:r>
    </w:p>
    <w:p w:rsidR="00000000" w:rsidRDefault="00BE14A9">
      <w:pPr>
        <w:pStyle w:val="Style1"/>
        <w:widowControl/>
        <w:spacing w:line="259" w:lineRule="exact"/>
        <w:ind w:right="2419"/>
        <w:rPr>
          <w:rStyle w:val="FontStyle19"/>
        </w:rPr>
      </w:pPr>
      <w:r>
        <w:rPr>
          <w:rStyle w:val="FontStyle19"/>
        </w:rPr>
        <w:t xml:space="preserve">se sídlem Pernštýnská </w:t>
      </w:r>
      <w:proofErr w:type="gramStart"/>
      <w:r>
        <w:rPr>
          <w:rStyle w:val="FontStyle19"/>
        </w:rPr>
        <w:t>č.p.</w:t>
      </w:r>
      <w:proofErr w:type="gramEnd"/>
      <w:r>
        <w:rPr>
          <w:rStyle w:val="FontStyle19"/>
        </w:rPr>
        <w:t xml:space="preserve"> 6, 530 02 Pardubice - Staré město, zastoupená Ing. Vladimí</w:t>
      </w:r>
      <w:r>
        <w:rPr>
          <w:rStyle w:val="FontStyle19"/>
        </w:rPr>
        <w:t xml:space="preserve">rem </w:t>
      </w:r>
      <w:proofErr w:type="spellStart"/>
      <w:r>
        <w:rPr>
          <w:rStyle w:val="FontStyle19"/>
        </w:rPr>
        <w:t>Engelmajerem</w:t>
      </w:r>
      <w:proofErr w:type="spellEnd"/>
      <w:r>
        <w:rPr>
          <w:rStyle w:val="FontStyle19"/>
        </w:rPr>
        <w:t>, jednatelem společnosti, IČ 421 97 201 (dále jen „pronajímatel")</w:t>
      </w:r>
    </w:p>
    <w:p w:rsidR="00000000" w:rsidRDefault="00BE14A9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BE14A9">
      <w:pPr>
        <w:pStyle w:val="Style1"/>
        <w:widowControl/>
        <w:spacing w:before="34"/>
        <w:rPr>
          <w:rStyle w:val="FontStyle19"/>
        </w:rPr>
      </w:pPr>
      <w:r>
        <w:rPr>
          <w:rStyle w:val="FontStyle19"/>
        </w:rPr>
        <w:t>a</w:t>
      </w:r>
    </w:p>
    <w:p w:rsidR="00000000" w:rsidRDefault="00BE14A9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BE14A9">
      <w:pPr>
        <w:pStyle w:val="Style1"/>
        <w:widowControl/>
        <w:spacing w:before="48" w:line="266" w:lineRule="exact"/>
        <w:rPr>
          <w:rStyle w:val="FontStyle19"/>
        </w:rPr>
      </w:pPr>
      <w:r>
        <w:rPr>
          <w:rStyle w:val="FontStyle19"/>
        </w:rPr>
        <w:t>Statutární město Pardubice,</w:t>
      </w:r>
    </w:p>
    <w:p w:rsidR="00000000" w:rsidRDefault="00BE14A9">
      <w:pPr>
        <w:pStyle w:val="Style1"/>
        <w:widowControl/>
        <w:spacing w:line="266" w:lineRule="exact"/>
        <w:ind w:right="3226"/>
        <w:rPr>
          <w:rStyle w:val="FontStyle19"/>
        </w:rPr>
      </w:pPr>
      <w:r>
        <w:rPr>
          <w:rStyle w:val="FontStyle19"/>
        </w:rPr>
        <w:t xml:space="preserve">se sídlem Pernštýnské náměstí </w:t>
      </w:r>
      <w:proofErr w:type="gramStart"/>
      <w:r>
        <w:rPr>
          <w:rStyle w:val="FontStyle19"/>
        </w:rPr>
        <w:t>č.p.</w:t>
      </w:r>
      <w:proofErr w:type="gramEnd"/>
      <w:r>
        <w:rPr>
          <w:rStyle w:val="FontStyle19"/>
        </w:rPr>
        <w:t xml:space="preserve"> 1, 530 21 Pardubice, zastoupené MUDr. Štěpánkou Fraňkovou primátorkou města, IČ 00 27 40 46 (dále jen „náje</w:t>
      </w:r>
      <w:r>
        <w:rPr>
          <w:rStyle w:val="FontStyle19"/>
        </w:rPr>
        <w:t>mce")</w:t>
      </w:r>
    </w:p>
    <w:p w:rsidR="00000000" w:rsidRDefault="00BE14A9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BE14A9">
      <w:pPr>
        <w:pStyle w:val="Style1"/>
        <w:widowControl/>
        <w:spacing w:before="19"/>
        <w:rPr>
          <w:rStyle w:val="FontStyle19"/>
        </w:rPr>
      </w:pPr>
      <w:r>
        <w:rPr>
          <w:rStyle w:val="FontStyle19"/>
        </w:rPr>
        <w:t>uzavřely níže uvedeného dne, měsíce a roku tento:</w:t>
      </w:r>
    </w:p>
    <w:p w:rsidR="00000000" w:rsidRDefault="00BE14A9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E14A9">
      <w:pPr>
        <w:pStyle w:val="Style8"/>
        <w:widowControl/>
        <w:spacing w:before="19"/>
        <w:jc w:val="center"/>
        <w:rPr>
          <w:rStyle w:val="FontStyle21"/>
        </w:rPr>
      </w:pPr>
      <w:r>
        <w:rPr>
          <w:rStyle w:val="FontStyle21"/>
        </w:rPr>
        <w:t xml:space="preserve">dodatek č. 3 k nájemní smlouvě ze dne </w:t>
      </w:r>
      <w:proofErr w:type="gramStart"/>
      <w:r>
        <w:rPr>
          <w:rStyle w:val="FontStyle21"/>
        </w:rPr>
        <w:t>10.9.2002</w:t>
      </w:r>
      <w:proofErr w:type="gramEnd"/>
    </w:p>
    <w:p w:rsidR="00000000" w:rsidRDefault="00BE14A9">
      <w:pPr>
        <w:pStyle w:val="Style9"/>
        <w:widowControl/>
        <w:spacing w:line="240" w:lineRule="exact"/>
        <w:ind w:left="3600" w:right="3607"/>
        <w:rPr>
          <w:sz w:val="20"/>
          <w:szCs w:val="20"/>
        </w:rPr>
      </w:pPr>
    </w:p>
    <w:p w:rsidR="00483B65" w:rsidRDefault="00BE14A9">
      <w:pPr>
        <w:pStyle w:val="Style9"/>
        <w:widowControl/>
        <w:spacing w:before="77"/>
        <w:ind w:left="3600" w:right="3607"/>
        <w:rPr>
          <w:rStyle w:val="FontStyle19"/>
        </w:rPr>
      </w:pPr>
      <w:r>
        <w:rPr>
          <w:rStyle w:val="FontStyle19"/>
        </w:rPr>
        <w:t xml:space="preserve">Článek I. </w:t>
      </w:r>
    </w:p>
    <w:p w:rsidR="00000000" w:rsidRDefault="00BE14A9">
      <w:pPr>
        <w:pStyle w:val="Style9"/>
        <w:widowControl/>
        <w:spacing w:before="77"/>
        <w:ind w:left="3600" w:right="3607"/>
        <w:rPr>
          <w:rStyle w:val="FontStyle19"/>
          <w:u w:val="single"/>
        </w:rPr>
      </w:pPr>
      <w:r>
        <w:rPr>
          <w:rStyle w:val="FontStyle19"/>
          <w:u w:val="single"/>
        </w:rPr>
        <w:t>Úvodní ustanovení</w:t>
      </w:r>
    </w:p>
    <w:p w:rsidR="00000000" w:rsidRDefault="00BE14A9">
      <w:pPr>
        <w:pStyle w:val="Style10"/>
        <w:widowControl/>
        <w:spacing w:line="240" w:lineRule="exact"/>
        <w:ind w:left="353"/>
        <w:rPr>
          <w:sz w:val="20"/>
          <w:szCs w:val="20"/>
        </w:rPr>
      </w:pPr>
    </w:p>
    <w:p w:rsidR="00000000" w:rsidRDefault="00BE14A9">
      <w:pPr>
        <w:pStyle w:val="Style10"/>
        <w:widowControl/>
        <w:spacing w:before="19"/>
        <w:ind w:left="353"/>
        <w:rPr>
          <w:rStyle w:val="FontStyle19"/>
        </w:rPr>
      </w:pPr>
      <w:r>
        <w:rPr>
          <w:rStyle w:val="FontStyle29"/>
          <w:spacing w:val="-20"/>
        </w:rPr>
        <w:t>1.</w:t>
      </w:r>
      <w:r>
        <w:rPr>
          <w:rStyle w:val="FontStyle29"/>
        </w:rPr>
        <w:t xml:space="preserve">  </w:t>
      </w:r>
      <w:r>
        <w:rPr>
          <w:rStyle w:val="FontStyle19"/>
        </w:rPr>
        <w:t xml:space="preserve">Pronajímatel a nájemce mají mezi sebou uzavřenou nájemní smlouvu ze dne </w:t>
      </w:r>
      <w:proofErr w:type="gramStart"/>
      <w:r>
        <w:rPr>
          <w:rStyle w:val="FontStyle19"/>
        </w:rPr>
        <w:t>10.9.2002</w:t>
      </w:r>
      <w:proofErr w:type="gramEnd"/>
      <w:r>
        <w:rPr>
          <w:rStyle w:val="FontStyle19"/>
        </w:rPr>
        <w:t xml:space="preserve"> ve znění dodatků č. 1 a 2 (dá</w:t>
      </w:r>
      <w:r>
        <w:rPr>
          <w:rStyle w:val="FontStyle19"/>
        </w:rPr>
        <w:t>le jen „Smlouva"). Smlouva je uzavřena za účelem provozu dopravního inspektorátu Magistrátu města Pardubic resp. nyní oddělení registru vozidel odboru dopravy Magistrátu města Pardubic a týká se nebytových prostor, o celkové výměře 298,2 m</w:t>
      </w:r>
      <w:r>
        <w:rPr>
          <w:rStyle w:val="FontStyle19"/>
          <w:vertAlign w:val="superscript"/>
        </w:rPr>
        <w:t>2</w:t>
      </w:r>
      <w:r>
        <w:rPr>
          <w:rStyle w:val="FontStyle19"/>
        </w:rPr>
        <w:t>, v 1. a 2. NP o</w:t>
      </w:r>
      <w:r>
        <w:rPr>
          <w:rStyle w:val="FontStyle19"/>
        </w:rPr>
        <w:t xml:space="preserve">bjektu </w:t>
      </w:r>
      <w:proofErr w:type="gramStart"/>
      <w:r>
        <w:rPr>
          <w:rStyle w:val="FontStyle19"/>
        </w:rPr>
        <w:t>č.p.</w:t>
      </w:r>
      <w:proofErr w:type="gramEnd"/>
      <w:r>
        <w:rPr>
          <w:rStyle w:val="FontStyle19"/>
        </w:rPr>
        <w:t xml:space="preserve"> 381, ul. Průmyslová, stojícím na pozemku označeném jako </w:t>
      </w:r>
      <w:proofErr w:type="spellStart"/>
      <w:r>
        <w:rPr>
          <w:rStyle w:val="FontStyle19"/>
        </w:rPr>
        <w:t>St.p.č</w:t>
      </w:r>
      <w:proofErr w:type="spellEnd"/>
      <w:r>
        <w:rPr>
          <w:rStyle w:val="FontStyle19"/>
        </w:rPr>
        <w:t xml:space="preserve">. 429/11 </w:t>
      </w:r>
      <w:proofErr w:type="spellStart"/>
      <w:r>
        <w:rPr>
          <w:rStyle w:val="FontStyle19"/>
        </w:rPr>
        <w:t>k.ú</w:t>
      </w:r>
      <w:proofErr w:type="spellEnd"/>
      <w:r>
        <w:rPr>
          <w:rStyle w:val="FontStyle19"/>
        </w:rPr>
        <w:t xml:space="preserve">. Pardubicky, obec Pardubice, část obce Pardubicky. Smlouva je uzavřena na dobu určitou do </w:t>
      </w:r>
      <w:proofErr w:type="gramStart"/>
      <w:r>
        <w:rPr>
          <w:rStyle w:val="FontStyle19"/>
        </w:rPr>
        <w:t>31.12.2012</w:t>
      </w:r>
      <w:proofErr w:type="gramEnd"/>
      <w:r>
        <w:rPr>
          <w:rStyle w:val="FontStyle19"/>
        </w:rPr>
        <w:t xml:space="preserve">. Obě smluvní strany mají zájem na ponechání dopravního inspektorátu </w:t>
      </w:r>
      <w:r>
        <w:rPr>
          <w:rStyle w:val="FontStyle19"/>
        </w:rPr>
        <w:t>resp. oddělení registru vozidel odboru dopravy Magistrátu města Pardubic ve stávajících prostorách a tím tedy na pokračování této smlouvy po uvedeném datu, přičemž si jsou však vědomy potřeby rozsáhlých úprav a dovybavení těchto prostor pro potřeby nájemce</w:t>
      </w:r>
      <w:r>
        <w:rPr>
          <w:rStyle w:val="FontStyle19"/>
        </w:rPr>
        <w:t>.</w:t>
      </w:r>
    </w:p>
    <w:p w:rsidR="00000000" w:rsidRDefault="00BE14A9">
      <w:pPr>
        <w:pStyle w:val="Style9"/>
        <w:widowControl/>
        <w:spacing w:line="240" w:lineRule="exact"/>
        <w:ind w:left="3679" w:right="3672"/>
        <w:rPr>
          <w:sz w:val="20"/>
          <w:szCs w:val="20"/>
        </w:rPr>
      </w:pPr>
    </w:p>
    <w:p w:rsidR="00483B65" w:rsidRDefault="00483B65">
      <w:pPr>
        <w:pStyle w:val="Style9"/>
        <w:widowControl/>
        <w:spacing w:line="240" w:lineRule="exact"/>
        <w:ind w:left="3679" w:right="3672"/>
        <w:rPr>
          <w:sz w:val="20"/>
          <w:szCs w:val="20"/>
        </w:rPr>
      </w:pPr>
    </w:p>
    <w:p w:rsidR="00483B65" w:rsidRDefault="00BE14A9">
      <w:pPr>
        <w:pStyle w:val="Style9"/>
        <w:widowControl/>
        <w:spacing w:before="12"/>
        <w:ind w:left="3679" w:right="3672"/>
        <w:rPr>
          <w:rStyle w:val="FontStyle19"/>
        </w:rPr>
      </w:pPr>
      <w:r>
        <w:rPr>
          <w:rStyle w:val="FontStyle19"/>
        </w:rPr>
        <w:t xml:space="preserve">Článek II. </w:t>
      </w:r>
    </w:p>
    <w:p w:rsidR="00000000" w:rsidRDefault="00BE14A9">
      <w:pPr>
        <w:pStyle w:val="Style9"/>
        <w:widowControl/>
        <w:spacing w:before="12"/>
        <w:ind w:left="3679" w:right="3672"/>
        <w:rPr>
          <w:rStyle w:val="FontStyle19"/>
          <w:u w:val="single"/>
        </w:rPr>
      </w:pPr>
      <w:r>
        <w:rPr>
          <w:rStyle w:val="FontStyle19"/>
          <w:u w:val="single"/>
        </w:rPr>
        <w:t>Předmět dodatku</w:t>
      </w:r>
    </w:p>
    <w:p w:rsidR="00000000" w:rsidRDefault="00BE14A9">
      <w:pPr>
        <w:pStyle w:val="Style6"/>
        <w:widowControl/>
        <w:spacing w:line="240" w:lineRule="exact"/>
        <w:ind w:left="353"/>
        <w:rPr>
          <w:sz w:val="20"/>
          <w:szCs w:val="20"/>
        </w:rPr>
      </w:pPr>
    </w:p>
    <w:p w:rsidR="00000000" w:rsidRDefault="00BE14A9" w:rsidP="00483B65">
      <w:pPr>
        <w:pStyle w:val="Style6"/>
        <w:widowControl/>
        <w:numPr>
          <w:ilvl w:val="0"/>
          <w:numId w:val="5"/>
        </w:numPr>
        <w:tabs>
          <w:tab w:val="left" w:pos="353"/>
        </w:tabs>
        <w:spacing w:before="19"/>
        <w:rPr>
          <w:rStyle w:val="FontStyle19"/>
        </w:rPr>
      </w:pPr>
      <w:r>
        <w:rPr>
          <w:rStyle w:val="FontStyle19"/>
        </w:rPr>
        <w:t>Smluvní strany se dohodly v souladu s usnesením Rady města Pardubic č. 3322/2012 ze dne</w:t>
      </w:r>
      <w:r>
        <w:rPr>
          <w:rStyle w:val="FontStyle19"/>
        </w:rPr>
        <w:br/>
      </w:r>
      <w:proofErr w:type="gramStart"/>
      <w:r>
        <w:rPr>
          <w:rStyle w:val="FontStyle19"/>
        </w:rPr>
        <w:t>4.9.2012</w:t>
      </w:r>
      <w:proofErr w:type="gramEnd"/>
      <w:r>
        <w:rPr>
          <w:rStyle w:val="FontStyle19"/>
        </w:rPr>
        <w:t xml:space="preserve"> na prodloužení Smlouvy o dalších 5 let, a proto se mění Článek II Smlouvy, tak že</w:t>
      </w:r>
      <w:r>
        <w:rPr>
          <w:rStyle w:val="FontStyle19"/>
        </w:rPr>
        <w:br/>
        <w:t>nově zní:</w:t>
      </w:r>
    </w:p>
    <w:p w:rsidR="00483B65" w:rsidRDefault="00483B65" w:rsidP="00483B65">
      <w:pPr>
        <w:pStyle w:val="Style6"/>
        <w:widowControl/>
        <w:tabs>
          <w:tab w:val="left" w:pos="353"/>
        </w:tabs>
        <w:spacing w:before="19"/>
        <w:ind w:left="720" w:firstLine="0"/>
        <w:rPr>
          <w:rStyle w:val="FontStyle19"/>
        </w:rPr>
      </w:pPr>
    </w:p>
    <w:p w:rsidR="00000000" w:rsidRDefault="00BE14A9">
      <w:pPr>
        <w:pStyle w:val="Style1"/>
        <w:widowControl/>
        <w:spacing w:before="7" w:line="259" w:lineRule="exact"/>
        <w:jc w:val="center"/>
        <w:rPr>
          <w:rStyle w:val="FontStyle19"/>
        </w:rPr>
      </w:pPr>
      <w:r>
        <w:rPr>
          <w:rStyle w:val="FontStyle19"/>
        </w:rPr>
        <w:t>II.</w:t>
      </w:r>
    </w:p>
    <w:p w:rsidR="00000000" w:rsidRDefault="00BE14A9">
      <w:pPr>
        <w:pStyle w:val="Style9"/>
        <w:widowControl/>
        <w:spacing w:line="259" w:lineRule="exact"/>
        <w:rPr>
          <w:rStyle w:val="FontStyle19"/>
        </w:rPr>
      </w:pPr>
      <w:r>
        <w:rPr>
          <w:rStyle w:val="FontStyle19"/>
        </w:rPr>
        <w:t>Doba nájmu</w:t>
      </w:r>
    </w:p>
    <w:p w:rsidR="00483B65" w:rsidRDefault="00483B65">
      <w:pPr>
        <w:pStyle w:val="Style9"/>
        <w:widowControl/>
        <w:spacing w:line="259" w:lineRule="exact"/>
        <w:rPr>
          <w:rStyle w:val="FontStyle19"/>
        </w:rPr>
      </w:pPr>
    </w:p>
    <w:p w:rsidR="00000000" w:rsidRDefault="00BE14A9">
      <w:pPr>
        <w:pStyle w:val="Style1"/>
        <w:widowControl/>
        <w:spacing w:line="259" w:lineRule="exact"/>
        <w:ind w:left="374"/>
        <w:rPr>
          <w:rStyle w:val="FontStyle19"/>
        </w:rPr>
      </w:pPr>
      <w:r>
        <w:rPr>
          <w:rStyle w:val="FontStyle19"/>
        </w:rPr>
        <w:t>1. Nájemní</w:t>
      </w:r>
      <w:r>
        <w:rPr>
          <w:rStyle w:val="FontStyle19"/>
        </w:rPr>
        <w:t xml:space="preserve"> smlouva se uzavírá na dobu určitou do </w:t>
      </w:r>
      <w:proofErr w:type="gramStart"/>
      <w:r>
        <w:rPr>
          <w:rStyle w:val="FontStyle19"/>
        </w:rPr>
        <w:t>31.12.2017</w:t>
      </w:r>
      <w:proofErr w:type="gramEnd"/>
      <w:r>
        <w:rPr>
          <w:rStyle w:val="FontStyle19"/>
        </w:rPr>
        <w:t>.</w:t>
      </w:r>
    </w:p>
    <w:p w:rsidR="00000000" w:rsidRDefault="00BE14A9">
      <w:pPr>
        <w:pStyle w:val="Style6"/>
        <w:widowControl/>
        <w:spacing w:line="240" w:lineRule="exact"/>
        <w:ind w:left="353"/>
        <w:rPr>
          <w:sz w:val="20"/>
          <w:szCs w:val="20"/>
        </w:rPr>
      </w:pPr>
    </w:p>
    <w:p w:rsidR="00000000" w:rsidRDefault="00BE14A9">
      <w:pPr>
        <w:pStyle w:val="Style6"/>
        <w:widowControl/>
        <w:tabs>
          <w:tab w:val="left" w:pos="353"/>
        </w:tabs>
        <w:spacing w:before="19" w:line="259" w:lineRule="exact"/>
        <w:ind w:left="353"/>
        <w:rPr>
          <w:rStyle w:val="FontStyle19"/>
        </w:rPr>
      </w:pPr>
      <w:r>
        <w:rPr>
          <w:rStyle w:val="FontStyle19"/>
        </w:rPr>
        <w:t>2.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 xml:space="preserve">Dále se smluvní strany dohodly v souladu s výstupem zjednání ze dne </w:t>
      </w:r>
      <w:proofErr w:type="gramStart"/>
      <w:r>
        <w:rPr>
          <w:rStyle w:val="FontStyle19"/>
        </w:rPr>
        <w:t>14.11.2012</w:t>
      </w:r>
      <w:proofErr w:type="gramEnd"/>
      <w:r>
        <w:rPr>
          <w:rStyle w:val="FontStyle19"/>
        </w:rPr>
        <w:t>, že</w:t>
      </w:r>
      <w:r>
        <w:rPr>
          <w:rStyle w:val="FontStyle19"/>
        </w:rPr>
        <w:br/>
        <w:t>pronajímatel je povinen na své náklady:</w:t>
      </w:r>
    </w:p>
    <w:p w:rsidR="00000000" w:rsidRDefault="00BE14A9">
      <w:pPr>
        <w:pStyle w:val="Style3"/>
        <w:widowControl/>
        <w:spacing w:before="14" w:line="266" w:lineRule="exact"/>
        <w:ind w:left="706"/>
        <w:rPr>
          <w:rStyle w:val="FontStyle19"/>
        </w:rPr>
      </w:pPr>
      <w:r>
        <w:rPr>
          <w:rStyle w:val="FontStyle19"/>
        </w:rPr>
        <w:t xml:space="preserve">•   </w:t>
      </w:r>
      <w:r>
        <w:rPr>
          <w:rStyle w:val="FontStyle19"/>
        </w:rPr>
        <w:t>zajistit pro nájemce prostor pro archiv v etapách — 1. etapa - 150 běžných m</w:t>
      </w:r>
      <w:r>
        <w:rPr>
          <w:rStyle w:val="FontStyle19"/>
        </w:rPr>
        <w:t>etrů archiválií formátu A4 - do konce roku 2013, 2. etapa - 150 běžných metrů archiválií formátu A4 - do konce roku 2014. Tyto prostory musí splňovat zákonné požadavky pro provoz archivu. Dojde-li v důsledku realizace tohoto požadavku k rozšíření dosud uží</w:t>
      </w:r>
      <w:r>
        <w:rPr>
          <w:rStyle w:val="FontStyle19"/>
        </w:rPr>
        <w:t>vané plochy nebytových prostor nájemcem, zavazují se smluvní strany neprodleně uzavřít dodatek ke Smlouvě a to tak, aby do předmětu nájmu byl zahrnut i tento prostor s tím, že i po tomto dodatečném rozšíření užívané plochy nebytového prostoru nájemcem bude</w:t>
      </w:r>
      <w:r>
        <w:rPr>
          <w:rStyle w:val="FontStyle19"/>
        </w:rPr>
        <w:t xml:space="preserve"> nájemce hradit nájemné a platby </w:t>
      </w:r>
      <w:r>
        <w:rPr>
          <w:rStyle w:val="FontStyle22"/>
        </w:rPr>
        <w:t xml:space="preserve">2a </w:t>
      </w:r>
      <w:r>
        <w:rPr>
          <w:rStyle w:val="FontStyle19"/>
        </w:rPr>
        <w:t xml:space="preserve">veškeré služby </w:t>
      </w:r>
      <w:r>
        <w:rPr>
          <w:rStyle w:val="FontStyle19"/>
        </w:rPr>
        <w:lastRenderedPageBreak/>
        <w:t>poskytované spolu s nájmem ve stejné výši a za podmínek jak je uvedeno v čl. II odst. 5 tohoto dodatku.</w:t>
      </w:r>
    </w:p>
    <w:p w:rsidR="00000000" w:rsidRDefault="00BE14A9" w:rsidP="00483B65">
      <w:pPr>
        <w:pStyle w:val="Style3"/>
        <w:widowControl/>
        <w:numPr>
          <w:ilvl w:val="0"/>
          <w:numId w:val="1"/>
        </w:numPr>
        <w:tabs>
          <w:tab w:val="left" w:pos="763"/>
        </w:tabs>
        <w:spacing w:before="7" w:line="281" w:lineRule="exact"/>
        <w:ind w:left="763" w:hanging="353"/>
        <w:rPr>
          <w:rStyle w:val="FontStyle19"/>
        </w:rPr>
      </w:pPr>
      <w:r>
        <w:rPr>
          <w:rStyle w:val="FontStyle19"/>
        </w:rPr>
        <w:t>vybudovat prostor pro čekající klienty odboru dopravy Magistrátu města Pardubic v počtu nejméně 1</w:t>
      </w:r>
      <w:r>
        <w:rPr>
          <w:rStyle w:val="FontStyle19"/>
        </w:rPr>
        <w:t xml:space="preserve">5 osob v prostoru současného bufetu v termínu do </w:t>
      </w:r>
      <w:proofErr w:type="gramStart"/>
      <w:r>
        <w:rPr>
          <w:rStyle w:val="FontStyle19"/>
        </w:rPr>
        <w:t>31.3.2013</w:t>
      </w:r>
      <w:proofErr w:type="gramEnd"/>
      <w:r>
        <w:rPr>
          <w:rStyle w:val="FontStyle19"/>
        </w:rPr>
        <w:t>. Technické zařízení prostoru bude odpovídat platným předpisům a normám.</w:t>
      </w:r>
    </w:p>
    <w:p w:rsidR="00000000" w:rsidRDefault="00BE14A9" w:rsidP="00483B65">
      <w:pPr>
        <w:pStyle w:val="Style3"/>
        <w:widowControl/>
        <w:numPr>
          <w:ilvl w:val="0"/>
          <w:numId w:val="1"/>
        </w:numPr>
        <w:tabs>
          <w:tab w:val="left" w:pos="763"/>
        </w:tabs>
        <w:spacing w:line="281" w:lineRule="exact"/>
        <w:ind w:left="763" w:hanging="353"/>
        <w:rPr>
          <w:rStyle w:val="FontStyle19"/>
        </w:rPr>
      </w:pPr>
      <w:r>
        <w:rPr>
          <w:rStyle w:val="FontStyle19"/>
        </w:rPr>
        <w:t xml:space="preserve">zajistit bezbariérový přístup v rámci pronajatých prostor v objektu do </w:t>
      </w:r>
      <w:proofErr w:type="gramStart"/>
      <w:r>
        <w:rPr>
          <w:rStyle w:val="FontStyle19"/>
        </w:rPr>
        <w:t>31.3.2013</w:t>
      </w:r>
      <w:proofErr w:type="gramEnd"/>
      <w:r>
        <w:rPr>
          <w:rStyle w:val="FontStyle19"/>
        </w:rPr>
        <w:t xml:space="preserve"> za účelem odbavení imobilních klientů</w:t>
      </w:r>
    </w:p>
    <w:p w:rsidR="00000000" w:rsidRDefault="00BE14A9" w:rsidP="00483B65">
      <w:pPr>
        <w:pStyle w:val="Style3"/>
        <w:widowControl/>
        <w:numPr>
          <w:ilvl w:val="0"/>
          <w:numId w:val="1"/>
        </w:numPr>
        <w:tabs>
          <w:tab w:val="left" w:pos="763"/>
        </w:tabs>
        <w:spacing w:line="281" w:lineRule="exact"/>
        <w:ind w:left="763" w:hanging="353"/>
        <w:rPr>
          <w:rStyle w:val="FontStyle19"/>
        </w:rPr>
      </w:pPr>
      <w:r>
        <w:rPr>
          <w:rStyle w:val="FontStyle19"/>
        </w:rPr>
        <w:t xml:space="preserve">zřídit WC - zvlášť pro ženy, muže a imobilní - s kapacitou 15-20 osob do </w:t>
      </w:r>
      <w:proofErr w:type="gramStart"/>
      <w:r>
        <w:rPr>
          <w:rStyle w:val="FontStyle19"/>
        </w:rPr>
        <w:t>31.3.2013</w:t>
      </w:r>
      <w:proofErr w:type="gramEnd"/>
      <w:r>
        <w:rPr>
          <w:rStyle w:val="FontStyle19"/>
        </w:rPr>
        <w:t xml:space="preserve"> v souladu s ČSN 73 41 08.</w:t>
      </w:r>
    </w:p>
    <w:p w:rsidR="00000000" w:rsidRDefault="00BE14A9" w:rsidP="00483B65">
      <w:pPr>
        <w:pStyle w:val="Style3"/>
        <w:widowControl/>
        <w:numPr>
          <w:ilvl w:val="0"/>
          <w:numId w:val="1"/>
        </w:numPr>
        <w:tabs>
          <w:tab w:val="left" w:pos="763"/>
        </w:tabs>
        <w:spacing w:line="281" w:lineRule="exact"/>
        <w:ind w:left="763" w:hanging="353"/>
        <w:rPr>
          <w:rStyle w:val="FontStyle19"/>
        </w:rPr>
      </w:pPr>
      <w:r>
        <w:rPr>
          <w:rStyle w:val="FontStyle19"/>
        </w:rPr>
        <w:t>odstranit nedostatky vyplývající z provedených kontrol BOZP v oblasti bezpečnosti a hygieny práce na pracovišti (sociální zařízení a osvětlen</w:t>
      </w:r>
      <w:r>
        <w:rPr>
          <w:rStyle w:val="FontStyle19"/>
        </w:rPr>
        <w:t xml:space="preserve">í), které jsou uvedeny v Zápise z prověrky BOZP, který byl pronajímateli dne </w:t>
      </w:r>
      <w:proofErr w:type="gramStart"/>
      <w:r>
        <w:rPr>
          <w:rStyle w:val="FontStyle19"/>
        </w:rPr>
        <w:t>14.11.2012</w:t>
      </w:r>
      <w:proofErr w:type="gramEnd"/>
      <w:r>
        <w:rPr>
          <w:rStyle w:val="FontStyle19"/>
        </w:rPr>
        <w:t xml:space="preserve"> předán, a to do 30.6.2013.</w:t>
      </w:r>
    </w:p>
    <w:p w:rsidR="00000000" w:rsidRDefault="00BE14A9">
      <w:pPr>
        <w:widowControl/>
        <w:rPr>
          <w:sz w:val="2"/>
          <w:szCs w:val="2"/>
        </w:rPr>
      </w:pPr>
    </w:p>
    <w:p w:rsidR="00000000" w:rsidRDefault="00BE14A9" w:rsidP="00483B65">
      <w:pPr>
        <w:pStyle w:val="Style6"/>
        <w:widowControl/>
        <w:numPr>
          <w:ilvl w:val="0"/>
          <w:numId w:val="2"/>
        </w:numPr>
        <w:tabs>
          <w:tab w:val="left" w:pos="302"/>
        </w:tabs>
        <w:spacing w:before="274"/>
        <w:ind w:left="302" w:hanging="302"/>
        <w:rPr>
          <w:rStyle w:val="FontStyle18"/>
        </w:rPr>
      </w:pPr>
      <w:r>
        <w:rPr>
          <w:rStyle w:val="FontStyle19"/>
        </w:rPr>
        <w:t>Smluvní strany se dohodly, že nájemce je oprávněn Smlouvu vypovědět ve dvouměsíční výpovědní lhůtě v případě, že pronajímatel nesplní j</w:t>
      </w:r>
      <w:r>
        <w:rPr>
          <w:rStyle w:val="FontStyle19"/>
        </w:rPr>
        <w:t>akoukoli z povinností uvedených v čl. II. odst. 2 tohoto dodatku č. 3 ke Smlouvě ve stanoveném termínu. Výpovědní lhůta se počítá od prvého dne měsíce následujícího po doručení výpovědi.</w:t>
      </w:r>
    </w:p>
    <w:p w:rsidR="00000000" w:rsidRDefault="00BE14A9" w:rsidP="00483B65">
      <w:pPr>
        <w:pStyle w:val="Style6"/>
        <w:widowControl/>
        <w:numPr>
          <w:ilvl w:val="0"/>
          <w:numId w:val="2"/>
        </w:numPr>
        <w:tabs>
          <w:tab w:val="left" w:pos="302"/>
        </w:tabs>
        <w:spacing w:before="252" w:line="259" w:lineRule="exact"/>
        <w:ind w:left="302" w:hanging="302"/>
        <w:rPr>
          <w:rStyle w:val="FontStyle19"/>
        </w:rPr>
      </w:pPr>
      <w:r>
        <w:rPr>
          <w:rStyle w:val="FontStyle19"/>
        </w:rPr>
        <w:t>Smluvní strany se dohodly, že pokud pronajímatel nesplní jakouko</w:t>
      </w:r>
      <w:r>
        <w:rPr>
          <w:rStyle w:val="FontStyle19"/>
        </w:rPr>
        <w:t>li z povinností uvedených v čl. II. odst. 2 tohoto dodatku č. 3 ke Smlouvě ve stanoveném termínu, má nájemce nárok na smluvní pokutu ve výši 1.000,-Kč za každý den prodlení splněním té které povinnosti pronajímatele zakotvené v čl. II odst. 2 tohoto dodatk</w:t>
      </w:r>
      <w:r>
        <w:rPr>
          <w:rStyle w:val="FontStyle19"/>
        </w:rPr>
        <w:t xml:space="preserve">u </w:t>
      </w:r>
      <w:proofErr w:type="gramStart"/>
      <w:r>
        <w:rPr>
          <w:rStyle w:val="FontStyle19"/>
        </w:rPr>
        <w:t>č.3 ke</w:t>
      </w:r>
      <w:proofErr w:type="gramEnd"/>
      <w:r>
        <w:rPr>
          <w:rStyle w:val="FontStyle19"/>
        </w:rPr>
        <w:t xml:space="preserve"> Smlouvě. Smluvní pokuta je splatná do 15 dní od doručení písemnosti pronajímateli, kterou nájemce vyzve pronajímatele k uhrazení příslušné smluvní pokuty. Tímto ujednáním není dotčen eventuální nárok nájemce na uhrazení škody v plné výši.</w:t>
      </w:r>
    </w:p>
    <w:p w:rsidR="00000000" w:rsidRDefault="00BE14A9" w:rsidP="00483B65">
      <w:pPr>
        <w:pStyle w:val="Style6"/>
        <w:widowControl/>
        <w:numPr>
          <w:ilvl w:val="0"/>
          <w:numId w:val="2"/>
        </w:numPr>
        <w:tabs>
          <w:tab w:val="left" w:pos="302"/>
        </w:tabs>
        <w:spacing w:before="252" w:line="281" w:lineRule="exact"/>
        <w:ind w:left="302" w:hanging="302"/>
        <w:rPr>
          <w:rStyle w:val="FontStyle18"/>
        </w:rPr>
      </w:pPr>
      <w:r>
        <w:rPr>
          <w:rStyle w:val="FontStyle19"/>
        </w:rPr>
        <w:t>Smluvní strany se také dohodly, že roční nájemné a platby za veškeré služby poskytované spolu s nájmem činí a budou činit po dobu platnosti smlouvy 395.116,- Kč/rok, přičemž toto roční nájemné bude každoročně poníženo o jednu pětinu pořizovacích nákladů vy</w:t>
      </w:r>
      <w:r>
        <w:rPr>
          <w:rStyle w:val="FontStyle19"/>
        </w:rPr>
        <w:t>volávacího systému, který bude zakoupen a nainstalován do pronajatých prostor na náklady nájemce a bude jeho vlastnictvím. Snížení ročního nájemného a plateb zá veškeré služby poskytované spolu s nájmem bude odvozeno od pořizovací ceny systému.</w:t>
      </w:r>
    </w:p>
    <w:p w:rsidR="00000000" w:rsidRDefault="00BE14A9">
      <w:pPr>
        <w:pStyle w:val="Style14"/>
        <w:widowControl/>
        <w:spacing w:line="240" w:lineRule="exact"/>
        <w:ind w:left="3456" w:right="3485"/>
        <w:rPr>
          <w:sz w:val="20"/>
          <w:szCs w:val="20"/>
        </w:rPr>
      </w:pPr>
    </w:p>
    <w:p w:rsidR="00000000" w:rsidRDefault="00BE14A9">
      <w:pPr>
        <w:pStyle w:val="Style14"/>
        <w:widowControl/>
        <w:spacing w:line="240" w:lineRule="exact"/>
        <w:ind w:left="3456" w:right="3485"/>
        <w:rPr>
          <w:sz w:val="20"/>
          <w:szCs w:val="20"/>
        </w:rPr>
      </w:pPr>
    </w:p>
    <w:p w:rsidR="00483B65" w:rsidRDefault="00BE14A9">
      <w:pPr>
        <w:pStyle w:val="Style14"/>
        <w:widowControl/>
        <w:spacing w:before="53"/>
        <w:ind w:left="3456" w:right="3485"/>
        <w:rPr>
          <w:rStyle w:val="FontStyle18"/>
        </w:rPr>
      </w:pPr>
      <w:r>
        <w:rPr>
          <w:rStyle w:val="FontStyle18"/>
        </w:rPr>
        <w:t>Článek II</w:t>
      </w:r>
      <w:r>
        <w:rPr>
          <w:rStyle w:val="FontStyle18"/>
        </w:rPr>
        <w:t xml:space="preserve">I. </w:t>
      </w:r>
    </w:p>
    <w:p w:rsidR="00000000" w:rsidRDefault="00BE14A9">
      <w:pPr>
        <w:pStyle w:val="Style14"/>
        <w:widowControl/>
        <w:spacing w:before="53"/>
        <w:ind w:left="3456" w:right="3485"/>
        <w:rPr>
          <w:rStyle w:val="FontStyle18"/>
          <w:u w:val="single"/>
        </w:rPr>
      </w:pPr>
      <w:r>
        <w:rPr>
          <w:rStyle w:val="FontStyle18"/>
          <w:u w:val="single"/>
        </w:rPr>
        <w:t>Závěrečná ustanovení</w:t>
      </w:r>
    </w:p>
    <w:p w:rsidR="00000000" w:rsidRDefault="00BE14A9" w:rsidP="00483B65">
      <w:pPr>
        <w:pStyle w:val="Style6"/>
        <w:widowControl/>
        <w:numPr>
          <w:ilvl w:val="0"/>
          <w:numId w:val="3"/>
        </w:numPr>
        <w:tabs>
          <w:tab w:val="left" w:pos="353"/>
        </w:tabs>
        <w:spacing w:before="526" w:line="259" w:lineRule="exact"/>
        <w:ind w:left="353"/>
        <w:rPr>
          <w:rStyle w:val="FontStyle19"/>
          <w:spacing w:val="-20"/>
        </w:rPr>
      </w:pPr>
      <w:r>
        <w:rPr>
          <w:rStyle w:val="FontStyle19"/>
        </w:rPr>
        <w:t xml:space="preserve">Ostatní ustanovení nájemní smlouvy ze dne 10.9.2002 ve zněm dodatků </w:t>
      </w:r>
      <w:proofErr w:type="spellStart"/>
      <w:proofErr w:type="gramStart"/>
      <w:r>
        <w:rPr>
          <w:rStyle w:val="FontStyle19"/>
        </w:rPr>
        <w:t>č.l</w:t>
      </w:r>
      <w:proofErr w:type="spellEnd"/>
      <w:r>
        <w:rPr>
          <w:rStyle w:val="FontStyle19"/>
        </w:rPr>
        <w:t xml:space="preserve"> a 2 zůstávají</w:t>
      </w:r>
      <w:proofErr w:type="gramEnd"/>
      <w:r>
        <w:rPr>
          <w:rStyle w:val="FontStyle19"/>
        </w:rPr>
        <w:t xml:space="preserve"> beze změny.</w:t>
      </w:r>
    </w:p>
    <w:p w:rsidR="00000000" w:rsidRDefault="00BE14A9" w:rsidP="00483B65">
      <w:pPr>
        <w:pStyle w:val="Style6"/>
        <w:widowControl/>
        <w:numPr>
          <w:ilvl w:val="0"/>
          <w:numId w:val="3"/>
        </w:numPr>
        <w:tabs>
          <w:tab w:val="left" w:pos="353"/>
        </w:tabs>
        <w:spacing w:before="288" w:line="259" w:lineRule="exact"/>
        <w:ind w:left="353"/>
        <w:rPr>
          <w:rStyle w:val="FontStyle18"/>
        </w:rPr>
      </w:pPr>
      <w:r>
        <w:rPr>
          <w:rStyle w:val="FontStyle19"/>
        </w:rPr>
        <w:t>Tento dodatek je vyhotoven v pěti vyhotoveních, z nichž dvě obdrží pronajímatel a tři nájemce.</w:t>
      </w:r>
    </w:p>
    <w:p w:rsidR="00000000" w:rsidRDefault="00BE14A9" w:rsidP="00483B65">
      <w:pPr>
        <w:pStyle w:val="Style6"/>
        <w:widowControl/>
        <w:numPr>
          <w:ilvl w:val="0"/>
          <w:numId w:val="3"/>
        </w:numPr>
        <w:tabs>
          <w:tab w:val="left" w:pos="353"/>
        </w:tabs>
        <w:spacing w:before="288" w:line="240" w:lineRule="auto"/>
        <w:ind w:firstLine="0"/>
        <w:jc w:val="left"/>
        <w:rPr>
          <w:rStyle w:val="FontStyle18"/>
        </w:rPr>
      </w:pPr>
      <w:r>
        <w:rPr>
          <w:rStyle w:val="FontStyle19"/>
        </w:rPr>
        <w:t>Tento dodatek nabývá</w:t>
      </w:r>
      <w:r>
        <w:rPr>
          <w:rStyle w:val="FontStyle19"/>
        </w:rPr>
        <w:t xml:space="preserve"> platnosti a účinnosti dnem podpisu obou smluvních stran.</w:t>
      </w:r>
    </w:p>
    <w:p w:rsidR="00000000" w:rsidRDefault="00BE14A9" w:rsidP="00483B65">
      <w:pPr>
        <w:pStyle w:val="Style6"/>
        <w:widowControl/>
        <w:numPr>
          <w:ilvl w:val="0"/>
          <w:numId w:val="3"/>
        </w:numPr>
        <w:tabs>
          <w:tab w:val="left" w:pos="353"/>
        </w:tabs>
        <w:spacing w:before="266" w:line="252" w:lineRule="exact"/>
        <w:ind w:left="353"/>
        <w:rPr>
          <w:rStyle w:val="FontStyle19"/>
        </w:rPr>
      </w:pPr>
      <w:r>
        <w:rPr>
          <w:rStyle w:val="FontStyle19"/>
        </w:rPr>
        <w:t>Smluvní strany prohlašují, že se s obsahem tohoto dodatku seznámily, že vyjadřuje jejich pravou a svobodnou vůli, že dodat</w:t>
      </w:r>
      <w:r w:rsidR="00483B65">
        <w:rPr>
          <w:rStyle w:val="FontStyle19"/>
        </w:rPr>
        <w:t>ek neuzavírají v tísni, pod nátl</w:t>
      </w:r>
      <w:r>
        <w:rPr>
          <w:rStyle w:val="FontStyle19"/>
        </w:rPr>
        <w:t>akem či za jednostranně nevýhodných pod</w:t>
      </w:r>
      <w:r>
        <w:rPr>
          <w:rStyle w:val="FontStyle19"/>
        </w:rPr>
        <w:t>mínek. Na důkaz toho připojují své podpisy, čímž dodatek uzavírají.</w:t>
      </w:r>
    </w:p>
    <w:p w:rsidR="00000000" w:rsidRDefault="00BE14A9" w:rsidP="00483B65">
      <w:pPr>
        <w:pStyle w:val="Style6"/>
        <w:widowControl/>
        <w:numPr>
          <w:ilvl w:val="0"/>
          <w:numId w:val="3"/>
        </w:numPr>
        <w:tabs>
          <w:tab w:val="left" w:pos="353"/>
        </w:tabs>
        <w:spacing w:before="266" w:line="252" w:lineRule="exact"/>
        <w:ind w:left="353"/>
        <w:rPr>
          <w:rStyle w:val="FontStyle19"/>
        </w:rPr>
        <w:sectPr w:rsidR="00000000">
          <w:footerReference w:type="default" r:id="rId7"/>
          <w:footerReference w:type="first" r:id="rId8"/>
          <w:type w:val="continuous"/>
          <w:pgSz w:w="11905" w:h="16837"/>
          <w:pgMar w:top="751" w:right="1441" w:bottom="1152" w:left="1355" w:header="708" w:footer="708" w:gutter="0"/>
          <w:cols w:space="60"/>
          <w:noEndnote/>
          <w:titlePg/>
        </w:sectPr>
      </w:pPr>
    </w:p>
    <w:p w:rsidR="00000000" w:rsidRDefault="00BE14A9">
      <w:pPr>
        <w:widowControl/>
        <w:spacing w:before="298" w:line="240" w:lineRule="exact"/>
        <w:rPr>
          <w:sz w:val="20"/>
          <w:szCs w:val="20"/>
        </w:rPr>
      </w:pPr>
    </w:p>
    <w:p w:rsidR="00000000" w:rsidRDefault="00BE14A9" w:rsidP="00483B65">
      <w:pPr>
        <w:pStyle w:val="Style6"/>
        <w:widowControl/>
        <w:tabs>
          <w:tab w:val="left" w:pos="353"/>
        </w:tabs>
        <w:spacing w:before="266" w:line="252" w:lineRule="exact"/>
        <w:ind w:firstLine="0"/>
        <w:rPr>
          <w:rStyle w:val="FontStyle19"/>
        </w:rPr>
      </w:pPr>
    </w:p>
    <w:p w:rsidR="00483B65" w:rsidRDefault="00BE14A9" w:rsidP="00483B65">
      <w:pPr>
        <w:pStyle w:val="Style6"/>
        <w:widowControl/>
        <w:tabs>
          <w:tab w:val="left" w:pos="353"/>
        </w:tabs>
        <w:spacing w:before="266" w:line="252" w:lineRule="exact"/>
        <w:ind w:firstLine="0"/>
        <w:rPr>
          <w:rStyle w:val="FontStyle19"/>
        </w:rPr>
      </w:pPr>
      <w:r>
        <w:rPr>
          <w:rStyle w:val="FontStyle19"/>
        </w:rPr>
        <w:t xml:space="preserve">V Pardubicích dne </w:t>
      </w:r>
      <w:proofErr w:type="gramStart"/>
      <w:r>
        <w:rPr>
          <w:rStyle w:val="FontStyle19"/>
        </w:rPr>
        <w:t>20.12.2012</w:t>
      </w:r>
      <w:proofErr w:type="gramEnd"/>
    </w:p>
    <w:p w:rsidR="00BE14A9" w:rsidRDefault="00BE14A9" w:rsidP="00483B65">
      <w:pPr>
        <w:pStyle w:val="Style6"/>
        <w:widowControl/>
        <w:tabs>
          <w:tab w:val="left" w:pos="353"/>
        </w:tabs>
        <w:spacing w:before="266" w:line="252" w:lineRule="exact"/>
        <w:ind w:firstLine="0"/>
        <w:rPr>
          <w:rStyle w:val="FontStyle19"/>
        </w:rPr>
      </w:pPr>
    </w:p>
    <w:p w:rsidR="00BE14A9" w:rsidRDefault="00BE14A9" w:rsidP="00BE14A9">
      <w:pPr>
        <w:pStyle w:val="Style6"/>
        <w:widowControl/>
        <w:tabs>
          <w:tab w:val="left" w:pos="353"/>
        </w:tabs>
        <w:spacing w:line="240" w:lineRule="auto"/>
        <w:ind w:firstLine="0"/>
        <w:rPr>
          <w:rStyle w:val="FontStyle19"/>
        </w:rPr>
      </w:pPr>
    </w:p>
    <w:p w:rsidR="00BE14A9" w:rsidRDefault="00BE14A9" w:rsidP="00BE14A9">
      <w:pPr>
        <w:pStyle w:val="Style6"/>
        <w:widowControl/>
        <w:tabs>
          <w:tab w:val="left" w:pos="353"/>
        </w:tabs>
        <w:spacing w:line="240" w:lineRule="auto"/>
        <w:ind w:firstLine="0"/>
        <w:rPr>
          <w:rStyle w:val="FontStyle19"/>
        </w:rPr>
      </w:pPr>
      <w:r>
        <w:rPr>
          <w:rStyle w:val="FontStyle19"/>
        </w:rPr>
        <w:lastRenderedPageBreak/>
        <w:t>za KES spol. s r.o.</w:t>
      </w:r>
      <w:r>
        <w:rPr>
          <w:rStyle w:val="FontStyle19"/>
        </w:rPr>
        <w:tab/>
      </w:r>
      <w:r>
        <w:rPr>
          <w:rStyle w:val="FontStyle19"/>
        </w:rPr>
        <w:tab/>
      </w:r>
      <w:r>
        <w:rPr>
          <w:rStyle w:val="FontStyle19"/>
        </w:rPr>
        <w:tab/>
      </w:r>
      <w:r>
        <w:rPr>
          <w:rStyle w:val="FontStyle19"/>
        </w:rPr>
        <w:tab/>
        <w:t xml:space="preserve">za Statutární město Pardubice </w:t>
      </w:r>
    </w:p>
    <w:p w:rsidR="00BE14A9" w:rsidRDefault="00BE14A9" w:rsidP="00BE14A9">
      <w:pPr>
        <w:pStyle w:val="Style6"/>
        <w:widowControl/>
        <w:tabs>
          <w:tab w:val="left" w:pos="353"/>
        </w:tabs>
        <w:spacing w:line="240" w:lineRule="auto"/>
        <w:ind w:firstLine="0"/>
        <w:rPr>
          <w:rStyle w:val="FontStyle19"/>
        </w:rPr>
      </w:pPr>
      <w:r>
        <w:rPr>
          <w:rStyle w:val="FontStyle19"/>
        </w:rPr>
        <w:t xml:space="preserve">Ing. Vladimír </w:t>
      </w:r>
      <w:proofErr w:type="spellStart"/>
      <w:r>
        <w:rPr>
          <w:rStyle w:val="FontStyle19"/>
        </w:rPr>
        <w:t>Engelmajer</w:t>
      </w:r>
      <w:proofErr w:type="spellEnd"/>
      <w:r>
        <w:rPr>
          <w:rStyle w:val="FontStyle19"/>
        </w:rPr>
        <w:tab/>
      </w:r>
      <w:r>
        <w:rPr>
          <w:rStyle w:val="FontStyle19"/>
        </w:rPr>
        <w:tab/>
      </w:r>
      <w:r>
        <w:rPr>
          <w:rStyle w:val="FontStyle19"/>
        </w:rPr>
        <w:tab/>
        <w:t>MUDr. Štěpánka Fraňková</w:t>
      </w:r>
    </w:p>
    <w:p w:rsidR="00BE14A9" w:rsidRDefault="00BE14A9" w:rsidP="00BE14A9">
      <w:pPr>
        <w:pStyle w:val="Style6"/>
        <w:widowControl/>
        <w:tabs>
          <w:tab w:val="left" w:pos="353"/>
        </w:tabs>
        <w:spacing w:line="240" w:lineRule="auto"/>
        <w:ind w:firstLine="0"/>
        <w:rPr>
          <w:rStyle w:val="FontStyle19"/>
        </w:rPr>
      </w:pPr>
      <w:r>
        <w:rPr>
          <w:rStyle w:val="FontStyle19"/>
        </w:rPr>
        <w:t>j</w:t>
      </w:r>
      <w:bookmarkStart w:id="0" w:name="_GoBack"/>
      <w:bookmarkEnd w:id="0"/>
      <w:r>
        <w:rPr>
          <w:rStyle w:val="FontStyle19"/>
        </w:rPr>
        <w:t>ednatel společnosti</w:t>
      </w:r>
      <w:r>
        <w:rPr>
          <w:rStyle w:val="FontStyle19"/>
        </w:rPr>
        <w:tab/>
      </w:r>
      <w:r>
        <w:rPr>
          <w:rStyle w:val="FontStyle19"/>
        </w:rPr>
        <w:tab/>
      </w:r>
      <w:r>
        <w:rPr>
          <w:rStyle w:val="FontStyle19"/>
        </w:rPr>
        <w:tab/>
      </w:r>
      <w:r>
        <w:rPr>
          <w:rStyle w:val="FontStyle19"/>
        </w:rPr>
        <w:tab/>
        <w:t xml:space="preserve">primátorka </w:t>
      </w:r>
    </w:p>
    <w:p w:rsidR="00BE14A9" w:rsidRDefault="00BE14A9" w:rsidP="00483B65">
      <w:pPr>
        <w:pStyle w:val="Style6"/>
        <w:widowControl/>
        <w:tabs>
          <w:tab w:val="left" w:pos="353"/>
        </w:tabs>
        <w:spacing w:before="266" w:line="252" w:lineRule="exact"/>
        <w:ind w:firstLine="0"/>
        <w:rPr>
          <w:rStyle w:val="FontStyle19"/>
        </w:rPr>
        <w:sectPr w:rsidR="00BE14A9">
          <w:type w:val="continuous"/>
          <w:pgSz w:w="11905" w:h="16837"/>
          <w:pgMar w:top="998" w:right="1351" w:bottom="1440" w:left="1395" w:header="708" w:footer="708" w:gutter="0"/>
          <w:cols w:space="60"/>
          <w:noEndnote/>
        </w:sectPr>
      </w:pPr>
      <w:r>
        <w:rPr>
          <w:rStyle w:val="FontStyle19"/>
        </w:rPr>
        <w:tab/>
      </w:r>
    </w:p>
    <w:p w:rsidR="00000000" w:rsidRDefault="00BE14A9">
      <w:pPr>
        <w:pStyle w:val="Style1"/>
        <w:widowControl/>
        <w:jc w:val="both"/>
        <w:rPr>
          <w:rStyle w:val="FontStyle19"/>
        </w:rPr>
      </w:pPr>
      <w:r>
        <w:rPr>
          <w:rStyle w:val="FontStyle19"/>
        </w:rPr>
        <w:lastRenderedPageBreak/>
        <w:t xml:space="preserve"> </w:t>
      </w:r>
    </w:p>
    <w:p w:rsidR="00000000" w:rsidRDefault="00BE14A9" w:rsidP="00BE14A9">
      <w:pPr>
        <w:pStyle w:val="Style7"/>
        <w:widowControl/>
        <w:spacing w:line="240" w:lineRule="exact"/>
        <w:jc w:val="both"/>
        <w:rPr>
          <w:rStyle w:val="FontStyle19"/>
        </w:rPr>
      </w:pPr>
    </w:p>
    <w:p w:rsidR="00BE14A9" w:rsidRPr="00BE14A9" w:rsidRDefault="00BE14A9" w:rsidP="00BE14A9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BE14A9">
      <w:pPr>
        <w:pStyle w:val="Style11"/>
        <w:widowControl/>
        <w:spacing w:before="48" w:line="216" w:lineRule="exact"/>
        <w:rPr>
          <w:rStyle w:val="FontStyle31"/>
          <w:u w:val="single"/>
        </w:rPr>
      </w:pPr>
      <w:r>
        <w:rPr>
          <w:rStyle w:val="FontStyle31"/>
          <w:u w:val="single"/>
        </w:rPr>
        <w:t>S</w:t>
      </w:r>
      <w:r>
        <w:rPr>
          <w:rStyle w:val="FontStyle31"/>
          <w:u w:val="single"/>
        </w:rPr>
        <w:t xml:space="preserve">chvalovací doložka dle </w:t>
      </w:r>
      <w:proofErr w:type="gramStart"/>
      <w:r>
        <w:rPr>
          <w:rStyle w:val="FontStyle31"/>
          <w:u w:val="single"/>
        </w:rPr>
        <w:t>ustanoveni</w:t>
      </w:r>
      <w:proofErr w:type="gramEnd"/>
      <w:r>
        <w:rPr>
          <w:rStyle w:val="FontStyle31"/>
          <w:u w:val="single"/>
        </w:rPr>
        <w:t xml:space="preserve"> § 41 zák. č. 128/2000 Sb. ve znění pozdějších změn a doplňků:</w:t>
      </w:r>
    </w:p>
    <w:p w:rsidR="00000000" w:rsidRDefault="00BE14A9">
      <w:pPr>
        <w:pStyle w:val="Style11"/>
        <w:widowControl/>
        <w:tabs>
          <w:tab w:val="left" w:leader="dot" w:pos="8172"/>
        </w:tabs>
        <w:spacing w:line="216" w:lineRule="exact"/>
        <w:jc w:val="both"/>
        <w:rPr>
          <w:rStyle w:val="FontStyle31"/>
        </w:rPr>
      </w:pPr>
      <w:r>
        <w:rPr>
          <w:rStyle w:val="FontStyle31"/>
        </w:rPr>
        <w:t xml:space="preserve">Schváleno Radou města Pardubic dne </w:t>
      </w:r>
      <w:proofErr w:type="gramStart"/>
      <w:r>
        <w:rPr>
          <w:rStyle w:val="FontStyle31"/>
        </w:rPr>
        <w:t>4.9.2012</w:t>
      </w:r>
      <w:proofErr w:type="gramEnd"/>
      <w:r>
        <w:rPr>
          <w:rStyle w:val="FontStyle31"/>
        </w:rPr>
        <w:t>, číslo usnesení 3322/2012 a dne 27.11.2</w:t>
      </w:r>
      <w:r>
        <w:rPr>
          <w:rStyle w:val="FontStyle31"/>
        </w:rPr>
        <w:t>012, číslo</w:t>
      </w:r>
    </w:p>
    <w:p w:rsidR="00000000" w:rsidRDefault="00BE14A9" w:rsidP="00BE14A9">
      <w:pPr>
        <w:pStyle w:val="Style5"/>
        <w:widowControl/>
        <w:spacing w:line="216" w:lineRule="exact"/>
        <w:rPr>
          <w:rStyle w:val="FontStyle31"/>
        </w:rPr>
      </w:pPr>
      <w:r>
        <w:rPr>
          <w:rStyle w:val="FontStyle31"/>
        </w:rPr>
        <w:t>usnesení 3760/2012</w:t>
      </w:r>
    </w:p>
    <w:p w:rsidR="00BE14A9" w:rsidRDefault="00BE14A9">
      <w:pPr>
        <w:pStyle w:val="Style11"/>
        <w:widowControl/>
        <w:spacing w:before="209"/>
        <w:rPr>
          <w:rStyle w:val="FontStyle31"/>
        </w:rPr>
      </w:pPr>
    </w:p>
    <w:p w:rsidR="00483B65" w:rsidRDefault="00BE14A9">
      <w:pPr>
        <w:pStyle w:val="Style11"/>
        <w:widowControl/>
        <w:spacing w:before="209"/>
        <w:rPr>
          <w:rStyle w:val="FontStyle32"/>
          <w:spacing w:val="-10"/>
        </w:rPr>
      </w:pPr>
      <w:r>
        <w:rPr>
          <w:rStyle w:val="FontStyle31"/>
        </w:rPr>
        <w:t xml:space="preserve">V Pardubicích dne      </w:t>
      </w:r>
      <w:r>
        <w:rPr>
          <w:rStyle w:val="FontStyle32"/>
        </w:rPr>
        <w:t xml:space="preserve">-8. </w:t>
      </w:r>
      <w:r>
        <w:rPr>
          <w:rStyle w:val="FontStyle32"/>
          <w:spacing w:val="-10"/>
        </w:rPr>
        <w:t>01.</w:t>
      </w:r>
      <w:r>
        <w:rPr>
          <w:rStyle w:val="FontStyle32"/>
        </w:rPr>
        <w:t xml:space="preserve">  </w:t>
      </w:r>
      <w:r>
        <w:rPr>
          <w:rStyle w:val="FontStyle32"/>
          <w:spacing w:val="-10"/>
        </w:rPr>
        <w:t>2013</w:t>
      </w:r>
    </w:p>
    <w:sectPr w:rsidR="00483B65">
      <w:type w:val="continuous"/>
      <w:pgSz w:w="11905" w:h="16837"/>
      <w:pgMar w:top="998" w:right="1351" w:bottom="1440" w:left="139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65" w:rsidRDefault="00483B65">
      <w:r>
        <w:separator/>
      </w:r>
    </w:p>
  </w:endnote>
  <w:endnote w:type="continuationSeparator" w:id="0">
    <w:p w:rsidR="00483B65" w:rsidRDefault="0048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14A9">
    <w:pPr>
      <w:pStyle w:val="Style15"/>
      <w:widowControl/>
      <w:ind w:left="-72" w:right="30"/>
      <w:jc w:val="right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14A9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65" w:rsidRDefault="00483B65">
      <w:r>
        <w:separator/>
      </w:r>
    </w:p>
  </w:footnote>
  <w:footnote w:type="continuationSeparator" w:id="0">
    <w:p w:rsidR="00483B65" w:rsidRDefault="0048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CE2EEBC"/>
    <w:lvl w:ilvl="0">
      <w:numFmt w:val="bullet"/>
      <w:lvlText w:val="*"/>
      <w:lvlJc w:val="left"/>
    </w:lvl>
  </w:abstractNum>
  <w:abstractNum w:abstractNumId="1" w15:restartNumberingAfterBreak="0">
    <w:nsid w:val="0E6C7179"/>
    <w:multiLevelType w:val="singleLevel"/>
    <w:tmpl w:val="F510309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53528A2"/>
    <w:multiLevelType w:val="singleLevel"/>
    <w:tmpl w:val="EEA4B98E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8DB073F"/>
    <w:multiLevelType w:val="singleLevel"/>
    <w:tmpl w:val="F510309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8D77DF3"/>
    <w:multiLevelType w:val="hybridMultilevel"/>
    <w:tmpl w:val="E856B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65"/>
    <w:rsid w:val="00483B65"/>
    <w:rsid w:val="00B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ED1200"/>
  <w14:defaultImageDpi w14:val="0"/>
  <w15:docId w15:val="{C50DDF6A-400C-49A9-9C3D-92EFF5E1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Garamond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72" w:lineRule="exact"/>
      <w:ind w:hanging="346"/>
      <w:jc w:val="both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6" w:lineRule="exact"/>
      <w:ind w:hanging="353"/>
      <w:jc w:val="both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266" w:lineRule="exact"/>
      <w:jc w:val="center"/>
    </w:pPr>
  </w:style>
  <w:style w:type="paragraph" w:customStyle="1" w:styleId="Style10">
    <w:name w:val="Style10"/>
    <w:basedOn w:val="Normln"/>
    <w:uiPriority w:val="99"/>
    <w:pPr>
      <w:spacing w:line="266" w:lineRule="exact"/>
      <w:ind w:hanging="353"/>
      <w:jc w:val="both"/>
    </w:pPr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  <w:pPr>
      <w:spacing w:line="252" w:lineRule="exact"/>
      <w:jc w:val="center"/>
    </w:pPr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character" w:customStyle="1" w:styleId="FontStyle18">
    <w:name w:val="Font Style18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Standardnpsmoodstavce"/>
    <w:uiPriority w:val="99"/>
    <w:rPr>
      <w:rFonts w:ascii="Garamond" w:hAnsi="Garamond" w:cs="Garamond"/>
      <w:b/>
      <w:bCs/>
      <w:sz w:val="34"/>
      <w:szCs w:val="34"/>
    </w:rPr>
  </w:style>
  <w:style w:type="character" w:customStyle="1" w:styleId="FontStyle21">
    <w:name w:val="Font Style21"/>
    <w:basedOn w:val="Standardnpsmoodstavce"/>
    <w:uiPriority w:val="99"/>
    <w:rPr>
      <w:rFonts w:ascii="Garamond" w:hAnsi="Garamond" w:cs="Garamond"/>
      <w:b/>
      <w:bCs/>
      <w:sz w:val="30"/>
      <w:szCs w:val="30"/>
    </w:rPr>
  </w:style>
  <w:style w:type="character" w:customStyle="1" w:styleId="FontStyle22">
    <w:name w:val="Font Style22"/>
    <w:basedOn w:val="Standardnpsmoodstavce"/>
    <w:uiPriority w:val="99"/>
    <w:rPr>
      <w:rFonts w:ascii="Constantia" w:hAnsi="Constantia" w:cs="Constantia"/>
      <w:sz w:val="20"/>
      <w:szCs w:val="20"/>
    </w:rPr>
  </w:style>
  <w:style w:type="character" w:customStyle="1" w:styleId="FontStyle23">
    <w:name w:val="Font Style23"/>
    <w:basedOn w:val="Standardnpsmoodstavce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Standardnpsmoodstavce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Standardnpsmoodstavce"/>
    <w:uiPriority w:val="99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26">
    <w:name w:val="Font Style26"/>
    <w:basedOn w:val="Standardnpsmoodstavce"/>
    <w:uiPriority w:val="99"/>
    <w:rPr>
      <w:rFonts w:ascii="Garamond" w:hAnsi="Garamond" w:cs="Garamond"/>
      <w:i/>
      <w:iCs/>
      <w:sz w:val="28"/>
      <w:szCs w:val="28"/>
    </w:rPr>
  </w:style>
  <w:style w:type="character" w:customStyle="1" w:styleId="FontStyle27">
    <w:name w:val="Font Style27"/>
    <w:basedOn w:val="Standardnpsmoodstavce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Standardnpsmoodstavce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Standardnpsmoodstavce"/>
    <w:uiPriority w:val="99"/>
    <w:rPr>
      <w:rFonts w:ascii="Book Antiqua" w:hAnsi="Book Antiqua" w:cs="Book Antiqua"/>
      <w:w w:val="150"/>
      <w:sz w:val="36"/>
      <w:szCs w:val="36"/>
    </w:rPr>
  </w:style>
  <w:style w:type="character" w:customStyle="1" w:styleId="FontStyle31">
    <w:name w:val="Font Style31"/>
    <w:basedOn w:val="Standardnpsmoodstavce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basedOn w:val="Standardnpsmoodstavce"/>
    <w:uiPriority w:val="99"/>
    <w:rPr>
      <w:rFonts w:ascii="Franklin Gothic Demi Cond" w:hAnsi="Franklin Gothic Demi Cond" w:cs="Franklin Gothic Demi Cond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881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Veselá Ilona</dc:creator>
  <cp:keywords/>
  <dc:description/>
  <cp:lastModifiedBy>Veselá Ilona</cp:lastModifiedBy>
  <cp:revision>2</cp:revision>
  <dcterms:created xsi:type="dcterms:W3CDTF">2017-06-13T08:57:00Z</dcterms:created>
  <dcterms:modified xsi:type="dcterms:W3CDTF">2017-06-13T09:05:00Z</dcterms:modified>
</cp:coreProperties>
</file>