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Style21"/>
        <w:widowControl/>
        <w:spacing w:before="110" w:after="0"/>
        <w:ind w:right="1027" w:hanging="0"/>
        <w:jc w:val="both"/>
        <w:rPr>
          <w:rStyle w:val="FontStyle23"/>
          <w:sz w:val="40"/>
          <w:szCs w:val="40"/>
        </w:rPr>
      </w:pPr>
      <w:r>
        <w:rPr>
          <w:rStyle w:val="FontStyle23"/>
          <w:sz w:val="40"/>
          <w:szCs w:val="40"/>
        </w:rPr>
        <w:t xml:space="preserve">Smlouva o zajištění divadelního představení </w:t>
      </w:r>
    </w:p>
    <w:p>
      <w:pPr>
        <w:pStyle w:val="Style21"/>
        <w:widowControl/>
        <w:spacing w:before="110" w:after="0"/>
        <w:ind w:right="1027" w:hanging="0"/>
        <w:jc w:val="both"/>
        <w:rPr>
          <w:rStyle w:val="FontStyle24"/>
          <w:i w:val="false"/>
          <w:i w:val="false"/>
          <w:iCs w:val="false"/>
          <w:sz w:val="16"/>
          <w:szCs w:val="16"/>
        </w:rPr>
      </w:pPr>
      <w:r>
        <w:rPr>
          <w:rStyle w:val="FontStyle24"/>
          <w:b w:val="false"/>
          <w:sz w:val="16"/>
          <w:szCs w:val="16"/>
        </w:rPr>
        <w:t>kterou níže uvedeného dne, měsíce a roku uzavřely ve smyslu ustanovení § 1746 odst. 2 zákona č. 89/2012 Sb., občanského zákoníku v platném znění, tyto smluvní strany:</w:t>
      </w:r>
    </w:p>
    <w:p>
      <w:pPr>
        <w:pStyle w:val="Style91"/>
        <w:widowControl/>
        <w:spacing w:lineRule="exact" w:line="240"/>
        <w:jc w:val="both"/>
        <w:rPr>
          <w:sz w:val="22"/>
          <w:szCs w:val="22"/>
        </w:rPr>
      </w:pPr>
      <w:r>
        <w:rPr>
          <w:sz w:val="22"/>
          <w:szCs w:val="22"/>
        </w:rPr>
      </w:r>
    </w:p>
    <w:p>
      <w:pPr>
        <w:pStyle w:val="Normal"/>
        <w:jc w:val="both"/>
        <w:rPr>
          <w:rFonts w:eastAsia="Arial"/>
          <w:b/>
          <w:b/>
          <w:sz w:val="16"/>
          <w:szCs w:val="16"/>
        </w:rPr>
      </w:pPr>
      <w:r>
        <w:rPr>
          <w:rFonts w:eastAsia="Arial"/>
          <w:b/>
          <w:sz w:val="16"/>
          <w:szCs w:val="16"/>
        </w:rPr>
        <w:t xml:space="preserve">JT PROMOTION s.r.o., </w:t>
      </w:r>
    </w:p>
    <w:p>
      <w:pPr>
        <w:pStyle w:val="Normal"/>
        <w:jc w:val="both"/>
        <w:rPr>
          <w:rFonts w:eastAsia="Arial"/>
          <w:b/>
          <w:b/>
          <w:sz w:val="16"/>
          <w:szCs w:val="16"/>
        </w:rPr>
      </w:pPr>
      <w:r>
        <w:rPr>
          <w:rFonts w:eastAsia="Arial"/>
          <w:sz w:val="16"/>
          <w:szCs w:val="16"/>
        </w:rPr>
        <w:t>IČO: 02281635, DIČ: CZ02281635</w:t>
      </w:r>
    </w:p>
    <w:p>
      <w:pPr>
        <w:pStyle w:val="Normal"/>
        <w:rPr>
          <w:rFonts w:eastAsia="Arial"/>
          <w:sz w:val="16"/>
          <w:szCs w:val="16"/>
        </w:rPr>
      </w:pPr>
      <w:r>
        <w:rPr>
          <w:rFonts w:eastAsia="Arial"/>
          <w:sz w:val="16"/>
          <w:szCs w:val="16"/>
        </w:rPr>
        <w:t xml:space="preserve">se sídlem </w:t>
      </w:r>
      <w:r>
        <w:rPr>
          <w:sz w:val="16"/>
          <w:szCs w:val="16"/>
        </w:rPr>
        <w:t>Plánská 403/5, Severní Předměstí, 301 00 Plzeň</w:t>
      </w:r>
    </w:p>
    <w:p>
      <w:pPr>
        <w:pStyle w:val="Normal"/>
        <w:rPr>
          <w:rFonts w:eastAsia="Arial"/>
          <w:sz w:val="16"/>
          <w:szCs w:val="16"/>
        </w:rPr>
      </w:pPr>
      <w:r>
        <w:rPr>
          <w:rFonts w:eastAsia="Arial"/>
          <w:sz w:val="16"/>
          <w:szCs w:val="16"/>
        </w:rPr>
        <w:t xml:space="preserve">zapsaná v obchodním rejstříku vedeném Krajským soudem v Plzni, oddíl C, vložka </w:t>
      </w:r>
      <w:r>
        <w:rPr>
          <w:sz w:val="16"/>
          <w:szCs w:val="16"/>
        </w:rPr>
        <w:t>29188</w:t>
      </w:r>
    </w:p>
    <w:p>
      <w:pPr>
        <w:pStyle w:val="Normal"/>
        <w:rPr>
          <w:rFonts w:eastAsia="Arial"/>
          <w:sz w:val="16"/>
          <w:szCs w:val="16"/>
        </w:rPr>
      </w:pPr>
      <w:r>
        <w:rPr>
          <w:rFonts w:eastAsia="Arial"/>
          <w:sz w:val="16"/>
          <w:szCs w:val="16"/>
        </w:rPr>
        <w:t>zastoupená Terezou Palkovou, jednatelkou</w:t>
      </w:r>
    </w:p>
    <w:p>
      <w:pPr>
        <w:pStyle w:val="Normal"/>
        <w:rPr/>
      </w:pPr>
      <w:r>
        <w:rPr>
          <w:rFonts w:eastAsia="Arial"/>
          <w:sz w:val="16"/>
          <w:szCs w:val="16"/>
        </w:rPr>
        <w:t xml:space="preserve">kontaktní osoba: Jiří Turek, e-mail: </w:t>
      </w:r>
      <w:r>
        <w:rPr>
          <w:rFonts w:eastAsia="Arial" w:cs="Times New Roman"/>
          <w:sz w:val="16"/>
          <w:szCs w:val="16"/>
          <w:lang w:eastAsia="cs-CZ"/>
        </w:rPr>
        <w:t>xxxxx</w:t>
      </w:r>
      <w:r>
        <w:rPr>
          <w:rFonts w:eastAsia="Arial"/>
          <w:sz w:val="16"/>
          <w:szCs w:val="16"/>
        </w:rPr>
        <w:t xml:space="preserve">, tel.: </w:t>
      </w:r>
      <w:r>
        <w:rPr>
          <w:rFonts w:eastAsia="Arial" w:cs="Times New Roman"/>
          <w:sz w:val="16"/>
          <w:szCs w:val="16"/>
          <w:lang w:eastAsia="cs-CZ"/>
        </w:rPr>
        <w:t>xxxxx</w:t>
      </w:r>
    </w:p>
    <w:p>
      <w:pPr>
        <w:pStyle w:val="Normal"/>
        <w:rPr/>
      </w:pPr>
      <w:r>
        <w:rPr>
          <w:rFonts w:eastAsia="Arial"/>
          <w:sz w:val="16"/>
          <w:szCs w:val="16"/>
        </w:rPr>
        <w:t xml:space="preserve">bankovní spojení: </w:t>
      </w:r>
      <w:r>
        <w:rPr>
          <w:rFonts w:eastAsia="Arial" w:cs="Times New Roman"/>
          <w:sz w:val="16"/>
          <w:szCs w:val="16"/>
          <w:lang w:eastAsia="cs-CZ"/>
        </w:rPr>
        <w:t>xxxxx</w:t>
      </w:r>
    </w:p>
    <w:p>
      <w:pPr>
        <w:pStyle w:val="Normal"/>
        <w:jc w:val="both"/>
        <w:rPr>
          <w:rFonts w:eastAsia="Arial"/>
          <w:sz w:val="16"/>
          <w:szCs w:val="16"/>
        </w:rPr>
      </w:pPr>
      <w:r>
        <w:rPr>
          <w:rFonts w:eastAsia="Arial"/>
          <w:sz w:val="16"/>
          <w:szCs w:val="16"/>
        </w:rPr>
        <w:t>(dále jen „dodavatel“)</w:t>
      </w:r>
    </w:p>
    <w:p>
      <w:pPr>
        <w:pStyle w:val="Normal"/>
        <w:jc w:val="both"/>
        <w:rPr>
          <w:rFonts w:eastAsia="Arial"/>
          <w:sz w:val="16"/>
          <w:szCs w:val="16"/>
        </w:rPr>
      </w:pPr>
      <w:r>
        <w:rPr>
          <w:rFonts w:eastAsia="Arial"/>
          <w:sz w:val="16"/>
          <w:szCs w:val="16"/>
        </w:rPr>
      </w:r>
    </w:p>
    <w:p>
      <w:pPr>
        <w:pStyle w:val="Normal"/>
        <w:jc w:val="both"/>
        <w:rPr>
          <w:rFonts w:eastAsia="Arial"/>
          <w:sz w:val="16"/>
          <w:szCs w:val="16"/>
        </w:rPr>
      </w:pPr>
      <w:r>
        <w:rPr>
          <w:rFonts w:eastAsia="Arial"/>
          <w:sz w:val="16"/>
          <w:szCs w:val="16"/>
        </w:rPr>
        <w:t xml:space="preserve">a </w:t>
      </w:r>
    </w:p>
    <w:p>
      <w:pPr>
        <w:pStyle w:val="Normal"/>
        <w:rPr>
          <w:rFonts w:eastAsia="Arial"/>
          <w:b/>
          <w:b/>
          <w:sz w:val="16"/>
          <w:szCs w:val="16"/>
        </w:rPr>
      </w:pPr>
      <w:r>
        <w:rPr>
          <w:rFonts w:eastAsia="Arial"/>
          <w:b/>
          <w:sz w:val="16"/>
          <w:szCs w:val="16"/>
        </w:rPr>
      </w:r>
    </w:p>
    <w:p>
      <w:pPr>
        <w:pStyle w:val="Normal"/>
        <w:spacing w:before="0" w:after="240"/>
        <w:rPr/>
      </w:pPr>
      <w:r>
        <w:rPr>
          <w:rFonts w:eastAsia="Calibri"/>
          <w:b/>
          <w:bCs/>
          <w:color w:val="000000"/>
          <w:sz w:val="16"/>
          <w:szCs w:val="16"/>
          <w:lang w:eastAsia="en-US"/>
        </w:rPr>
        <w:t>Městské kulturní středisko Jaroměř</w:t>
      </w:r>
      <w:r>
        <w:rPr>
          <w:rFonts w:eastAsia="Calibri"/>
          <w:b/>
          <w:color w:val="000000"/>
          <w:sz w:val="16"/>
          <w:szCs w:val="16"/>
          <w:lang w:eastAsia="en-US"/>
        </w:rPr>
        <w:t xml:space="preserve">                                                                                                                                                                                                             </w:t>
      </w:r>
      <w:r>
        <w:rPr>
          <w:rFonts w:eastAsia="Calibri"/>
          <w:color w:val="000000"/>
          <w:sz w:val="16"/>
          <w:szCs w:val="16"/>
          <w:lang w:eastAsia="en-US"/>
        </w:rPr>
        <w:t xml:space="preserve">IČO: 13585185                                                                                                                                                                                                                  se sídlem nám. Dukelských hrdinů 240, 551 01 Jaroměř                                                                                                                                                                                                            zastoupená ředitelkou Monikou Brychovou                                                                                                                                                                                                        kontaktní osoba: Monika Brychová, e-mail: </w:t>
      </w:r>
      <w:r>
        <w:rPr>
          <w:rFonts w:eastAsia="Calibri" w:cs="Times New Roman"/>
          <w:color w:val="000000"/>
          <w:sz w:val="16"/>
          <w:szCs w:val="16"/>
          <w:lang w:eastAsia="en-US"/>
        </w:rPr>
        <w:t>xxxxx</w:t>
      </w:r>
      <w:r>
        <w:rPr>
          <w:rFonts w:eastAsia="Calibri"/>
          <w:color w:val="000000"/>
          <w:sz w:val="16"/>
          <w:szCs w:val="16"/>
          <w:lang w:eastAsia="en-US"/>
        </w:rPr>
        <w:t xml:space="preserve">, tel.: </w:t>
      </w:r>
      <w:r>
        <w:rPr>
          <w:rFonts w:eastAsia="Calibri" w:cs="Times New Roman"/>
          <w:color w:val="000000"/>
          <w:sz w:val="16"/>
          <w:szCs w:val="16"/>
          <w:lang w:eastAsia="en-US"/>
        </w:rPr>
        <w:t>xxxxx</w:t>
      </w:r>
      <w:r>
        <w:rPr>
          <w:rFonts w:eastAsia="Calibri"/>
          <w:color w:val="000000"/>
          <w:sz w:val="16"/>
          <w:szCs w:val="16"/>
          <w:lang w:eastAsia="en-US"/>
        </w:rPr>
        <w:t xml:space="preserve">                                                                                                                                                                   </w:t>
      </w:r>
      <w:r>
        <w:rPr>
          <w:rFonts w:eastAsia="Times New Roman"/>
          <w:sz w:val="16"/>
          <w:szCs w:val="16"/>
        </w:rPr>
        <w:t>(</w:t>
      </w:r>
      <w:r>
        <w:rPr>
          <w:rFonts w:eastAsia="Calibri" w:eastAsiaTheme="minorHAnsi"/>
          <w:color w:val="000000"/>
          <w:sz w:val="16"/>
          <w:szCs w:val="16"/>
          <w:lang w:val="en-US" w:eastAsia="en-US"/>
        </w:rPr>
        <w:t xml:space="preserve">dále jen „objednatel“ nebo „pořadatel“) </w:t>
      </w:r>
    </w:p>
    <w:p>
      <w:pPr>
        <w:pStyle w:val="Normal"/>
        <w:tabs>
          <w:tab w:val="clear" w:pos="708"/>
          <w:tab w:val="left" w:pos="426" w:leader="none"/>
          <w:tab w:val="left" w:pos="851" w:leader="none"/>
          <w:tab w:val="left" w:pos="1134" w:leader="none"/>
        </w:tabs>
        <w:spacing w:lineRule="exact" w:line="240"/>
        <w:jc w:val="center"/>
        <w:rPr>
          <w:rFonts w:eastAsia="Arial"/>
          <w:b/>
          <w:b/>
          <w:sz w:val="16"/>
          <w:szCs w:val="16"/>
        </w:rPr>
      </w:pPr>
      <w:r>
        <w:rPr>
          <w:rFonts w:eastAsia="Arial"/>
          <w:b/>
          <w:sz w:val="16"/>
          <w:szCs w:val="16"/>
        </w:rPr>
        <w:t>Článek I.</w:t>
      </w:r>
    </w:p>
    <w:p>
      <w:pPr>
        <w:pStyle w:val="Normal"/>
        <w:tabs>
          <w:tab w:val="clear" w:pos="708"/>
          <w:tab w:val="left" w:pos="426" w:leader="none"/>
          <w:tab w:val="left" w:pos="851" w:leader="none"/>
          <w:tab w:val="left" w:pos="1134" w:leader="none"/>
        </w:tabs>
        <w:spacing w:lineRule="exact" w:line="240"/>
        <w:jc w:val="center"/>
        <w:rPr>
          <w:rFonts w:eastAsia="Times New Roman"/>
          <w:sz w:val="16"/>
          <w:szCs w:val="16"/>
        </w:rPr>
      </w:pPr>
      <w:r>
        <w:rPr>
          <w:rFonts w:eastAsia="Arial"/>
          <w:b/>
          <w:sz w:val="16"/>
          <w:szCs w:val="16"/>
        </w:rPr>
        <w:t>Místo a čas konání divadelního představení</w:t>
      </w:r>
    </w:p>
    <w:p>
      <w:pPr>
        <w:pStyle w:val="ListParagraph"/>
        <w:numPr>
          <w:ilvl w:val="0"/>
          <w:numId w:val="2"/>
        </w:numPr>
        <w:ind w:left="284" w:hanging="284"/>
        <w:jc w:val="both"/>
        <w:rPr>
          <w:sz w:val="16"/>
          <w:szCs w:val="16"/>
        </w:rPr>
      </w:pPr>
      <w:r>
        <w:rPr>
          <w:sz w:val="16"/>
          <w:szCs w:val="16"/>
        </w:rPr>
        <w:t>Dodavatel je povinen a zavazuje se předvést divadelní představení, popř. zajistit jeho odehrání v počtu, místě a čase dohodnutém s objednatelem, konkrétně:</w:t>
      </w:r>
    </w:p>
    <w:p>
      <w:pPr>
        <w:pStyle w:val="Normal"/>
        <w:rPr>
          <w:sz w:val="16"/>
          <w:szCs w:val="16"/>
          <w:lang w:val="en-US"/>
        </w:rPr>
      </w:pPr>
      <w:r>
        <w:rPr>
          <w:sz w:val="16"/>
          <w:szCs w:val="16"/>
        </w:rPr>
        <w:t xml:space="preserve">   </w:t>
      </w:r>
    </w:p>
    <w:p>
      <w:pPr>
        <w:pStyle w:val="Normal"/>
        <w:rPr>
          <w:rFonts w:eastAsia="Calibri" w:eastAsiaTheme="minorHAnsi"/>
          <w:color w:val="000000"/>
          <w:sz w:val="16"/>
          <w:szCs w:val="16"/>
          <w:lang w:val="en-US" w:eastAsia="en-US"/>
        </w:rPr>
      </w:pPr>
      <w:r>
        <w:rPr>
          <w:rFonts w:eastAsia="Calibri" w:eastAsiaTheme="minorHAnsi"/>
          <w:color w:val="000000"/>
          <w:sz w:val="16"/>
          <w:szCs w:val="16"/>
          <w:lang w:val="en-US" w:eastAsia="en-US"/>
        </w:rPr>
      </w:r>
    </w:p>
    <w:p>
      <w:pPr>
        <w:pStyle w:val="Normal"/>
        <w:rPr>
          <w:sz w:val="22"/>
          <w:szCs w:val="22"/>
        </w:rPr>
      </w:pPr>
      <w:r>
        <w:rPr>
          <w:rFonts w:eastAsia="Calibri" w:eastAsiaTheme="minorHAnsi"/>
          <w:color w:val="000000"/>
          <w:sz w:val="16"/>
          <w:szCs w:val="16"/>
          <w:lang w:val="en-US" w:eastAsia="en-US"/>
        </w:rPr>
        <w:t xml:space="preserve">Místo konání: </w:t>
      </w:r>
      <w:r>
        <w:rPr>
          <w:rFonts w:eastAsia="Times New Roman"/>
          <w:b/>
          <w:color w:val="000000"/>
          <w:sz w:val="16"/>
          <w:szCs w:val="16"/>
        </w:rPr>
        <w:t xml:space="preserve">MĚSTSKÉ DIVADLO Dukelských hrdinů 240, 551 01 Jaroměř,  </w:t>
      </w:r>
      <w:r>
        <w:rPr>
          <w:b/>
          <w:sz w:val="16"/>
          <w:szCs w:val="16"/>
        </w:rPr>
        <w:t>(dále též „divadlo“)</w:t>
      </w:r>
      <w:r>
        <w:rPr>
          <w:sz w:val="22"/>
          <w:szCs w:val="22"/>
        </w:rPr>
        <w:t xml:space="preserve"> </w:t>
      </w:r>
    </w:p>
    <w:p>
      <w:pPr>
        <w:pStyle w:val="Normal"/>
        <w:rPr>
          <w:rFonts w:eastAsia="Times New Roman"/>
          <w:sz w:val="16"/>
          <w:szCs w:val="16"/>
          <w:lang w:eastAsia="en-US"/>
        </w:rPr>
      </w:pPr>
      <w:r>
        <w:rPr>
          <w:rFonts w:eastAsia="Calibri" w:eastAsiaTheme="minorHAnsi"/>
          <w:color w:val="000000"/>
          <w:sz w:val="16"/>
          <w:szCs w:val="16"/>
          <w:lang w:val="en-US" w:eastAsia="en-US"/>
        </w:rPr>
        <w:t>Datum:22.9.2023, Čas zahájení: 19.00 hodin</w:t>
      </w:r>
      <w:r>
        <w:rPr>
          <w:rFonts w:eastAsia="Times New Roman"/>
          <w:sz w:val="16"/>
          <w:szCs w:val="16"/>
          <w:lang w:eastAsia="en-US"/>
        </w:rPr>
        <w:t xml:space="preserve">. </w:t>
      </w:r>
    </w:p>
    <w:p>
      <w:pPr>
        <w:pStyle w:val="Normal"/>
        <w:rPr>
          <w:rFonts w:eastAsia="Calibri" w:eastAsiaTheme="minorHAnsi"/>
          <w:color w:val="000000"/>
          <w:sz w:val="16"/>
          <w:szCs w:val="16"/>
          <w:lang w:val="en-US" w:eastAsia="en-US"/>
        </w:rPr>
      </w:pPr>
      <w:r>
        <w:rPr>
          <w:rFonts w:eastAsia="Calibri" w:eastAsiaTheme="minorHAnsi"/>
          <w:color w:val="000000"/>
          <w:sz w:val="16"/>
          <w:szCs w:val="16"/>
          <w:lang w:val="en-US" w:eastAsia="en-US"/>
        </w:rPr>
        <w:t xml:space="preserve">Počet divadelních představení: 1 </w:t>
      </w:r>
    </w:p>
    <w:p>
      <w:pPr>
        <w:pStyle w:val="Normal"/>
        <w:rPr>
          <w:rFonts w:eastAsia="Times New Roman"/>
          <w:sz w:val="16"/>
          <w:szCs w:val="16"/>
          <w:lang w:eastAsia="en-US"/>
        </w:rPr>
      </w:pPr>
      <w:r>
        <w:rPr>
          <w:rFonts w:eastAsia="Times New Roman"/>
          <w:sz w:val="16"/>
          <w:szCs w:val="16"/>
          <w:lang w:eastAsia="en-US"/>
        </w:rPr>
      </w:r>
    </w:p>
    <w:p>
      <w:pPr>
        <w:pStyle w:val="Normal"/>
        <w:tabs>
          <w:tab w:val="clear" w:pos="708"/>
          <w:tab w:val="left" w:pos="426" w:leader="none"/>
          <w:tab w:val="left" w:pos="851" w:leader="none"/>
          <w:tab w:val="left" w:pos="1134" w:leader="none"/>
        </w:tabs>
        <w:spacing w:lineRule="exact" w:line="240"/>
        <w:jc w:val="center"/>
        <w:rPr>
          <w:rFonts w:eastAsia="Arial"/>
          <w:b/>
          <w:b/>
          <w:sz w:val="16"/>
          <w:szCs w:val="16"/>
        </w:rPr>
      </w:pPr>
      <w:r>
        <w:rPr>
          <w:rFonts w:eastAsia="Arial"/>
          <w:b/>
          <w:sz w:val="16"/>
          <w:szCs w:val="16"/>
        </w:rPr>
        <w:t>Článek II.</w:t>
      </w:r>
    </w:p>
    <w:p>
      <w:pPr>
        <w:pStyle w:val="Normal"/>
        <w:tabs>
          <w:tab w:val="clear" w:pos="708"/>
          <w:tab w:val="left" w:pos="426" w:leader="none"/>
          <w:tab w:val="left" w:pos="851" w:leader="none"/>
          <w:tab w:val="left" w:pos="1134" w:leader="none"/>
        </w:tabs>
        <w:spacing w:lineRule="exact" w:line="240"/>
        <w:jc w:val="center"/>
        <w:rPr>
          <w:rFonts w:eastAsia="Times New Roman"/>
          <w:sz w:val="16"/>
          <w:szCs w:val="16"/>
        </w:rPr>
      </w:pPr>
      <w:r>
        <w:rPr>
          <w:rFonts w:eastAsia="Arial"/>
          <w:b/>
          <w:sz w:val="16"/>
          <w:szCs w:val="16"/>
        </w:rPr>
        <w:t>Předmět smlouvy</w:t>
      </w:r>
    </w:p>
    <w:p>
      <w:pPr>
        <w:pStyle w:val="ListParagraph"/>
        <w:numPr>
          <w:ilvl w:val="0"/>
          <w:numId w:val="1"/>
        </w:numPr>
        <w:ind w:left="284" w:hanging="284"/>
        <w:jc w:val="both"/>
        <w:rPr>
          <w:sz w:val="16"/>
          <w:szCs w:val="16"/>
        </w:rPr>
      </w:pPr>
      <w:r>
        <w:rPr>
          <w:sz w:val="16"/>
          <w:szCs w:val="16"/>
        </w:rPr>
        <w:t>Dodavatel se za podmínek této smlouvy zavazuje, že pro objednatele zajistí odehrání níže specifikovaného divadelního představení tj. vytvoření uměleckého výkonu herci dle scénáře dále specifikovaného představení a objednatel se zavazuje za to dodavateli zaplatit sjednanou cenu.</w:t>
      </w:r>
    </w:p>
    <w:p>
      <w:pPr>
        <w:pStyle w:val="Normal"/>
        <w:jc w:val="both"/>
        <w:rPr>
          <w:sz w:val="16"/>
          <w:szCs w:val="16"/>
        </w:rPr>
      </w:pPr>
      <w:r>
        <w:rPr>
          <w:sz w:val="16"/>
          <w:szCs w:val="16"/>
        </w:rPr>
      </w:r>
    </w:p>
    <w:p>
      <w:pPr>
        <w:pStyle w:val="ListParagraph"/>
        <w:ind w:left="284" w:hanging="0"/>
        <w:jc w:val="both"/>
        <w:rPr>
          <w:sz w:val="16"/>
          <w:szCs w:val="16"/>
        </w:rPr>
      </w:pPr>
      <w:r>
        <w:rPr>
          <w:sz w:val="16"/>
          <w:szCs w:val="16"/>
        </w:rPr>
        <w:t>Specifikace divadelního představení:</w:t>
      </w:r>
    </w:p>
    <w:p>
      <w:pPr>
        <w:pStyle w:val="ListParagraph"/>
        <w:ind w:left="284" w:hanging="0"/>
        <w:jc w:val="both"/>
        <w:rPr>
          <w:sz w:val="16"/>
          <w:szCs w:val="16"/>
        </w:rPr>
      </w:pPr>
      <w:r>
        <w:rPr>
          <w:sz w:val="16"/>
          <w:szCs w:val="16"/>
        </w:rPr>
      </w:r>
    </w:p>
    <w:p>
      <w:pPr>
        <w:pStyle w:val="ListParagraph"/>
        <w:ind w:left="284" w:hanging="0"/>
        <w:jc w:val="both"/>
        <w:rPr>
          <w:b/>
          <w:b/>
          <w:sz w:val="16"/>
          <w:szCs w:val="16"/>
        </w:rPr>
      </w:pPr>
      <w:r>
        <w:rPr>
          <w:sz w:val="16"/>
          <w:szCs w:val="16"/>
        </w:rPr>
        <w:t xml:space="preserve">Název: </w:t>
      </w:r>
      <w:r>
        <w:rPr>
          <w:b/>
          <w:sz w:val="16"/>
          <w:szCs w:val="16"/>
        </w:rPr>
        <w:t>Miluji tě, tak se měj…</w:t>
      </w:r>
    </w:p>
    <w:p>
      <w:pPr>
        <w:pStyle w:val="ListParagraph"/>
        <w:ind w:left="284" w:hanging="0"/>
        <w:jc w:val="both"/>
        <w:rPr>
          <w:sz w:val="16"/>
          <w:szCs w:val="16"/>
        </w:rPr>
      </w:pPr>
      <w:r>
        <w:rPr>
          <w:sz w:val="16"/>
          <w:szCs w:val="16"/>
        </w:rPr>
        <w:t>Popis: Brilantní komedie z divadelního prostředí</w:t>
      </w:r>
    </w:p>
    <w:p>
      <w:pPr>
        <w:pStyle w:val="ListParagraph"/>
        <w:ind w:left="284" w:hanging="0"/>
        <w:jc w:val="both"/>
        <w:rPr>
          <w:sz w:val="16"/>
          <w:szCs w:val="16"/>
        </w:rPr>
      </w:pPr>
      <w:r>
        <w:rPr>
          <w:sz w:val="16"/>
          <w:szCs w:val="16"/>
        </w:rPr>
        <w:t>Autor: Maria Goos</w:t>
      </w:r>
    </w:p>
    <w:p>
      <w:pPr>
        <w:pStyle w:val="ListParagraph"/>
        <w:ind w:left="284" w:hanging="0"/>
        <w:jc w:val="both"/>
        <w:rPr>
          <w:sz w:val="16"/>
          <w:szCs w:val="16"/>
        </w:rPr>
      </w:pPr>
      <w:r>
        <w:rPr>
          <w:sz w:val="16"/>
          <w:szCs w:val="16"/>
        </w:rPr>
        <w:t>Režie: Antonín Procházka</w:t>
      </w:r>
    </w:p>
    <w:p>
      <w:pPr>
        <w:pStyle w:val="ListParagraph"/>
        <w:ind w:left="284" w:hanging="0"/>
        <w:jc w:val="both"/>
        <w:rPr>
          <w:sz w:val="16"/>
          <w:szCs w:val="16"/>
        </w:rPr>
      </w:pPr>
      <w:r>
        <w:rPr>
          <w:sz w:val="16"/>
          <w:szCs w:val="16"/>
        </w:rPr>
        <w:t>Délka představení: cca 110 minut včetně přestávky</w:t>
      </w:r>
    </w:p>
    <w:p>
      <w:pPr>
        <w:pStyle w:val="ListParagraph"/>
        <w:ind w:left="284" w:hanging="0"/>
        <w:rPr>
          <w:rFonts w:eastAsia="Calibri" w:eastAsiaTheme="minorHAnsi"/>
          <w:sz w:val="16"/>
          <w:szCs w:val="16"/>
          <w:lang w:val="en-US" w:eastAsia="en-US"/>
        </w:rPr>
      </w:pPr>
      <w:r>
        <w:rPr>
          <w:sz w:val="16"/>
          <w:szCs w:val="16"/>
        </w:rPr>
        <w:t>Obsazení:</w:t>
      </w:r>
      <w:r>
        <w:rPr>
          <w:rFonts w:eastAsia="Calibri" w:eastAsiaTheme="minorHAnsi"/>
          <w:b/>
          <w:bCs/>
          <w:sz w:val="16"/>
          <w:szCs w:val="16"/>
          <w:lang w:val="en-US" w:eastAsia="en-US"/>
        </w:rPr>
        <w:t xml:space="preserve"> </w:t>
      </w:r>
      <w:r>
        <w:rPr>
          <w:rFonts w:eastAsia="Calibri" w:eastAsiaTheme="minorHAnsi"/>
          <w:sz w:val="16"/>
          <w:szCs w:val="16"/>
          <w:lang w:val="en-US" w:eastAsia="en-US"/>
        </w:rPr>
        <w:t>Ljuba Krbová a Adrian Jastraban,odavatel si vyhrazuje právo změny v obsazení.</w:t>
      </w:r>
    </w:p>
    <w:p>
      <w:pPr>
        <w:pStyle w:val="ListParagraph"/>
        <w:ind w:left="284" w:hanging="0"/>
        <w:jc w:val="both"/>
        <w:rPr>
          <w:sz w:val="16"/>
          <w:szCs w:val="16"/>
        </w:rPr>
      </w:pPr>
      <w:r>
        <w:rPr>
          <w:sz w:val="16"/>
          <w:szCs w:val="16"/>
        </w:rPr>
        <w:t>(dále jen „divadelní představení“)</w:t>
      </w:r>
    </w:p>
    <w:p>
      <w:pPr>
        <w:pStyle w:val="Normal"/>
        <w:rPr>
          <w:sz w:val="16"/>
          <w:szCs w:val="16"/>
        </w:rPr>
      </w:pPr>
      <w:r>
        <w:rPr>
          <w:sz w:val="16"/>
          <w:szCs w:val="16"/>
        </w:rPr>
      </w:r>
    </w:p>
    <w:p>
      <w:pPr>
        <w:pStyle w:val="ListParagraph"/>
        <w:numPr>
          <w:ilvl w:val="0"/>
          <w:numId w:val="1"/>
        </w:numPr>
        <w:ind w:left="284" w:hanging="284"/>
        <w:jc w:val="both"/>
        <w:rPr>
          <w:sz w:val="16"/>
          <w:szCs w:val="16"/>
        </w:rPr>
      </w:pPr>
      <w:r>
        <w:rPr>
          <w:sz w:val="16"/>
          <w:szCs w:val="16"/>
        </w:rPr>
        <w:t>Dodavatel si sám zajistí na svůj náklad a odpovědnost veškeré technické a produkční služby a vybavení, včetně kostýmní výpravy divadelního představení, dodání a stavby scénické dekorace divadelního představení a rekvizitní výpravy divadelního představení.</w:t>
      </w:r>
    </w:p>
    <w:p>
      <w:pPr>
        <w:pStyle w:val="ListParagraph"/>
        <w:numPr>
          <w:ilvl w:val="0"/>
          <w:numId w:val="1"/>
        </w:numPr>
        <w:spacing w:before="120" w:after="0"/>
        <w:ind w:left="284" w:hanging="284"/>
        <w:contextualSpacing/>
        <w:jc w:val="both"/>
        <w:rPr>
          <w:sz w:val="16"/>
          <w:szCs w:val="16"/>
        </w:rPr>
      </w:pPr>
      <w:r>
        <w:rPr>
          <w:sz w:val="16"/>
          <w:szCs w:val="16"/>
        </w:rPr>
        <w:t xml:space="preserve">Dodavatel se zavazuje zajistit na náklady pořadatele dopravu herců, technického personálu, scénické dekorace a rekvizit do místa konání divadelního představení a zpět. </w:t>
      </w:r>
    </w:p>
    <w:p>
      <w:pPr>
        <w:pStyle w:val="ListParagraph"/>
        <w:spacing w:before="120" w:after="0"/>
        <w:ind w:left="284" w:hanging="0"/>
        <w:contextualSpacing/>
        <w:jc w:val="both"/>
        <w:rPr>
          <w:sz w:val="16"/>
          <w:szCs w:val="16"/>
        </w:rPr>
      </w:pPr>
      <w:r>
        <w:rPr>
          <w:sz w:val="16"/>
          <w:szCs w:val="16"/>
        </w:rPr>
      </w:r>
    </w:p>
    <w:p>
      <w:pPr>
        <w:pStyle w:val="Normal"/>
        <w:tabs>
          <w:tab w:val="clear" w:pos="708"/>
          <w:tab w:val="left" w:pos="426" w:leader="none"/>
          <w:tab w:val="left" w:pos="851" w:leader="none"/>
          <w:tab w:val="left" w:pos="1134" w:leader="none"/>
        </w:tabs>
        <w:spacing w:lineRule="exact" w:line="240"/>
        <w:jc w:val="center"/>
        <w:rPr>
          <w:rFonts w:eastAsia="Arial"/>
          <w:b/>
          <w:b/>
          <w:sz w:val="16"/>
          <w:szCs w:val="16"/>
        </w:rPr>
      </w:pPr>
      <w:r>
        <w:rPr>
          <w:rFonts w:eastAsia="Arial"/>
          <w:b/>
          <w:sz w:val="16"/>
          <w:szCs w:val="16"/>
        </w:rPr>
        <w:t>Článek III.</w:t>
      </w:r>
    </w:p>
    <w:p>
      <w:pPr>
        <w:pStyle w:val="Normal"/>
        <w:jc w:val="center"/>
        <w:rPr>
          <w:rFonts w:eastAsia="Arial"/>
          <w:b/>
          <w:b/>
          <w:sz w:val="16"/>
          <w:szCs w:val="16"/>
        </w:rPr>
      </w:pPr>
      <w:r>
        <w:rPr>
          <w:rFonts w:eastAsia="Arial"/>
          <w:b/>
          <w:sz w:val="16"/>
          <w:szCs w:val="16"/>
        </w:rPr>
        <w:t>Technické podmínky divadelního představení</w:t>
      </w:r>
    </w:p>
    <w:p>
      <w:pPr>
        <w:pStyle w:val="ListParagraph"/>
        <w:numPr>
          <w:ilvl w:val="0"/>
          <w:numId w:val="3"/>
        </w:numPr>
        <w:ind w:left="284" w:hanging="284"/>
        <w:jc w:val="both"/>
        <w:rPr>
          <w:rFonts w:eastAsia="Arial"/>
          <w:b/>
          <w:b/>
          <w:sz w:val="16"/>
          <w:szCs w:val="16"/>
        </w:rPr>
      </w:pPr>
      <w:r>
        <w:rPr>
          <w:sz w:val="16"/>
          <w:szCs w:val="16"/>
        </w:rPr>
        <w:t xml:space="preserve">Objednatel je povinen a zavazuje se zajistit shora specifikovaný prostor divadla pro konání divadelního přestavení a dále je objednatel povinen pro dodavatele zajistit požadované </w:t>
      </w:r>
      <w:r>
        <w:rPr>
          <w:b/>
          <w:sz w:val="16"/>
          <w:szCs w:val="16"/>
        </w:rPr>
        <w:t>technické a organizační podmínky</w:t>
      </w:r>
      <w:r>
        <w:rPr>
          <w:sz w:val="16"/>
          <w:szCs w:val="16"/>
        </w:rPr>
        <w:t xml:space="preserve"> pro realizaci divadelního představení v požadovaném rozsahu specifikované dodatkem číslo 1 této smlouvy.</w:t>
      </w:r>
    </w:p>
    <w:p>
      <w:pPr>
        <w:pStyle w:val="Normal"/>
        <w:jc w:val="center"/>
        <w:rPr>
          <w:rFonts w:eastAsia="Arial"/>
          <w:b/>
          <w:b/>
          <w:sz w:val="16"/>
          <w:szCs w:val="16"/>
        </w:rPr>
      </w:pPr>
      <w:r>
        <w:rPr>
          <w:rFonts w:eastAsia="Arial"/>
          <w:b/>
          <w:sz w:val="16"/>
          <w:szCs w:val="16"/>
        </w:rPr>
      </w:r>
    </w:p>
    <w:p>
      <w:pPr>
        <w:pStyle w:val="Normal"/>
        <w:jc w:val="center"/>
        <w:rPr>
          <w:rFonts w:eastAsia="Arial"/>
          <w:b/>
          <w:b/>
          <w:sz w:val="16"/>
          <w:szCs w:val="16"/>
        </w:rPr>
      </w:pPr>
      <w:r>
        <w:rPr>
          <w:rFonts w:eastAsia="Arial"/>
          <w:b/>
          <w:sz w:val="16"/>
          <w:szCs w:val="16"/>
        </w:rPr>
        <w:t>Článek IV.</w:t>
      </w:r>
    </w:p>
    <w:p>
      <w:pPr>
        <w:pStyle w:val="Normal"/>
        <w:jc w:val="center"/>
        <w:rPr>
          <w:rFonts w:eastAsia="Arial"/>
          <w:b/>
          <w:b/>
          <w:sz w:val="16"/>
          <w:szCs w:val="16"/>
        </w:rPr>
      </w:pPr>
      <w:r>
        <w:rPr>
          <w:rFonts w:eastAsia="Arial"/>
          <w:b/>
          <w:sz w:val="16"/>
          <w:szCs w:val="16"/>
        </w:rPr>
        <w:t>Cenové a platební podmínky</w:t>
      </w:r>
    </w:p>
    <w:p>
      <w:pPr>
        <w:pStyle w:val="ListParagraph"/>
        <w:numPr>
          <w:ilvl w:val="0"/>
          <w:numId w:val="5"/>
        </w:numPr>
        <w:ind w:left="284" w:hanging="284"/>
        <w:jc w:val="both"/>
        <w:rPr/>
      </w:pPr>
      <w:r>
        <w:rPr>
          <w:sz w:val="16"/>
          <w:szCs w:val="16"/>
        </w:rPr>
        <w:t xml:space="preserve">Objednatel se zavazuje za odehrané divadelní představení uhradit dodavateli dohodnutou cenu ve výši </w:t>
      </w:r>
      <w:r>
        <w:rPr>
          <w:rFonts w:eastAsia="ＭＳ 明朝" w:cs="Times New Roman" w:eastAsiaTheme="minorEastAsia"/>
          <w:sz w:val="16"/>
          <w:szCs w:val="16"/>
          <w:lang w:eastAsia="cs-CZ"/>
        </w:rPr>
        <w:t>xxx</w:t>
      </w:r>
      <w:r>
        <w:rPr>
          <w:sz w:val="16"/>
          <w:szCs w:val="16"/>
        </w:rPr>
        <w:t xml:space="preserve">Kč, slovy: </w:t>
      </w:r>
      <w:r>
        <w:rPr>
          <w:rFonts w:eastAsia="ＭＳ 明朝" w:cs="Times New Roman" w:eastAsiaTheme="minorEastAsia"/>
          <w:sz w:val="16"/>
          <w:szCs w:val="16"/>
          <w:lang w:eastAsia="cs-CZ"/>
        </w:rPr>
        <w:t>xxxxx</w:t>
      </w:r>
      <w:r>
        <w:rPr>
          <w:sz w:val="16"/>
          <w:szCs w:val="16"/>
        </w:rPr>
        <w:t xml:space="preserve"> korun českých. Takto sjednaná cena zahrnuje cenu představení, honoráře umělců, technické a produkční zajištění představení. Za objednané plakáty bude dále účtována částka objednavateli ve výši 35Kč/1 kus, plus poštovné.</w:t>
      </w:r>
    </w:p>
    <w:p>
      <w:pPr>
        <w:pStyle w:val="ListParagraph"/>
        <w:numPr>
          <w:ilvl w:val="0"/>
          <w:numId w:val="5"/>
        </w:numPr>
        <w:ind w:left="284" w:hanging="284"/>
        <w:jc w:val="both"/>
        <w:rPr>
          <w:sz w:val="16"/>
          <w:szCs w:val="16"/>
        </w:rPr>
      </w:pPr>
      <w:r>
        <w:rPr>
          <w:sz w:val="16"/>
          <w:szCs w:val="16"/>
        </w:rPr>
        <w:t xml:space="preserve">Vedle ceny za odehrané představení uhradí objednatel dodavateli náklady na dopravu umělců z Prahy ve výši </w:t>
      </w:r>
      <w:r>
        <w:rPr>
          <w:sz w:val="16"/>
          <w:szCs w:val="16"/>
          <w:shd w:fill="FFFFFF" w:val="clear"/>
        </w:rPr>
        <w:t>16Kč/km a za dopravu scény a technického personálu z Plzně ve výši 24Kč/km. Dále 1x</w:t>
      </w:r>
      <w:r>
        <w:rPr>
          <w:sz w:val="16"/>
          <w:szCs w:val="16"/>
        </w:rPr>
        <w:t>1500 Kč/noc dopravce scény a 1x1500 Kč noc dopravce umělců za prostojné/čekání, pouze u spacích zájezdů.</w:t>
      </w:r>
    </w:p>
    <w:p>
      <w:pPr>
        <w:pStyle w:val="ListParagraph"/>
        <w:numPr>
          <w:ilvl w:val="0"/>
          <w:numId w:val="5"/>
        </w:numPr>
        <w:ind w:left="284" w:hanging="284"/>
        <w:jc w:val="both"/>
        <w:rPr>
          <w:sz w:val="16"/>
          <w:szCs w:val="16"/>
        </w:rPr>
      </w:pPr>
      <w:r>
        <w:rPr>
          <w:sz w:val="16"/>
          <w:szCs w:val="16"/>
        </w:rPr>
        <w:t>K cenám sjednaným v předchozích odstavcích bude účtována DPH v sazbě dle platných právních předpisů.</w:t>
      </w:r>
    </w:p>
    <w:p>
      <w:pPr>
        <w:pStyle w:val="ListParagraph"/>
        <w:numPr>
          <w:ilvl w:val="0"/>
          <w:numId w:val="5"/>
        </w:numPr>
        <w:ind w:left="284" w:hanging="284"/>
        <w:jc w:val="both"/>
        <w:rPr/>
      </w:pPr>
      <w:r>
        <w:rPr>
          <w:sz w:val="16"/>
          <w:szCs w:val="16"/>
        </w:rPr>
        <w:t xml:space="preserve">Platba za zajištění divadelního představení a dopravy bude provedena bezhotovostně po obdržení faktury, kterou dodavatel zašle objednateli do 14 dnů před uskutečněním divadelního představení. Objednatel uhradí fakturovanou částku dodavateli nejpozději do 7 dnů po jejím obdržení ne však později než 5 dnů před konáním divadelního představení. Povinnost zaplatit je splněna v den, kdy byla placená částka připsána na účet dodavatele. </w:t>
      </w:r>
    </w:p>
    <w:p>
      <w:pPr>
        <w:pStyle w:val="ListParagraph"/>
        <w:numPr>
          <w:ilvl w:val="0"/>
          <w:numId w:val="5"/>
        </w:numPr>
        <w:ind w:left="284" w:hanging="284"/>
        <w:jc w:val="both"/>
        <w:rPr>
          <w:sz w:val="16"/>
          <w:szCs w:val="16"/>
        </w:rPr>
      </w:pPr>
      <w:r>
        <w:rPr>
          <w:sz w:val="16"/>
          <w:szCs w:val="16"/>
        </w:rPr>
        <w:t>Dostane-li se objednatel do prodlení s úhradou faktury, je dodavatel oprávněn požadovat vedle úhrady dlužné částky i zákonný úrok z prodlení. Dostane-li se objednatel do prodlení s úhradou faktury není dodavatel povinen plnit své povinnosti dle této smlouvy, je však povinen objednatele na takový postup předem upozornit. Nebude-li dodavatel plnit z důvodu, že objednatel neuhradil fakturu, kterou došlo k vyúčtování ceny za zajištění divadelního představení, nezaniká nárok dodavatele na sjednanou cenu za odehrané divadelní představení a objednatel je povinen tuto cenu k výzvě dodavatele zaplatit.</w:t>
      </w:r>
    </w:p>
    <w:p>
      <w:pPr>
        <w:pStyle w:val="ListParagraph"/>
        <w:numPr>
          <w:ilvl w:val="0"/>
          <w:numId w:val="5"/>
        </w:numPr>
        <w:ind w:left="284" w:hanging="284"/>
        <w:jc w:val="both"/>
        <w:rPr>
          <w:sz w:val="16"/>
          <w:szCs w:val="16"/>
        </w:rPr>
      </w:pPr>
      <w:r>
        <w:rPr>
          <w:sz w:val="16"/>
          <w:szCs w:val="16"/>
        </w:rPr>
        <w:t>Objednatel je povinen uhradit alikvót ubytování umělců a technického personálu v předběžném počtu 7x 1lůžkový pokoj a to pouze v případě jedná-li se o spací navazující zájezd minimálně dvou pořadatelů. Ubytování bude zajištěno v hotelu na minimální úrovni tří hvězd a bude zajištěno včetně snídaně, parkování 3 vozidel a late check outu do 16.00 hodin. Nebude-li objednavatel vyzván k zajištění ubytování do 14 dnů před konáním představení, bude ubytování zajištěno dodavatelem a následně přefakturováno objednavateli.</w:t>
      </w:r>
    </w:p>
    <w:p>
      <w:pPr>
        <w:pStyle w:val="ListParagraph"/>
        <w:numPr>
          <w:ilvl w:val="0"/>
          <w:numId w:val="5"/>
        </w:numPr>
        <w:spacing w:before="120" w:after="0"/>
        <w:ind w:left="284" w:hanging="284"/>
        <w:contextualSpacing/>
        <w:jc w:val="both"/>
        <w:rPr>
          <w:rFonts w:eastAsia="MS Mincho"/>
          <w:sz w:val="16"/>
          <w:szCs w:val="16"/>
        </w:rPr>
      </w:pPr>
      <w:r>
        <w:rPr>
          <w:sz w:val="16"/>
          <w:szCs w:val="16"/>
        </w:rPr>
        <w:t>Pořadatel je povinen zpřístupnit kdykoli své účetnictví na žádost dodavatele dodavateli či osobě dodavatelem pověřené a poskytnout jim potřebnou součinnost, zejména předložit všechny relevantní účetní a jiné dokumenty, z nichž lze ověřit správnost výpočtu nároků subjektů uvedených v odst. 8. a 9. tohoto článku smlouvy. V případě porušení povinnosti sjednané tímto odstavcem je pořadatel povinen zaplatit dodavateli smluvní pokutu ve výši 10000,- Kč.</w:t>
      </w:r>
    </w:p>
    <w:p>
      <w:pPr>
        <w:pStyle w:val="ListParagraph"/>
        <w:numPr>
          <w:ilvl w:val="0"/>
          <w:numId w:val="5"/>
        </w:numPr>
        <w:spacing w:before="120" w:after="0"/>
        <w:ind w:left="284" w:hanging="284"/>
        <w:contextualSpacing/>
        <w:jc w:val="both"/>
        <w:rPr>
          <w:rFonts w:eastAsia="MS Mincho"/>
          <w:sz w:val="16"/>
          <w:szCs w:val="16"/>
        </w:rPr>
      </w:pPr>
      <w:r>
        <w:rPr>
          <w:sz w:val="16"/>
          <w:szCs w:val="16"/>
        </w:rPr>
        <w:t xml:space="preserve">Bude-li v rámci divadelního představení užita hudba, ke které je třeba vypořádat práva autorů hudby a případně rovněž práva ke zvukovému záznamu je objednavatel povinen </w:t>
      </w:r>
      <w:r>
        <w:rPr>
          <w:rFonts w:eastAsia="MS Mincho"/>
          <w:sz w:val="16"/>
          <w:szCs w:val="16"/>
        </w:rPr>
        <w:t xml:space="preserve">uzavřít smlouvu s kolektivním správcem a vypořádat honorářové nároky nositelů práv zastupovaných kolektivním správcem za užití hudebních děl při divadelním představení a splnit i ostatní povinnosti z uvedených smluv (např. zaslat hlášení o užití hudebních děl). </w:t>
      </w:r>
    </w:p>
    <w:p>
      <w:pPr>
        <w:pStyle w:val="ListParagraph"/>
        <w:numPr>
          <w:ilvl w:val="0"/>
          <w:numId w:val="5"/>
        </w:numPr>
        <w:spacing w:before="120" w:after="0"/>
        <w:ind w:left="284" w:hanging="284"/>
        <w:contextualSpacing/>
        <w:jc w:val="both"/>
        <w:rPr>
          <w:rFonts w:eastAsia="MS Mincho"/>
          <w:sz w:val="16"/>
          <w:szCs w:val="16"/>
        </w:rPr>
      </w:pPr>
      <w:r>
        <w:rPr>
          <w:sz w:val="16"/>
          <w:szCs w:val="16"/>
        </w:rPr>
        <w:t>Objednatel, coby pořadatel divadelního představení, je dále povinen:</w:t>
      </w:r>
    </w:p>
    <w:p>
      <w:pPr>
        <w:pStyle w:val="ListParagraph"/>
        <w:numPr>
          <w:ilvl w:val="0"/>
          <w:numId w:val="13"/>
        </w:numPr>
        <w:spacing w:before="120" w:after="0"/>
        <w:contextualSpacing/>
        <w:jc w:val="both"/>
        <w:rPr>
          <w:rFonts w:eastAsia="MS Mincho"/>
          <w:sz w:val="16"/>
          <w:szCs w:val="16"/>
        </w:rPr>
      </w:pPr>
      <w:r>
        <w:rPr>
          <w:sz w:val="16"/>
          <w:szCs w:val="16"/>
        </w:rPr>
        <w:t>písemně ohlásit DILIA, divadelní, literární, audiovizuální agentura, z.s. se sídlem Praha 9, Krátkého 1, IČ 65401875 (dále jen DILIA) uskutečnění divadelního představení, a to do 10. dne následujícího měsíce a současně předložit DILIA hlášení, která bude obsahovat následující údaje</w:t>
      </w:r>
    </w:p>
    <w:p>
      <w:pPr>
        <w:pStyle w:val="ListParagraph"/>
        <w:numPr>
          <w:ilvl w:val="0"/>
          <w:numId w:val="14"/>
        </w:numPr>
        <w:spacing w:before="120" w:after="0"/>
        <w:ind w:left="1701" w:hanging="567"/>
        <w:contextualSpacing/>
        <w:jc w:val="both"/>
        <w:rPr>
          <w:rFonts w:eastAsia="MS Mincho"/>
          <w:sz w:val="16"/>
          <w:szCs w:val="16"/>
        </w:rPr>
      </w:pPr>
      <w:r>
        <w:rPr>
          <w:rFonts w:eastAsia="MS Mincho"/>
          <w:sz w:val="16"/>
          <w:szCs w:val="16"/>
        </w:rPr>
        <w:t xml:space="preserve">datum a místo konání každého </w:t>
      </w:r>
      <w:r>
        <w:rPr>
          <w:sz w:val="16"/>
          <w:szCs w:val="16"/>
        </w:rPr>
        <w:t xml:space="preserve">divadelního </w:t>
      </w:r>
      <w:r>
        <w:rPr>
          <w:rFonts w:eastAsia="MS Mincho"/>
          <w:sz w:val="16"/>
          <w:szCs w:val="16"/>
        </w:rPr>
        <w:t>představení</w:t>
      </w:r>
    </w:p>
    <w:p>
      <w:pPr>
        <w:pStyle w:val="ListParagraph"/>
        <w:numPr>
          <w:ilvl w:val="0"/>
          <w:numId w:val="14"/>
        </w:numPr>
        <w:spacing w:before="120" w:after="0"/>
        <w:ind w:left="1701" w:hanging="567"/>
        <w:contextualSpacing/>
        <w:jc w:val="both"/>
        <w:rPr>
          <w:rFonts w:eastAsia="MS Mincho"/>
          <w:sz w:val="16"/>
          <w:szCs w:val="16"/>
        </w:rPr>
      </w:pPr>
      <w:r>
        <w:rPr>
          <w:rFonts w:eastAsia="MS Mincho"/>
          <w:sz w:val="16"/>
          <w:szCs w:val="16"/>
        </w:rPr>
        <w:t>identifikační údaje objednatele</w:t>
      </w:r>
    </w:p>
    <w:p>
      <w:pPr>
        <w:pStyle w:val="ListParagraph"/>
        <w:numPr>
          <w:ilvl w:val="0"/>
          <w:numId w:val="14"/>
        </w:numPr>
        <w:spacing w:before="120" w:after="0"/>
        <w:ind w:left="1701" w:hanging="567"/>
        <w:contextualSpacing/>
        <w:jc w:val="both"/>
        <w:rPr>
          <w:rFonts w:eastAsia="MS Mincho"/>
          <w:sz w:val="16"/>
          <w:szCs w:val="16"/>
        </w:rPr>
      </w:pPr>
      <w:r>
        <w:rPr>
          <w:rFonts w:eastAsia="MS Mincho"/>
          <w:sz w:val="16"/>
          <w:szCs w:val="16"/>
        </w:rPr>
        <w:t xml:space="preserve">celkový objem hrubých tržeb za divadelní představení a kalendářní měsíc </w:t>
      </w:r>
      <w:r>
        <w:rPr>
          <w:sz w:val="16"/>
          <w:szCs w:val="16"/>
        </w:rPr>
        <w:t xml:space="preserve">vzor ohlášky poskytuje DILIA na internetových stránkách www.dilia.cz </w:t>
      </w:r>
    </w:p>
    <w:p>
      <w:pPr>
        <w:pStyle w:val="Normal"/>
        <w:jc w:val="both"/>
        <w:rPr>
          <w:sz w:val="16"/>
          <w:szCs w:val="16"/>
        </w:rPr>
      </w:pPr>
      <w:r>
        <w:rPr>
          <w:sz w:val="16"/>
          <w:szCs w:val="16"/>
        </w:rPr>
        <w:t xml:space="preserve">             </w:t>
      </w:r>
      <w:r>
        <w:rPr>
          <w:sz w:val="16"/>
          <w:szCs w:val="16"/>
        </w:rPr>
        <w:t xml:space="preserve">b)    uhradit na účet DILIA, odměnu za poskytnutí licence resp. podlicence ve výši </w:t>
      </w:r>
      <w:r>
        <w:rPr>
          <w:rFonts w:eastAsia="Times New Roman"/>
          <w:color w:val="000000"/>
          <w:sz w:val="16"/>
          <w:szCs w:val="16"/>
          <w:lang w:eastAsia="en-US"/>
        </w:rPr>
        <w:t>14%, minimálně však 100EUR.</w:t>
      </w:r>
      <w:r>
        <w:rPr>
          <w:sz w:val="16"/>
          <w:szCs w:val="16"/>
        </w:rPr>
        <w:t xml:space="preserve"> </w:t>
      </w:r>
    </w:p>
    <w:p>
      <w:pPr>
        <w:pStyle w:val="Normal"/>
        <w:jc w:val="both"/>
        <w:rPr>
          <w:sz w:val="16"/>
          <w:szCs w:val="16"/>
        </w:rPr>
      </w:pPr>
      <w:r>
        <w:rPr>
          <w:sz w:val="16"/>
          <w:szCs w:val="16"/>
        </w:rPr>
        <w:t xml:space="preserve">                    </w:t>
      </w:r>
      <w:r>
        <w:rPr>
          <w:sz w:val="16"/>
          <w:szCs w:val="16"/>
        </w:rPr>
        <w:t xml:space="preserve">z celkových hrubých tržeb včetně předplatného za každé jednotlivé divadelní představení,   </w:t>
      </w:r>
    </w:p>
    <w:p>
      <w:pPr>
        <w:pStyle w:val="Normal"/>
        <w:jc w:val="both"/>
        <w:rPr>
          <w:sz w:val="16"/>
          <w:szCs w:val="16"/>
        </w:rPr>
      </w:pPr>
      <w:r>
        <w:rPr>
          <w:sz w:val="16"/>
          <w:szCs w:val="16"/>
        </w:rPr>
        <w:t xml:space="preserve">                    </w:t>
      </w:r>
      <w:r>
        <w:rPr>
          <w:sz w:val="16"/>
          <w:szCs w:val="16"/>
        </w:rPr>
        <w:t>a to dle faktury vystavené DILIA na základě hlášení,</w:t>
      </w:r>
    </w:p>
    <w:p>
      <w:pPr>
        <w:pStyle w:val="Normal"/>
        <w:jc w:val="both"/>
        <w:rPr>
          <w:sz w:val="16"/>
          <w:szCs w:val="16"/>
        </w:rPr>
      </w:pPr>
      <w:r>
        <w:rPr>
          <w:sz w:val="16"/>
          <w:szCs w:val="16"/>
        </w:rPr>
        <w:t xml:space="preserve">             </w:t>
      </w:r>
      <w:r>
        <w:rPr>
          <w:sz w:val="16"/>
          <w:szCs w:val="16"/>
        </w:rPr>
        <w:t xml:space="preserve">c)    umožnit DILIA či DILIA zmocněnému subjektu kontrolu účetních dokladů za účelem </w:t>
      </w:r>
    </w:p>
    <w:p>
      <w:pPr>
        <w:pStyle w:val="Normal"/>
        <w:jc w:val="both"/>
        <w:rPr>
          <w:sz w:val="16"/>
          <w:szCs w:val="16"/>
        </w:rPr>
      </w:pPr>
      <w:r>
        <w:rPr>
          <w:sz w:val="16"/>
          <w:szCs w:val="16"/>
        </w:rPr>
        <w:t xml:space="preserve">                    </w:t>
      </w:r>
      <w:r>
        <w:rPr>
          <w:sz w:val="16"/>
          <w:szCs w:val="16"/>
        </w:rPr>
        <w:t>ověření správnosti písemného hlášení.</w:t>
      </w:r>
    </w:p>
    <w:p>
      <w:pPr>
        <w:pStyle w:val="Normal"/>
        <w:tabs>
          <w:tab w:val="clear" w:pos="708"/>
          <w:tab w:val="left" w:pos="426" w:leader="none"/>
          <w:tab w:val="left" w:pos="851" w:leader="none"/>
          <w:tab w:val="left" w:pos="1134" w:leader="none"/>
        </w:tabs>
        <w:spacing w:lineRule="exact" w:line="240"/>
        <w:jc w:val="center"/>
        <w:rPr>
          <w:rFonts w:eastAsia="Arial"/>
          <w:b/>
          <w:b/>
          <w:sz w:val="16"/>
          <w:szCs w:val="16"/>
        </w:rPr>
      </w:pPr>
      <w:r>
        <w:rPr>
          <w:rFonts w:eastAsia="Arial"/>
          <w:b/>
          <w:sz w:val="16"/>
          <w:szCs w:val="16"/>
        </w:rPr>
      </w:r>
    </w:p>
    <w:p>
      <w:pPr>
        <w:pStyle w:val="Normal"/>
        <w:tabs>
          <w:tab w:val="clear" w:pos="708"/>
          <w:tab w:val="left" w:pos="426" w:leader="none"/>
          <w:tab w:val="left" w:pos="851" w:leader="none"/>
          <w:tab w:val="left" w:pos="1134" w:leader="none"/>
        </w:tabs>
        <w:spacing w:lineRule="exact" w:line="240"/>
        <w:jc w:val="center"/>
        <w:rPr>
          <w:rFonts w:eastAsia="Arial"/>
          <w:b/>
          <w:b/>
          <w:sz w:val="16"/>
          <w:szCs w:val="16"/>
        </w:rPr>
      </w:pPr>
      <w:r>
        <w:rPr>
          <w:rFonts w:eastAsia="Arial"/>
          <w:b/>
          <w:sz w:val="16"/>
          <w:szCs w:val="16"/>
        </w:rPr>
        <w:t>Článek V.</w:t>
      </w:r>
    </w:p>
    <w:p>
      <w:pPr>
        <w:pStyle w:val="Normal"/>
        <w:jc w:val="center"/>
        <w:rPr>
          <w:rFonts w:eastAsia="Arial"/>
          <w:b/>
          <w:b/>
          <w:sz w:val="16"/>
          <w:szCs w:val="16"/>
        </w:rPr>
      </w:pPr>
      <w:r>
        <w:rPr>
          <w:rFonts w:eastAsia="Arial"/>
          <w:b/>
          <w:sz w:val="16"/>
          <w:szCs w:val="16"/>
        </w:rPr>
        <w:t>Závazky pořadatele</w:t>
      </w:r>
    </w:p>
    <w:p>
      <w:pPr>
        <w:pStyle w:val="ListParagraph"/>
        <w:numPr>
          <w:ilvl w:val="0"/>
          <w:numId w:val="4"/>
        </w:numPr>
        <w:ind w:left="284" w:hanging="284"/>
        <w:jc w:val="both"/>
        <w:rPr>
          <w:sz w:val="16"/>
          <w:szCs w:val="16"/>
        </w:rPr>
      </w:pPr>
      <w:r>
        <w:rPr>
          <w:sz w:val="16"/>
          <w:szCs w:val="16"/>
        </w:rPr>
        <w:t xml:space="preserve">Objednatel, coby pořadatel divadelního představení se zavazuje nést vlastním nákladem náklady na umožnění užití prostoru divadla, v němž bude divadelní představení odehráno, stejně tak jako veškeré náklady související se zajištěním divadelního představení. </w:t>
      </w:r>
    </w:p>
    <w:p>
      <w:pPr>
        <w:pStyle w:val="ListParagraph"/>
        <w:numPr>
          <w:ilvl w:val="0"/>
          <w:numId w:val="4"/>
        </w:numPr>
        <w:ind w:left="284" w:hanging="284"/>
        <w:jc w:val="both"/>
        <w:rPr>
          <w:sz w:val="16"/>
          <w:szCs w:val="16"/>
        </w:rPr>
      </w:pPr>
      <w:r>
        <w:rPr>
          <w:sz w:val="16"/>
          <w:szCs w:val="16"/>
        </w:rPr>
        <w:t>Pořadatel se zavazuje zejména:</w:t>
      </w:r>
    </w:p>
    <w:p>
      <w:pPr>
        <w:pStyle w:val="ListParagraph"/>
        <w:numPr>
          <w:ilvl w:val="0"/>
          <w:numId w:val="6"/>
        </w:numPr>
        <w:ind w:left="1276" w:hanging="567"/>
        <w:jc w:val="both"/>
        <w:rPr>
          <w:sz w:val="16"/>
          <w:szCs w:val="16"/>
        </w:rPr>
      </w:pPr>
      <w:r>
        <w:rPr>
          <w:sz w:val="16"/>
          <w:szCs w:val="16"/>
        </w:rPr>
        <w:t>poskytnout či zajistit pro bezplatné užívání prostor divadla nutných k provedení zkoušek, stavby scény a představení</w:t>
      </w:r>
    </w:p>
    <w:p>
      <w:pPr>
        <w:pStyle w:val="ListParagraph"/>
        <w:numPr>
          <w:ilvl w:val="0"/>
          <w:numId w:val="6"/>
        </w:numPr>
        <w:ind w:left="1276" w:hanging="567"/>
        <w:jc w:val="both"/>
        <w:rPr>
          <w:sz w:val="16"/>
          <w:szCs w:val="16"/>
        </w:rPr>
      </w:pPr>
      <w:r>
        <w:rPr>
          <w:sz w:val="16"/>
          <w:szCs w:val="16"/>
        </w:rPr>
        <w:t>v den představení umožnit účinkujícím vstup do divadla alespoň 3 hodiny před začátkem divadelního představení</w:t>
      </w:r>
    </w:p>
    <w:p>
      <w:pPr>
        <w:pStyle w:val="ListParagraph"/>
        <w:numPr>
          <w:ilvl w:val="0"/>
          <w:numId w:val="6"/>
        </w:numPr>
        <w:ind w:left="1276" w:hanging="567"/>
        <w:jc w:val="both"/>
        <w:rPr>
          <w:sz w:val="16"/>
          <w:szCs w:val="16"/>
        </w:rPr>
      </w:pPr>
      <w:r>
        <w:rPr>
          <w:sz w:val="16"/>
          <w:szCs w:val="16"/>
        </w:rPr>
        <w:t>zabezpečit a uhradit služby bezpečnostního, požárního a obslužného personálu a vytápění a úklid prostor divadla</w:t>
      </w:r>
    </w:p>
    <w:p>
      <w:pPr>
        <w:pStyle w:val="ListParagraph"/>
        <w:numPr>
          <w:ilvl w:val="0"/>
          <w:numId w:val="6"/>
        </w:numPr>
        <w:spacing w:before="120" w:after="0"/>
        <w:ind w:left="1276" w:hanging="567"/>
        <w:contextualSpacing/>
        <w:jc w:val="both"/>
        <w:rPr>
          <w:color w:val="000000"/>
          <w:sz w:val="16"/>
          <w:szCs w:val="16"/>
        </w:rPr>
      </w:pPr>
      <w:r>
        <w:rPr>
          <w:sz w:val="16"/>
          <w:szCs w:val="16"/>
        </w:rPr>
        <w:t>zabezpečit</w:t>
      </w:r>
      <w:r>
        <w:rPr>
          <w:color w:val="000000"/>
          <w:sz w:val="16"/>
          <w:szCs w:val="16"/>
        </w:rPr>
        <w:t xml:space="preserve"> hladký a bezpečný průběh divadelního představení a veškeré služby potřebné pro řádné konání divadelního představení (provoz šatny, uvaděček, možnost nákupu občerstvení pro diváky apod.)</w:t>
      </w:r>
    </w:p>
    <w:p>
      <w:pPr>
        <w:pStyle w:val="ListParagraph"/>
        <w:numPr>
          <w:ilvl w:val="0"/>
          <w:numId w:val="6"/>
        </w:numPr>
        <w:spacing w:before="120" w:after="0"/>
        <w:ind w:left="1276" w:hanging="567"/>
        <w:contextualSpacing/>
        <w:jc w:val="both"/>
        <w:rPr>
          <w:color w:val="000000"/>
          <w:sz w:val="16"/>
          <w:szCs w:val="16"/>
        </w:rPr>
      </w:pPr>
      <w:r>
        <w:rPr>
          <w:color w:val="000000"/>
          <w:sz w:val="16"/>
          <w:szCs w:val="16"/>
        </w:rPr>
        <w:t>dbát na nerušený průběh divadelního představení a v případě, že někteří z návštěvníků divadelního představení budou narušovat divadelní představení, zajistit jejich vyvedení z místa konání divadelního představení</w:t>
      </w:r>
    </w:p>
    <w:p>
      <w:pPr>
        <w:pStyle w:val="ListParagraph"/>
        <w:numPr>
          <w:ilvl w:val="0"/>
          <w:numId w:val="6"/>
        </w:numPr>
        <w:spacing w:before="120" w:after="0"/>
        <w:ind w:left="1276" w:hanging="567"/>
        <w:contextualSpacing/>
        <w:jc w:val="both"/>
        <w:rPr>
          <w:color w:val="000000"/>
          <w:sz w:val="16"/>
          <w:szCs w:val="16"/>
        </w:rPr>
      </w:pPr>
      <w:r>
        <w:rPr>
          <w:color w:val="000000"/>
          <w:sz w:val="16"/>
          <w:szCs w:val="16"/>
        </w:rPr>
        <w:t>zamezit v průběhu divadelního představení a po jeho skončení vstupu nepovolaných osob na jeviště, do zákulisí a šaten</w:t>
      </w:r>
    </w:p>
    <w:p>
      <w:pPr>
        <w:pStyle w:val="ListParagraph"/>
        <w:numPr>
          <w:ilvl w:val="0"/>
          <w:numId w:val="6"/>
        </w:numPr>
        <w:ind w:left="1276" w:hanging="567"/>
        <w:jc w:val="both"/>
        <w:rPr>
          <w:sz w:val="16"/>
          <w:szCs w:val="16"/>
        </w:rPr>
      </w:pPr>
      <w:r>
        <w:rPr>
          <w:sz w:val="16"/>
          <w:szCs w:val="16"/>
        </w:rPr>
        <w:t>zajistit potřebné zázemí ve smyslu technických podmínek dle článku III. této smlouvy</w:t>
      </w:r>
    </w:p>
    <w:p>
      <w:pPr>
        <w:pStyle w:val="ListParagraph"/>
        <w:numPr>
          <w:ilvl w:val="0"/>
          <w:numId w:val="6"/>
        </w:numPr>
        <w:ind w:left="1276" w:hanging="567"/>
        <w:jc w:val="both"/>
        <w:rPr>
          <w:rFonts w:eastAsia="Times New Roman"/>
          <w:sz w:val="16"/>
          <w:szCs w:val="16"/>
        </w:rPr>
      </w:pPr>
      <w:r>
        <w:rPr>
          <w:rFonts w:eastAsia="Times New Roman"/>
          <w:sz w:val="16"/>
          <w:szCs w:val="16"/>
          <w:shd w:fill="FFFFFF" w:val="clear"/>
        </w:rPr>
        <w:t>zajistit pro dodavatele bezplatně 6 kusů autorských vstupenek na každé představení</w:t>
      </w:r>
    </w:p>
    <w:p>
      <w:pPr>
        <w:pStyle w:val="ListParagraph"/>
        <w:numPr>
          <w:ilvl w:val="0"/>
          <w:numId w:val="6"/>
        </w:numPr>
        <w:ind w:left="1276" w:hanging="567"/>
        <w:jc w:val="both"/>
        <w:rPr>
          <w:sz w:val="16"/>
          <w:szCs w:val="16"/>
        </w:rPr>
      </w:pPr>
      <w:r>
        <w:rPr>
          <w:sz w:val="16"/>
          <w:szCs w:val="16"/>
        </w:rPr>
        <w:t>zajistit, že bez předchozího souhlasu dodavatele nebudou z představení pořizovány obrazové, zvukové či zvukově-obrazové záznamy, vyjma zpravodajství</w:t>
      </w:r>
    </w:p>
    <w:p>
      <w:pPr>
        <w:pStyle w:val="ListParagraph"/>
        <w:numPr>
          <w:ilvl w:val="0"/>
          <w:numId w:val="6"/>
        </w:numPr>
        <w:ind w:left="1276" w:hanging="567"/>
        <w:jc w:val="both"/>
        <w:rPr>
          <w:sz w:val="16"/>
          <w:szCs w:val="16"/>
        </w:rPr>
      </w:pPr>
      <w:r>
        <w:rPr>
          <w:sz w:val="16"/>
          <w:szCs w:val="16"/>
        </w:rPr>
        <w:t>potvrdit smlouvu a obratem jí doručit na adresu dodavatele, nejpozději do sedmi dnů po jejím obdržení</w:t>
      </w:r>
    </w:p>
    <w:p>
      <w:pPr>
        <w:pStyle w:val="ListParagraph"/>
        <w:numPr>
          <w:ilvl w:val="0"/>
          <w:numId w:val="6"/>
        </w:numPr>
        <w:ind w:left="1276" w:hanging="567"/>
        <w:jc w:val="both"/>
        <w:rPr>
          <w:sz w:val="16"/>
          <w:szCs w:val="16"/>
        </w:rPr>
      </w:pPr>
      <w:r>
        <w:rPr>
          <w:sz w:val="16"/>
          <w:szCs w:val="16"/>
        </w:rPr>
        <w:t>zajistit technické podmínky specifikované přílohou číslo 1, který je nedílnou součástí této smlouvy</w:t>
      </w:r>
    </w:p>
    <w:p>
      <w:pPr>
        <w:pStyle w:val="ListParagraph"/>
        <w:numPr>
          <w:ilvl w:val="0"/>
          <w:numId w:val="4"/>
        </w:numPr>
        <w:spacing w:before="120" w:after="0"/>
        <w:ind w:left="709" w:hanging="284"/>
        <w:contextualSpacing/>
        <w:jc w:val="both"/>
        <w:rPr>
          <w:rFonts w:eastAsia="MS Mincho"/>
          <w:sz w:val="16"/>
          <w:szCs w:val="16"/>
        </w:rPr>
      </w:pPr>
      <w:r>
        <w:rPr>
          <w:rFonts w:eastAsia="Arial"/>
          <w:sz w:val="16"/>
          <w:szCs w:val="16"/>
        </w:rPr>
        <w:t xml:space="preserve">Pořadatel se zavazuje, že divadelní představení ani jeho část nebudou žádným technologickým způsobem šířeny mimo prostory sjednané touto smlouvou k provozování divadelního představení. Pořadatel se zavazuje, že nebude </w:t>
      </w:r>
      <w:r>
        <w:rPr>
          <w:rFonts w:eastAsia="MS Mincho"/>
          <w:sz w:val="16"/>
          <w:szCs w:val="16"/>
        </w:rPr>
        <w:t xml:space="preserve">pořízen zvukový, obrazový nebo zvukově obrazový záznam divadelního představení, přímý přenos divadelního představení ani jakékoli obrazové snímky herců při jejich účinkování v divadelním představení a v souvislosti s ním. Za porušení tohoto závazku je dodavatel oprávněn požadovat po pořadateli kromě náhrady škody v plné výši </w:t>
      </w:r>
      <w:r>
        <w:rPr>
          <w:rFonts w:eastAsia="MS Mincho"/>
          <w:bCs/>
          <w:sz w:val="16"/>
          <w:szCs w:val="16"/>
        </w:rPr>
        <w:t xml:space="preserve">smluvní pokutu ve výši 50.000,- Kč za každé takové porušení povinností. </w:t>
      </w:r>
    </w:p>
    <w:p>
      <w:pPr>
        <w:pStyle w:val="ListParagraph"/>
        <w:numPr>
          <w:ilvl w:val="0"/>
          <w:numId w:val="4"/>
        </w:numPr>
        <w:spacing w:before="120" w:after="0"/>
        <w:ind w:left="709" w:hanging="284"/>
        <w:contextualSpacing/>
        <w:jc w:val="both"/>
        <w:rPr>
          <w:rFonts w:eastAsia="MS Mincho"/>
          <w:sz w:val="16"/>
          <w:szCs w:val="16"/>
        </w:rPr>
      </w:pPr>
      <w:r>
        <w:rPr>
          <w:sz w:val="16"/>
          <w:szCs w:val="16"/>
        </w:rPr>
        <w:t>Pořadatel odpovídá za případné úrazy a majetkové škody, vzniklé v souvislosti s vystoupením, pokud nebyly průkazně zaviněny účinkujícími, techniky, nebo jejich doprovodem.</w:t>
      </w:r>
    </w:p>
    <w:p>
      <w:pPr>
        <w:pStyle w:val="Normal"/>
        <w:tabs>
          <w:tab w:val="clear" w:pos="708"/>
          <w:tab w:val="left" w:pos="426" w:leader="none"/>
          <w:tab w:val="left" w:pos="851" w:leader="none"/>
          <w:tab w:val="left" w:pos="1134" w:leader="none"/>
        </w:tabs>
        <w:spacing w:lineRule="exact" w:line="240"/>
        <w:jc w:val="center"/>
        <w:rPr>
          <w:rFonts w:eastAsia="Arial"/>
          <w:b/>
          <w:b/>
          <w:sz w:val="16"/>
          <w:szCs w:val="16"/>
        </w:rPr>
      </w:pPr>
      <w:r>
        <w:rPr>
          <w:rFonts w:eastAsia="Arial"/>
          <w:b/>
          <w:sz w:val="16"/>
          <w:szCs w:val="16"/>
        </w:rPr>
      </w:r>
    </w:p>
    <w:p>
      <w:pPr>
        <w:pStyle w:val="Normal"/>
        <w:tabs>
          <w:tab w:val="clear" w:pos="708"/>
          <w:tab w:val="left" w:pos="426" w:leader="none"/>
          <w:tab w:val="left" w:pos="851" w:leader="none"/>
          <w:tab w:val="left" w:pos="1134" w:leader="none"/>
        </w:tabs>
        <w:spacing w:lineRule="exact" w:line="240"/>
        <w:jc w:val="center"/>
        <w:rPr>
          <w:rFonts w:eastAsia="Arial"/>
          <w:b/>
          <w:b/>
          <w:sz w:val="16"/>
          <w:szCs w:val="16"/>
        </w:rPr>
      </w:pPr>
      <w:r>
        <w:rPr>
          <w:rFonts w:eastAsia="Arial"/>
          <w:b/>
          <w:sz w:val="16"/>
          <w:szCs w:val="16"/>
        </w:rPr>
        <w:t>Článek VI.</w:t>
      </w:r>
    </w:p>
    <w:p>
      <w:pPr>
        <w:pStyle w:val="Normal"/>
        <w:jc w:val="center"/>
        <w:rPr>
          <w:rFonts w:eastAsia="Arial"/>
          <w:b/>
          <w:b/>
          <w:sz w:val="16"/>
          <w:szCs w:val="16"/>
        </w:rPr>
      </w:pPr>
      <w:r>
        <w:rPr>
          <w:rFonts w:eastAsia="Arial"/>
          <w:b/>
          <w:sz w:val="16"/>
          <w:szCs w:val="16"/>
        </w:rPr>
        <w:t>Závazky dodavatele</w:t>
      </w:r>
    </w:p>
    <w:p>
      <w:pPr>
        <w:pStyle w:val="ListParagraph"/>
        <w:numPr>
          <w:ilvl w:val="0"/>
          <w:numId w:val="7"/>
        </w:numPr>
        <w:ind w:left="284" w:hanging="284"/>
        <w:jc w:val="both"/>
        <w:rPr>
          <w:sz w:val="16"/>
          <w:szCs w:val="16"/>
        </w:rPr>
      </w:pPr>
      <w:r>
        <w:rPr>
          <w:sz w:val="16"/>
          <w:szCs w:val="16"/>
        </w:rPr>
        <w:t xml:space="preserve">Dodavatel se zavazuje uskutečnit divadelní představení na místě a v čase stanoveném v článku II. této smlouvy. </w:t>
      </w:r>
    </w:p>
    <w:p>
      <w:pPr>
        <w:pStyle w:val="ListParagraph"/>
        <w:numPr>
          <w:ilvl w:val="0"/>
          <w:numId w:val="7"/>
        </w:numPr>
        <w:ind w:left="284" w:hanging="284"/>
        <w:jc w:val="both"/>
        <w:rPr>
          <w:sz w:val="16"/>
          <w:szCs w:val="16"/>
        </w:rPr>
      </w:pPr>
      <w:r>
        <w:rPr>
          <w:sz w:val="16"/>
          <w:szCs w:val="16"/>
        </w:rPr>
        <w:t xml:space="preserve">Dodavatel se zavazuje uhradit veškeré škody, které vzniknou v předmětných prostorech divadla z jeho viny a činnosti nebo tyto škody na vlastní náklady odstranit. </w:t>
      </w:r>
    </w:p>
    <w:p>
      <w:pPr>
        <w:pStyle w:val="ListParagraph"/>
        <w:numPr>
          <w:ilvl w:val="0"/>
          <w:numId w:val="7"/>
        </w:numPr>
        <w:ind w:left="284" w:hanging="284"/>
        <w:jc w:val="both"/>
        <w:rPr>
          <w:sz w:val="16"/>
          <w:szCs w:val="16"/>
        </w:rPr>
      </w:pPr>
      <w:r>
        <w:rPr>
          <w:sz w:val="16"/>
          <w:szCs w:val="16"/>
        </w:rPr>
        <w:t>Dodavatel je povinen zajistit, že herci budou v místě konání divadelního představení včas tak, aby divadelní představení mohlo být zahájeno ve sjednanou dobu.</w:t>
      </w:r>
    </w:p>
    <w:p>
      <w:pPr>
        <w:pStyle w:val="ListParagraph"/>
        <w:numPr>
          <w:ilvl w:val="0"/>
          <w:numId w:val="7"/>
        </w:numPr>
        <w:spacing w:before="120" w:after="0"/>
        <w:ind w:left="284" w:hanging="284"/>
        <w:contextualSpacing/>
        <w:jc w:val="both"/>
        <w:rPr>
          <w:sz w:val="16"/>
          <w:szCs w:val="16"/>
        </w:rPr>
      </w:pPr>
      <w:r>
        <w:rPr>
          <w:sz w:val="16"/>
          <w:szCs w:val="16"/>
        </w:rPr>
        <w:t>Dodavatel poskytuje pořadateli licenci k užití divadelní hry a uměleckého výkonu vytvořeného herci, včetně práv ke scénické dekorace a kostýmní výpravě, jejich sdělováním veřejnosti v rámci divadelního představení. Pořadatel není oprávněn poskytnout nabytou licenci zcela ani zčásti třetím osobám.</w:t>
      </w:r>
    </w:p>
    <w:p>
      <w:pPr>
        <w:pStyle w:val="ListParagraph"/>
        <w:numPr>
          <w:ilvl w:val="0"/>
          <w:numId w:val="7"/>
        </w:numPr>
        <w:ind w:left="284" w:hanging="284"/>
        <w:jc w:val="both"/>
        <w:rPr>
          <w:sz w:val="16"/>
          <w:szCs w:val="16"/>
        </w:rPr>
      </w:pPr>
      <w:r>
        <w:rPr>
          <w:sz w:val="16"/>
          <w:szCs w:val="16"/>
        </w:rPr>
        <w:t xml:space="preserve">Dodavatel se zavazuje předmětné prostory včas a řádně vyklidit. </w:t>
      </w:r>
    </w:p>
    <w:p>
      <w:pPr>
        <w:pStyle w:val="ListParagraph"/>
        <w:numPr>
          <w:ilvl w:val="0"/>
          <w:numId w:val="7"/>
        </w:numPr>
        <w:ind w:left="284" w:hanging="284"/>
        <w:jc w:val="both"/>
        <w:rPr>
          <w:sz w:val="16"/>
          <w:szCs w:val="16"/>
        </w:rPr>
      </w:pPr>
      <w:r>
        <w:rPr>
          <w:sz w:val="16"/>
          <w:szCs w:val="16"/>
        </w:rPr>
        <w:t xml:space="preserve">Dodavatel se zavazuje dodržovat veškeré bezpečnostní a požární předpisy platné v prostorách divadla. Pořadatel se zavazuje s nimi dodavatele včas seznámit. </w:t>
      </w:r>
    </w:p>
    <w:p>
      <w:pPr>
        <w:pStyle w:val="Normal"/>
        <w:rPr>
          <w:sz w:val="16"/>
          <w:szCs w:val="16"/>
        </w:rPr>
      </w:pPr>
      <w:r>
        <w:rPr>
          <w:sz w:val="16"/>
          <w:szCs w:val="16"/>
        </w:rPr>
      </w:r>
    </w:p>
    <w:p>
      <w:pPr>
        <w:pStyle w:val="Normal"/>
        <w:rPr>
          <w:sz w:val="16"/>
          <w:szCs w:val="16"/>
        </w:rPr>
      </w:pPr>
      <w:r>
        <w:rPr>
          <w:sz w:val="16"/>
          <w:szCs w:val="16"/>
        </w:rPr>
      </w:r>
    </w:p>
    <w:p>
      <w:pPr>
        <w:pStyle w:val="Normal"/>
        <w:jc w:val="center"/>
        <w:rPr>
          <w:b/>
          <w:b/>
          <w:bCs/>
          <w:sz w:val="13"/>
          <w:szCs w:val="13"/>
        </w:rPr>
      </w:pPr>
      <w:r>
        <w:rPr>
          <w:b/>
          <w:bCs/>
          <w:sz w:val="13"/>
          <w:szCs w:val="13"/>
        </w:rPr>
      </w:r>
    </w:p>
    <w:p>
      <w:pPr>
        <w:pStyle w:val="Normal"/>
        <w:jc w:val="center"/>
        <w:rPr>
          <w:b/>
          <w:b/>
          <w:bCs/>
          <w:sz w:val="13"/>
          <w:szCs w:val="13"/>
        </w:rPr>
      </w:pPr>
      <w:r>
        <w:rPr>
          <w:b/>
          <w:bCs/>
          <w:sz w:val="13"/>
          <w:szCs w:val="13"/>
        </w:rPr>
      </w:r>
    </w:p>
    <w:p>
      <w:pPr>
        <w:pStyle w:val="Normal"/>
        <w:jc w:val="center"/>
        <w:rPr>
          <w:b/>
          <w:b/>
          <w:bCs/>
          <w:sz w:val="13"/>
          <w:szCs w:val="13"/>
        </w:rPr>
      </w:pPr>
      <w:r>
        <w:rPr>
          <w:b/>
          <w:bCs/>
          <w:sz w:val="13"/>
          <w:szCs w:val="13"/>
        </w:rPr>
      </w:r>
    </w:p>
    <w:p>
      <w:pPr>
        <w:pStyle w:val="Normal"/>
        <w:jc w:val="center"/>
        <w:rPr/>
      </w:pPr>
      <w:r>
        <w:rPr>
          <w:b/>
          <w:sz w:val="16"/>
          <w:szCs w:val="16"/>
        </w:rPr>
        <w:t>Článek VII.</w:t>
      </w:r>
    </w:p>
    <w:p>
      <w:pPr>
        <w:pStyle w:val="Normal"/>
        <w:jc w:val="center"/>
        <w:rPr>
          <w:b/>
          <w:b/>
          <w:sz w:val="16"/>
          <w:szCs w:val="16"/>
        </w:rPr>
      </w:pPr>
      <w:r>
        <w:rPr>
          <w:b/>
          <w:sz w:val="16"/>
          <w:szCs w:val="16"/>
        </w:rPr>
        <w:t>Ukončení smlouvy, neuskutečnění představení</w:t>
      </w:r>
    </w:p>
    <w:p>
      <w:pPr>
        <w:pStyle w:val="Normal"/>
        <w:widowControl/>
        <w:numPr>
          <w:ilvl w:val="0"/>
          <w:numId w:val="8"/>
        </w:numPr>
        <w:jc w:val="both"/>
        <w:rPr>
          <w:rFonts w:eastAsia="Arial"/>
          <w:sz w:val="16"/>
          <w:szCs w:val="16"/>
        </w:rPr>
      </w:pPr>
      <w:r>
        <w:rPr>
          <w:rFonts w:eastAsia="Arial"/>
          <w:sz w:val="16"/>
          <w:szCs w:val="16"/>
        </w:rPr>
        <w:t>Závazkový vztah založený mezi oběma smluvními stranami touto smlouvou zaniká, nastane-li některá z níže uvedených právních skutečností:</w:t>
      </w:r>
    </w:p>
    <w:p>
      <w:pPr>
        <w:pStyle w:val="ListParagraph"/>
        <w:widowControl/>
        <w:numPr>
          <w:ilvl w:val="0"/>
          <w:numId w:val="10"/>
        </w:numPr>
        <w:jc w:val="both"/>
        <w:rPr>
          <w:rFonts w:eastAsia="Arial"/>
          <w:sz w:val="16"/>
          <w:szCs w:val="16"/>
        </w:rPr>
      </w:pPr>
      <w:r>
        <w:rPr>
          <w:rFonts w:eastAsia="Arial"/>
          <w:sz w:val="16"/>
          <w:szCs w:val="16"/>
        </w:rPr>
        <w:t xml:space="preserve">splněním všech povinností vyplývajících ze smlouvy, </w:t>
      </w:r>
    </w:p>
    <w:p>
      <w:pPr>
        <w:pStyle w:val="ListParagraph"/>
        <w:widowControl/>
        <w:numPr>
          <w:ilvl w:val="0"/>
          <w:numId w:val="10"/>
        </w:numPr>
        <w:jc w:val="both"/>
        <w:rPr>
          <w:rFonts w:eastAsia="Arial"/>
          <w:sz w:val="16"/>
          <w:szCs w:val="16"/>
        </w:rPr>
      </w:pPr>
      <w:r>
        <w:rPr>
          <w:rFonts w:eastAsia="Arial"/>
          <w:sz w:val="16"/>
          <w:szCs w:val="16"/>
        </w:rPr>
        <w:t>písemnou dohodou obou smluvních stran,</w:t>
      </w:r>
    </w:p>
    <w:p>
      <w:pPr>
        <w:pStyle w:val="ListParagraph"/>
        <w:widowControl/>
        <w:numPr>
          <w:ilvl w:val="0"/>
          <w:numId w:val="10"/>
        </w:numPr>
        <w:jc w:val="both"/>
        <w:rPr>
          <w:rFonts w:eastAsia="Arial"/>
          <w:sz w:val="16"/>
          <w:szCs w:val="16"/>
        </w:rPr>
      </w:pPr>
      <w:r>
        <w:rPr>
          <w:rFonts w:eastAsia="Arial"/>
          <w:sz w:val="16"/>
          <w:szCs w:val="16"/>
        </w:rPr>
        <w:t>odstoupením od této smlouvy, přičemž kterákoli ze smluvních stran je oprávněna od této smlouvy odstoupit i bez udání důvodu za těchto podmínek:</w:t>
      </w:r>
    </w:p>
    <w:p>
      <w:pPr>
        <w:pStyle w:val="ListParagraph"/>
        <w:widowControl/>
        <w:numPr>
          <w:ilvl w:val="0"/>
          <w:numId w:val="12"/>
        </w:numPr>
        <w:jc w:val="both"/>
        <w:rPr>
          <w:rFonts w:eastAsia="Arial"/>
          <w:sz w:val="16"/>
          <w:szCs w:val="16"/>
        </w:rPr>
      </w:pPr>
      <w:r>
        <w:rPr>
          <w:rFonts w:eastAsia="Arial"/>
          <w:sz w:val="16"/>
          <w:szCs w:val="16"/>
        </w:rPr>
        <w:t>Dojde-li k odstoupení od smlouvy do 30 dnů před sjednaným termínem divadelního představení ze strany pořadatele, je pořadatel povinen uhradit dodavateli 30% ze sjednané ceny za divadelní představení dle čl. IV. odst. 1 této smlouvy.</w:t>
      </w:r>
    </w:p>
    <w:p>
      <w:pPr>
        <w:pStyle w:val="ListParagraph"/>
        <w:widowControl/>
        <w:numPr>
          <w:ilvl w:val="0"/>
          <w:numId w:val="12"/>
        </w:numPr>
        <w:jc w:val="both"/>
        <w:rPr>
          <w:rFonts w:eastAsia="Arial"/>
          <w:sz w:val="16"/>
          <w:szCs w:val="16"/>
        </w:rPr>
      </w:pPr>
      <w:r>
        <w:rPr>
          <w:rFonts w:eastAsia="Arial"/>
          <w:sz w:val="16"/>
          <w:szCs w:val="16"/>
        </w:rPr>
        <w:t>Dojde-li k odstoupení od smlouvy do 14 dnů před sjednaným termínem divadelního představení ze strany pořadatele, je pořadatel povinen uhradit dodavateli 50% ze sjednané ceny za divadelní představení dle čl. IV. odst. 1 této smlouvy</w:t>
      </w:r>
    </w:p>
    <w:p>
      <w:pPr>
        <w:pStyle w:val="ListParagraph"/>
        <w:widowControl/>
        <w:numPr>
          <w:ilvl w:val="0"/>
          <w:numId w:val="12"/>
        </w:numPr>
        <w:jc w:val="both"/>
        <w:rPr>
          <w:rFonts w:eastAsia="Arial"/>
          <w:sz w:val="16"/>
          <w:szCs w:val="16"/>
        </w:rPr>
      </w:pPr>
      <w:r>
        <w:rPr>
          <w:rFonts w:eastAsia="Arial"/>
          <w:sz w:val="16"/>
          <w:szCs w:val="16"/>
        </w:rPr>
        <w:t>Dojde-li k odstoupení od smlouvy do 7 dnů před sjednaným termínem divadelního představení ze strany pořadatele, je pořadatel povinen uhradit dodavateli storno poplatek ve výši 100% sjednané ceny za divadelní představení dle čl. IV. odst. 1 této smlouvy</w:t>
      </w:r>
    </w:p>
    <w:p>
      <w:pPr>
        <w:pStyle w:val="ListParagraph"/>
        <w:widowControl/>
        <w:numPr>
          <w:ilvl w:val="0"/>
          <w:numId w:val="12"/>
        </w:numPr>
        <w:jc w:val="both"/>
        <w:rPr>
          <w:rFonts w:eastAsia="Arial"/>
          <w:sz w:val="16"/>
          <w:szCs w:val="16"/>
        </w:rPr>
      </w:pPr>
      <w:r>
        <w:rPr>
          <w:rFonts w:eastAsia="Arial"/>
          <w:sz w:val="16"/>
          <w:szCs w:val="16"/>
        </w:rPr>
        <w:t>Dojde-li k přeložení termínu konání představení na žádost pořadatele se souhlasem dodavatele, je pořadatel povinen uhradit dodavateli za každé jednotlivé přeložení představení administrativní poplatek ve výši 5000 Kč.</w:t>
      </w:r>
    </w:p>
    <w:p>
      <w:pPr>
        <w:pStyle w:val="ListParagraph"/>
        <w:widowControl/>
        <w:numPr>
          <w:ilvl w:val="0"/>
          <w:numId w:val="12"/>
        </w:numPr>
        <w:jc w:val="both"/>
        <w:rPr>
          <w:rFonts w:eastAsia="Arial"/>
          <w:sz w:val="16"/>
          <w:szCs w:val="16"/>
        </w:rPr>
      </w:pPr>
      <w:r>
        <w:rPr>
          <w:rFonts w:eastAsia="Arial"/>
          <w:sz w:val="16"/>
          <w:szCs w:val="16"/>
        </w:rPr>
        <w:t>Odstoupením smlouva zaniká ke dni doručení projevu vůle směřujícího k odstoupení od smlouvy.</w:t>
      </w:r>
    </w:p>
    <w:p>
      <w:pPr>
        <w:pStyle w:val="ListParagraph"/>
        <w:numPr>
          <w:ilvl w:val="0"/>
          <w:numId w:val="8"/>
        </w:numPr>
        <w:jc w:val="both"/>
        <w:rPr>
          <w:sz w:val="16"/>
          <w:szCs w:val="16"/>
        </w:rPr>
      </w:pPr>
      <w:r>
        <w:rPr>
          <w:sz w:val="16"/>
          <w:szCs w:val="16"/>
        </w:rPr>
        <w:t xml:space="preserve">Pokud se divadelní představení neuskuteční v důsledku mimořádné nepředvídatelné nebo nepřekonatelné překážky vzniklé nezávisle na vůli kterékoliv ze smluvních stran (např. přírodní katastrofa, epidemie, nepříznivá dopravní situace apod.), nebo z důvodu nepředvídatelné události na straně dodavatele, resp. umělců (např. vážné onemocnění či úraz), nemá žádná ze smluvních stran nárok na náhradu škody. Důvod pro neuskutečnění představení dle ujednání tohoto článku a odstavce této smlouvy jsou si strany povinny sdělit ihned po zjištění vzniku uvedeného důvodu. Smluvní strany se dohodly, že v tomto případě vstoupí do jednání za účelem dohodnutí náhradního termínu. </w:t>
      </w:r>
    </w:p>
    <w:p>
      <w:pPr>
        <w:pStyle w:val="ListParagraph"/>
        <w:numPr>
          <w:ilvl w:val="0"/>
          <w:numId w:val="8"/>
        </w:numPr>
        <w:jc w:val="both"/>
        <w:rPr>
          <w:sz w:val="16"/>
          <w:szCs w:val="16"/>
        </w:rPr>
      </w:pPr>
      <w:r>
        <w:rPr>
          <w:sz w:val="16"/>
          <w:szCs w:val="16"/>
        </w:rPr>
        <w:t>Dodavatel je oprávněn odepřít plnění dle této smlouvy, nebudou-li ze strany pořadatele splněny podmínky stanovené čl. IV., odst. 3, čl. V., odst. 2 této smlouvy či technické podmínky stanovené přílohou této smlouvy. Odepřením plnění dodavatelem dle tohoto odstavce této smlouvy nezaniká nárok dodavatele na sjednanou cenu za odehrané divadelní představení a úhradu nákladů dopravy a ubytování.</w:t>
      </w:r>
    </w:p>
    <w:p>
      <w:pPr>
        <w:pStyle w:val="ListParagraph"/>
        <w:numPr>
          <w:ilvl w:val="0"/>
          <w:numId w:val="8"/>
        </w:numPr>
        <w:jc w:val="both"/>
        <w:rPr>
          <w:sz w:val="16"/>
          <w:szCs w:val="16"/>
        </w:rPr>
      </w:pPr>
      <w:r>
        <w:rPr>
          <w:sz w:val="16"/>
          <w:szCs w:val="16"/>
        </w:rPr>
        <w:t xml:space="preserve">Pokud se divadelní představení neuskuteční z důvodu spočívajícím výlučně na jedné ze smluvních stran, aniž by došlo k odstoupení od této smlouvy dle odst. 1 písm. c) nebo odst. 3 tohoto článku, platí, že druhá smluvní strana je oprávněna požadovat po smluvní straně, která evidentně porušila podmínky této smlouvy a zavinila zrušení nebo přerušení divadelního představení, smluvní pokutu ve výši </w:t>
      </w:r>
      <w:r>
        <w:rPr>
          <w:rFonts w:eastAsia="Arial"/>
          <w:sz w:val="16"/>
          <w:szCs w:val="16"/>
        </w:rPr>
        <w:t>10.000,- Kč. Smluvní pokuta je splatná do 10 (deseti) dnů od doručení výzvy k její úhradě. Zaplacením smluvní pokuty nezanikají ostatní nároky smluvních sjednané touto smlouvou.</w:t>
      </w:r>
    </w:p>
    <w:p>
      <w:pPr>
        <w:pStyle w:val="Normal"/>
        <w:jc w:val="center"/>
        <w:rPr>
          <w:b/>
          <w:b/>
          <w:sz w:val="16"/>
          <w:szCs w:val="16"/>
        </w:rPr>
      </w:pPr>
      <w:r>
        <w:rPr>
          <w:b/>
          <w:sz w:val="16"/>
          <w:szCs w:val="16"/>
        </w:rPr>
      </w:r>
    </w:p>
    <w:p>
      <w:pPr>
        <w:pStyle w:val="Normal"/>
        <w:jc w:val="center"/>
        <w:rPr>
          <w:b/>
          <w:b/>
          <w:sz w:val="16"/>
          <w:szCs w:val="16"/>
        </w:rPr>
      </w:pPr>
      <w:r>
        <w:rPr>
          <w:b/>
          <w:sz w:val="16"/>
          <w:szCs w:val="16"/>
        </w:rPr>
        <w:t>Článek VIII.</w:t>
      </w:r>
    </w:p>
    <w:p>
      <w:pPr>
        <w:pStyle w:val="Normal"/>
        <w:jc w:val="center"/>
        <w:rPr>
          <w:b/>
          <w:b/>
          <w:sz w:val="16"/>
          <w:szCs w:val="16"/>
        </w:rPr>
      </w:pPr>
      <w:r>
        <w:rPr>
          <w:b/>
          <w:sz w:val="16"/>
          <w:szCs w:val="16"/>
        </w:rPr>
        <w:t>Prohlášení smluvních stran</w:t>
      </w:r>
    </w:p>
    <w:p>
      <w:pPr>
        <w:pStyle w:val="ListParagraph"/>
        <w:numPr>
          <w:ilvl w:val="0"/>
          <w:numId w:val="11"/>
        </w:numPr>
        <w:tabs>
          <w:tab w:val="clear" w:pos="708"/>
          <w:tab w:val="left" w:pos="426" w:leader="none"/>
        </w:tabs>
        <w:ind w:left="426" w:hanging="426"/>
        <w:jc w:val="both"/>
        <w:rPr>
          <w:rFonts w:eastAsia="Arial"/>
          <w:sz w:val="16"/>
          <w:szCs w:val="16"/>
        </w:rPr>
      </w:pPr>
      <w:r>
        <w:rPr>
          <w:rFonts w:eastAsia="Arial"/>
          <w:sz w:val="16"/>
          <w:szCs w:val="16"/>
        </w:rPr>
        <w:t>Dodavatel prohlašuje, že je oprávněn uzavřít a podepsat tuto smlouvu a že je nositelem veškerých práv spojených s veřejným provozováním divadelního představení.</w:t>
      </w:r>
    </w:p>
    <w:p>
      <w:pPr>
        <w:pStyle w:val="Normal"/>
        <w:jc w:val="both"/>
        <w:rPr>
          <w:rFonts w:eastAsia="Arial"/>
          <w:sz w:val="16"/>
          <w:szCs w:val="16"/>
        </w:rPr>
      </w:pPr>
      <w:r>
        <w:rPr>
          <w:rFonts w:eastAsia="Arial"/>
          <w:sz w:val="16"/>
          <w:szCs w:val="16"/>
        </w:rPr>
      </w:r>
    </w:p>
    <w:p>
      <w:pPr>
        <w:pStyle w:val="Normal"/>
        <w:jc w:val="center"/>
        <w:rPr>
          <w:b/>
          <w:b/>
          <w:sz w:val="16"/>
          <w:szCs w:val="16"/>
        </w:rPr>
      </w:pPr>
      <w:r>
        <w:rPr>
          <w:b/>
          <w:sz w:val="16"/>
          <w:szCs w:val="16"/>
        </w:rPr>
        <w:t>Článek IX.</w:t>
      </w:r>
    </w:p>
    <w:p>
      <w:pPr>
        <w:pStyle w:val="Normal"/>
        <w:jc w:val="center"/>
        <w:rPr>
          <w:sz w:val="16"/>
          <w:szCs w:val="16"/>
        </w:rPr>
      </w:pPr>
      <w:r>
        <w:rPr>
          <w:b/>
          <w:sz w:val="16"/>
          <w:szCs w:val="16"/>
        </w:rPr>
        <w:t>Závěrečná ustanovení</w:t>
      </w:r>
    </w:p>
    <w:p>
      <w:pPr>
        <w:pStyle w:val="Normal"/>
        <w:numPr>
          <w:ilvl w:val="0"/>
          <w:numId w:val="9"/>
        </w:numPr>
        <w:tabs>
          <w:tab w:val="clear" w:pos="708"/>
          <w:tab w:val="left" w:pos="2292" w:leader="none"/>
          <w:tab w:val="left" w:pos="2717" w:leader="none"/>
          <w:tab w:val="left" w:pos="3000" w:leader="none"/>
        </w:tabs>
        <w:suppressAutoHyphens w:val="true"/>
        <w:jc w:val="both"/>
        <w:rPr>
          <w:rFonts w:eastAsia="Arial"/>
          <w:sz w:val="16"/>
          <w:szCs w:val="16"/>
        </w:rPr>
      </w:pPr>
      <w:r>
        <w:rPr>
          <w:rFonts w:eastAsia="Arial"/>
          <w:sz w:val="16"/>
          <w:szCs w:val="16"/>
        </w:rPr>
        <w:t>Nestanoví-li tato smlouva jinak, řídí se práva a povinnosti smluvních stran příslušnými ustanoveními občanského zákoníku a zákonem č. 121/2000 Sb., autorským zákonem.</w:t>
      </w:r>
    </w:p>
    <w:p>
      <w:pPr>
        <w:pStyle w:val="Normal"/>
        <w:numPr>
          <w:ilvl w:val="0"/>
          <w:numId w:val="9"/>
        </w:numPr>
        <w:tabs>
          <w:tab w:val="clear" w:pos="708"/>
          <w:tab w:val="left" w:pos="2292" w:leader="none"/>
          <w:tab w:val="left" w:pos="2717" w:leader="none"/>
          <w:tab w:val="left" w:pos="3000" w:leader="none"/>
        </w:tabs>
        <w:suppressAutoHyphens w:val="true"/>
        <w:jc w:val="both"/>
        <w:rPr>
          <w:rFonts w:eastAsia="Arial"/>
          <w:sz w:val="16"/>
          <w:szCs w:val="16"/>
        </w:rPr>
      </w:pPr>
      <w:r>
        <w:rPr>
          <w:rFonts w:eastAsia="Arial"/>
          <w:sz w:val="16"/>
          <w:szCs w:val="16"/>
        </w:rPr>
        <w:t>Smluvní strany se zavazují, že případné rozpory vyplývající z této smlouvy budou řešit zejména cestou vzájemné dohody s cílem dosáhnout smírného řešení a naplnění účelu této smlouvy.</w:t>
      </w:r>
    </w:p>
    <w:p>
      <w:pPr>
        <w:pStyle w:val="Body1CtrlShiftB1"/>
        <w:numPr>
          <w:ilvl w:val="0"/>
          <w:numId w:val="9"/>
        </w:numPr>
        <w:spacing w:lineRule="auto" w:line="240" w:before="0" w:after="0"/>
        <w:rPr>
          <w:rFonts w:ascii="Times New Roman" w:hAnsi="Times New Roman"/>
          <w:sz w:val="16"/>
          <w:szCs w:val="16"/>
          <w:lang w:val="cs-CZ"/>
        </w:rPr>
      </w:pPr>
      <w:r>
        <w:rPr>
          <w:rFonts w:ascii="Times New Roman" w:hAnsi="Times New Roman"/>
          <w:sz w:val="16"/>
          <w:szCs w:val="16"/>
          <w:lang w:val="cs-CZ"/>
        </w:rPr>
        <w:t>Smluvní strany se zavazují zachovávat mlčenlivost o všech skutečnostech obsažených v této smlouvě, o samotném uzavření této smlouvy a o skutečnostech, o nichž se dozví v souvislosti s uzavřením této smlouvy.</w:t>
      </w:r>
    </w:p>
    <w:p>
      <w:pPr>
        <w:pStyle w:val="ListParagraph"/>
        <w:numPr>
          <w:ilvl w:val="0"/>
          <w:numId w:val="9"/>
        </w:numPr>
        <w:tabs>
          <w:tab w:val="clear" w:pos="708"/>
          <w:tab w:val="left" w:pos="2292" w:leader="none"/>
          <w:tab w:val="left" w:pos="2717" w:leader="none"/>
          <w:tab w:val="left" w:pos="3000" w:leader="none"/>
        </w:tabs>
        <w:suppressAutoHyphens w:val="true"/>
        <w:jc w:val="both"/>
        <w:rPr>
          <w:rFonts w:eastAsia="Arial"/>
          <w:sz w:val="16"/>
          <w:szCs w:val="16"/>
        </w:rPr>
      </w:pPr>
      <w:r>
        <w:rPr>
          <w:rFonts w:eastAsia="Arial"/>
          <w:sz w:val="16"/>
          <w:szCs w:val="16"/>
        </w:rPr>
        <w:t xml:space="preserve">V případě, že budou některá ustanovení této smlouvy zrušená, neplatná či nevynutitelná, nezpůsobí neplatnost či nevymahatelnost celé smlouvy. Smluvní strany se zavazují nahradit zrušené, neplatné nebo nevynutitelné ustanovení novým ustanovením, jehož znění bude odpovídat úmyslu vyjádřenému původním ustanovením a touto smlouvou jako celku. </w:t>
      </w:r>
    </w:p>
    <w:p>
      <w:pPr>
        <w:pStyle w:val="Normal"/>
        <w:numPr>
          <w:ilvl w:val="0"/>
          <w:numId w:val="9"/>
        </w:numPr>
        <w:tabs>
          <w:tab w:val="clear" w:pos="708"/>
          <w:tab w:val="left" w:pos="2292" w:leader="none"/>
          <w:tab w:val="left" w:pos="2717" w:leader="none"/>
          <w:tab w:val="left" w:pos="3000" w:leader="none"/>
        </w:tabs>
        <w:suppressAutoHyphens w:val="true"/>
        <w:jc w:val="both"/>
        <w:rPr>
          <w:rFonts w:eastAsia="Arial"/>
          <w:sz w:val="16"/>
          <w:szCs w:val="16"/>
        </w:rPr>
      </w:pPr>
      <w:r>
        <w:rPr>
          <w:rFonts w:eastAsia="Arial"/>
          <w:sz w:val="16"/>
          <w:szCs w:val="16"/>
        </w:rPr>
        <w:t xml:space="preserve">Tuto smlouvu lze měnit a doplňovat pouze písemnými, vzestupně číslovanými dodatky podepsanými oběma smluvními stranami. </w:t>
      </w:r>
    </w:p>
    <w:p>
      <w:pPr>
        <w:pStyle w:val="Normal"/>
        <w:numPr>
          <w:ilvl w:val="0"/>
          <w:numId w:val="9"/>
        </w:numPr>
        <w:tabs>
          <w:tab w:val="clear" w:pos="708"/>
          <w:tab w:val="left" w:pos="2292" w:leader="none"/>
          <w:tab w:val="left" w:pos="2717" w:leader="none"/>
          <w:tab w:val="left" w:pos="3000" w:leader="none"/>
        </w:tabs>
        <w:suppressAutoHyphens w:val="true"/>
        <w:jc w:val="both"/>
        <w:rPr>
          <w:rFonts w:eastAsia="Arial"/>
          <w:sz w:val="16"/>
          <w:szCs w:val="16"/>
        </w:rPr>
      </w:pPr>
      <w:r>
        <w:rPr>
          <w:rFonts w:eastAsia="Arial"/>
          <w:sz w:val="16"/>
          <w:szCs w:val="16"/>
        </w:rPr>
        <w:t>Nastanou-li u některé ze smluvních stran skutečnosti bránící řádnému plnění této smlouvy, je povinna to ihned bez zbytečného odkladu oznámit druhé smluvní straně a vyvolat jednání zástupců smluvních stran.</w:t>
      </w:r>
    </w:p>
    <w:p>
      <w:pPr>
        <w:pStyle w:val="Default"/>
        <w:numPr>
          <w:ilvl w:val="0"/>
          <w:numId w:val="9"/>
        </w:numPr>
        <w:jc w:val="both"/>
        <w:rPr>
          <w:rFonts w:ascii="Times New Roman" w:hAnsi="Times New Roman" w:cs="Times New Roman"/>
          <w:sz w:val="16"/>
          <w:szCs w:val="16"/>
        </w:rPr>
      </w:pPr>
      <w:r>
        <w:rPr>
          <w:rFonts w:cs="Times New Roman" w:ascii="Times New Roman" w:hAnsi="Times New Roman"/>
          <w:sz w:val="16"/>
          <w:szCs w:val="16"/>
        </w:rPr>
        <w:t xml:space="preserve">Obě strany souhlasí a berou na vědomí, že údaje v této smlouvě budou zveřejněny objednavatelem dle zákona č. 340/2015 Sb. v platném znění, o zvláštních podmínkách účinnosti některých smluv, uveřejňování těchto smluv a o registru smluv (zákonu o registru smluv). Uvedené ustanovení se týká pouze smluv s plněním vyšším než 50.000 Kč bez DPH a objednavatelů s povinností zveřejňovat smlouvy do registru smluv. </w:t>
      </w:r>
    </w:p>
    <w:p>
      <w:pPr>
        <w:pStyle w:val="Normal"/>
        <w:widowControl/>
        <w:numPr>
          <w:ilvl w:val="0"/>
          <w:numId w:val="9"/>
        </w:numPr>
        <w:jc w:val="both"/>
        <w:rPr>
          <w:rFonts w:eastAsia="Arial"/>
          <w:sz w:val="16"/>
          <w:szCs w:val="16"/>
        </w:rPr>
      </w:pPr>
      <w:r>
        <w:rPr>
          <w:rFonts w:eastAsia="Arial"/>
          <w:sz w:val="16"/>
          <w:szCs w:val="16"/>
        </w:rPr>
        <w:t>Tato smlouva je vyhotovena ve 2 originálech, přičemž každá smluvní strana obdrží 1 originální vyhotovení.</w:t>
      </w:r>
    </w:p>
    <w:p>
      <w:pPr>
        <w:pStyle w:val="Normal"/>
        <w:widowControl/>
        <w:numPr>
          <w:ilvl w:val="0"/>
          <w:numId w:val="9"/>
        </w:numPr>
        <w:jc w:val="both"/>
        <w:rPr>
          <w:rFonts w:eastAsia="Arial"/>
          <w:sz w:val="16"/>
          <w:szCs w:val="16"/>
        </w:rPr>
      </w:pPr>
      <w:r>
        <w:rPr>
          <w:rFonts w:eastAsia="Arial"/>
          <w:sz w:val="16"/>
          <w:szCs w:val="16"/>
        </w:rPr>
        <w:t>Tato smlouva nabývá platnosti a účinnosti dnem podepsání oběma smluvními stranami.</w:t>
      </w:r>
    </w:p>
    <w:p>
      <w:pPr>
        <w:pStyle w:val="Normal"/>
        <w:widowControl/>
        <w:numPr>
          <w:ilvl w:val="0"/>
          <w:numId w:val="9"/>
        </w:numPr>
        <w:jc w:val="both"/>
        <w:rPr>
          <w:rFonts w:eastAsia="Arial"/>
          <w:sz w:val="16"/>
          <w:szCs w:val="16"/>
        </w:rPr>
      </w:pPr>
      <w:r>
        <w:rPr>
          <w:rFonts w:eastAsia="Arial"/>
          <w:sz w:val="16"/>
          <w:szCs w:val="16"/>
        </w:rPr>
        <w:t>Nízký počet prodaných vstupenek na představení není důvodem ke zrušení představení.</w:t>
      </w:r>
    </w:p>
    <w:p>
      <w:pPr>
        <w:pStyle w:val="Normal"/>
        <w:widowControl/>
        <w:numPr>
          <w:ilvl w:val="0"/>
          <w:numId w:val="9"/>
        </w:numPr>
        <w:jc w:val="both"/>
        <w:rPr>
          <w:rFonts w:eastAsia="Arial"/>
          <w:sz w:val="16"/>
          <w:szCs w:val="16"/>
        </w:rPr>
      </w:pPr>
      <w:r>
        <w:rPr>
          <w:rFonts w:eastAsia="Arial"/>
          <w:sz w:val="16"/>
          <w:szCs w:val="16"/>
        </w:rPr>
        <w:t>Účastníci prohlašují, že tato smlouva je výrazem jejich svobodné, pravé a vážně míněné vůle, kterou si před podpisem přečetli a jejímu obsahu rozumí, což stvrzují svými vlastnoručními podpisy.</w:t>
      </w:r>
    </w:p>
    <w:p>
      <w:pPr>
        <w:pStyle w:val="Normal"/>
        <w:widowControl/>
        <w:ind w:left="340" w:hanging="0"/>
        <w:jc w:val="both"/>
        <w:rPr>
          <w:rFonts w:eastAsia="Arial"/>
          <w:sz w:val="16"/>
          <w:szCs w:val="16"/>
        </w:rPr>
      </w:pPr>
      <w:r>
        <w:rPr>
          <w:rFonts w:eastAsia="Arial"/>
          <w:sz w:val="16"/>
          <w:szCs w:val="16"/>
        </w:rPr>
      </w:r>
    </w:p>
    <w:p>
      <w:pPr>
        <w:pStyle w:val="Normal"/>
        <w:jc w:val="both"/>
        <w:rPr>
          <w:sz w:val="16"/>
          <w:szCs w:val="16"/>
        </w:rPr>
      </w:pPr>
      <w:r>
        <w:rPr>
          <w:sz w:val="16"/>
          <w:szCs w:val="16"/>
        </w:rPr>
      </w:r>
    </w:p>
    <w:p>
      <w:pPr>
        <w:pStyle w:val="Normal"/>
        <w:jc w:val="both"/>
        <w:rPr/>
      </w:pPr>
      <w:r>
        <w:rPr>
          <w:sz w:val="16"/>
          <w:szCs w:val="16"/>
        </w:rPr>
        <w:t xml:space="preserve">V Plzni dne: </w:t>
      </w:r>
      <w:r>
        <w:rPr>
          <w:sz w:val="16"/>
          <w:szCs w:val="16"/>
        </w:rPr>
        <w:t>30. 8. 2023</w:t>
      </w:r>
      <w:r>
        <w:rPr>
          <w:sz w:val="16"/>
          <w:szCs w:val="16"/>
        </w:rPr>
        <w:t xml:space="preserve">      </w:t>
        <w:tab/>
        <w:tab/>
        <w:tab/>
        <w:tab/>
        <w:t xml:space="preserve">                                                  V Jaroměři dne: 25. 8. 2023</w:t>
      </w:r>
    </w:p>
    <w:p>
      <w:pPr>
        <w:pStyle w:val="Normal"/>
        <w:jc w:val="both"/>
        <w:rPr>
          <w:sz w:val="16"/>
          <w:szCs w:val="16"/>
        </w:rPr>
      </w:pPr>
      <w:r>
        <w:rPr>
          <w:sz w:val="16"/>
          <w:szCs w:val="16"/>
        </w:rPr>
      </w:r>
    </w:p>
    <w:p>
      <w:pPr>
        <w:pStyle w:val="Normal"/>
        <w:jc w:val="both"/>
        <w:rPr>
          <w:sz w:val="16"/>
          <w:szCs w:val="16"/>
        </w:rPr>
      </w:pPr>
      <w:r>
        <w:rPr>
          <w:sz w:val="16"/>
          <w:szCs w:val="16"/>
        </w:rPr>
      </w:r>
    </w:p>
    <w:p>
      <w:pPr>
        <w:pStyle w:val="Normal"/>
        <w:jc w:val="both"/>
        <w:rPr>
          <w:sz w:val="16"/>
          <w:szCs w:val="16"/>
        </w:rPr>
      </w:pPr>
      <w:r>
        <w:rPr>
          <w:sz w:val="16"/>
          <w:szCs w:val="16"/>
        </w:rPr>
      </w:r>
    </w:p>
    <w:p>
      <w:pPr>
        <w:pStyle w:val="Normal"/>
        <w:jc w:val="both"/>
        <w:rPr>
          <w:sz w:val="16"/>
          <w:szCs w:val="16"/>
        </w:rPr>
      </w:pPr>
      <w:r>
        <w:rPr>
          <w:sz w:val="16"/>
          <w:szCs w:val="16"/>
        </w:rPr>
      </w:r>
    </w:p>
    <w:p>
      <w:pPr>
        <w:pStyle w:val="Normal"/>
        <w:jc w:val="both"/>
        <w:rPr>
          <w:sz w:val="16"/>
          <w:szCs w:val="16"/>
        </w:rPr>
      </w:pPr>
      <w:r>
        <w:rPr>
          <w:sz w:val="16"/>
          <w:szCs w:val="16"/>
        </w:rPr>
      </w:r>
    </w:p>
    <w:p>
      <w:pPr>
        <w:pStyle w:val="Normal"/>
        <w:jc w:val="both"/>
        <w:rPr>
          <w:sz w:val="16"/>
          <w:szCs w:val="16"/>
        </w:rPr>
      </w:pPr>
      <w:r>
        <w:rPr>
          <w:sz w:val="16"/>
          <w:szCs w:val="16"/>
        </w:rPr>
      </w:r>
    </w:p>
    <w:p>
      <w:pPr>
        <w:pStyle w:val="Normal"/>
        <w:jc w:val="both"/>
        <w:rPr>
          <w:sz w:val="16"/>
          <w:szCs w:val="16"/>
        </w:rPr>
      </w:pPr>
      <w:r>
        <w:rPr>
          <w:sz w:val="16"/>
          <w:szCs w:val="16"/>
        </w:rPr>
      </w:r>
    </w:p>
    <w:p>
      <w:pPr>
        <w:pStyle w:val="Normal"/>
        <w:jc w:val="both"/>
        <w:rPr>
          <w:sz w:val="16"/>
          <w:szCs w:val="16"/>
        </w:rPr>
      </w:pPr>
      <w:r>
        <w:rPr>
          <w:sz w:val="16"/>
          <w:szCs w:val="16"/>
        </w:rPr>
      </w:r>
    </w:p>
    <w:p>
      <w:pPr>
        <w:pStyle w:val="Normal"/>
        <w:jc w:val="both"/>
        <w:rPr>
          <w:sz w:val="16"/>
          <w:szCs w:val="16"/>
        </w:rPr>
      </w:pPr>
      <w:r>
        <w:rPr>
          <w:sz w:val="16"/>
          <w:szCs w:val="16"/>
        </w:rPr>
      </w:r>
    </w:p>
    <w:p>
      <w:pPr>
        <w:pStyle w:val="Normal"/>
        <w:tabs>
          <w:tab w:val="clear" w:pos="708"/>
          <w:tab w:val="left" w:pos="426" w:leader="none"/>
          <w:tab w:val="left" w:pos="851" w:leader="none"/>
          <w:tab w:val="left" w:pos="1134" w:leader="none"/>
        </w:tabs>
        <w:spacing w:lineRule="exact" w:line="240"/>
        <w:jc w:val="both"/>
        <w:rPr>
          <w:rFonts w:eastAsia="Times New Roman"/>
          <w:sz w:val="16"/>
          <w:szCs w:val="16"/>
        </w:rPr>
      </w:pPr>
      <w:r>
        <w:rPr>
          <w:rFonts w:eastAsia="Times New Roman"/>
          <w:sz w:val="16"/>
          <w:szCs w:val="16"/>
        </w:rPr>
        <w:t>……………………………………………</w:t>
      </w:r>
      <w:r>
        <w:rPr>
          <w:rFonts w:eastAsia="Times New Roman"/>
          <w:sz w:val="16"/>
          <w:szCs w:val="16"/>
        </w:rPr>
        <w:t>.….</w:t>
      </w:r>
      <w:r>
        <w:rPr>
          <w:b/>
          <w:smallCaps/>
          <w:sz w:val="16"/>
          <w:szCs w:val="16"/>
        </w:rPr>
        <w:tab/>
        <w:tab/>
        <w:tab/>
      </w:r>
      <w:r>
        <w:rPr>
          <w:bCs/>
          <w:smallCaps/>
          <w:sz w:val="16"/>
          <w:szCs w:val="16"/>
        </w:rPr>
        <w:t xml:space="preserve">                      …….……..</w:t>
      </w:r>
      <w:r>
        <w:rPr>
          <w:rFonts w:eastAsia="Times New Roman"/>
          <w:bCs/>
          <w:sz w:val="16"/>
          <w:szCs w:val="16"/>
        </w:rPr>
        <w:t>…………………………………...</w:t>
      </w:r>
    </w:p>
    <w:p>
      <w:pPr>
        <w:pStyle w:val="Normal"/>
        <w:rPr>
          <w:rFonts w:eastAsia="Times New Roman"/>
          <w:b/>
          <w:b/>
          <w:color w:val="000000"/>
          <w:sz w:val="16"/>
          <w:szCs w:val="16"/>
          <w:lang w:eastAsia="en-US"/>
        </w:rPr>
      </w:pPr>
      <w:r>
        <w:rPr>
          <w:rFonts w:eastAsia="Times New Roman"/>
          <w:b/>
          <w:color w:val="000000"/>
          <w:sz w:val="16"/>
          <w:szCs w:val="16"/>
          <w:lang w:eastAsia="en-US"/>
        </w:rPr>
        <w:t xml:space="preserve">    </w:t>
      </w:r>
      <w:r>
        <w:rPr>
          <w:rFonts w:eastAsia="Times New Roman"/>
          <w:b/>
          <w:color w:val="000000"/>
          <w:sz w:val="16"/>
          <w:szCs w:val="16"/>
          <w:lang w:eastAsia="en-US"/>
        </w:rPr>
        <w:t xml:space="preserve">Tereza Palková, </w:t>
      </w:r>
      <w:r>
        <w:rPr>
          <w:rFonts w:eastAsia="Times New Roman"/>
          <w:color w:val="000000"/>
          <w:sz w:val="16"/>
          <w:szCs w:val="16"/>
          <w:lang w:eastAsia="en-US"/>
        </w:rPr>
        <w:t>jednatelka</w:t>
      </w:r>
      <w:r>
        <w:rPr>
          <w:rFonts w:eastAsia="Times New Roman"/>
          <w:bCs/>
          <w:color w:val="000000"/>
          <w:sz w:val="16"/>
          <w:szCs w:val="16"/>
          <w:lang w:eastAsia="en-US"/>
        </w:rPr>
        <w:t xml:space="preserve"> společnosti</w:t>
      </w:r>
      <w:r>
        <w:rPr>
          <w:rFonts w:eastAsia="Times New Roman"/>
          <w:b/>
          <w:color w:val="000000"/>
          <w:sz w:val="16"/>
          <w:szCs w:val="16"/>
          <w:lang w:eastAsia="en-US"/>
        </w:rPr>
        <w:t xml:space="preserve">                                                                                         Monika Brychová, </w:t>
      </w:r>
      <w:r>
        <w:rPr>
          <w:rFonts w:eastAsia="Times New Roman"/>
          <w:bCs/>
          <w:color w:val="000000"/>
          <w:sz w:val="16"/>
          <w:szCs w:val="16"/>
          <w:lang w:eastAsia="en-US"/>
        </w:rPr>
        <w:t>ředitelka</w:t>
      </w:r>
      <w:r>
        <w:rPr>
          <w:rFonts w:eastAsia="Times New Roman"/>
          <w:b/>
          <w:color w:val="000000"/>
          <w:sz w:val="16"/>
          <w:szCs w:val="16"/>
          <w:lang w:eastAsia="en-US"/>
        </w:rPr>
        <w:t xml:space="preserve">     </w:t>
      </w:r>
    </w:p>
    <w:p>
      <w:pPr>
        <w:pStyle w:val="Normal"/>
        <w:rPr>
          <w:rFonts w:eastAsia="Times New Roman"/>
          <w:color w:val="000000"/>
          <w:sz w:val="16"/>
          <w:szCs w:val="16"/>
          <w:lang w:eastAsia="en-US"/>
        </w:rPr>
      </w:pPr>
      <w:r>
        <w:rPr>
          <w:rFonts w:eastAsia="Times New Roman"/>
          <w:color w:val="000000"/>
          <w:sz w:val="16"/>
          <w:szCs w:val="16"/>
          <w:lang w:eastAsia="en-US"/>
        </w:rPr>
        <w:t xml:space="preserve">                                                                                        </w:t>
      </w:r>
    </w:p>
    <w:p>
      <w:pPr>
        <w:pStyle w:val="Normal"/>
        <w:rPr>
          <w:rFonts w:eastAsia="Times New Roman"/>
          <w:color w:val="000000"/>
          <w:sz w:val="16"/>
          <w:szCs w:val="16"/>
          <w:lang w:eastAsia="en-US"/>
        </w:rPr>
      </w:pPr>
      <w:r>
        <w:rPr>
          <w:rFonts w:eastAsia="Times New Roman"/>
          <w:color w:val="000000"/>
          <w:sz w:val="16"/>
          <w:szCs w:val="16"/>
          <w:lang w:eastAsia="en-US"/>
        </w:rPr>
      </w:r>
    </w:p>
    <w:p>
      <w:pPr>
        <w:pStyle w:val="Normal"/>
        <w:rPr/>
      </w:pPr>
      <w:r>
        <w:rPr>
          <w:rFonts w:eastAsia="Calibri" w:cs="AppleSystemUIFont" w:ascii="Times" w:hAnsi="Times" w:eastAsiaTheme="minorHAnsi"/>
          <w:b/>
          <w:bCs/>
          <w:lang w:eastAsia="en-US"/>
        </w:rPr>
        <w:t>Miluji tě, tak se měj</w:t>
      </w:r>
    </w:p>
    <w:p>
      <w:pPr>
        <w:pStyle w:val="Normal"/>
        <w:rPr>
          <w:sz w:val="13"/>
          <w:szCs w:val="13"/>
        </w:rPr>
      </w:pPr>
      <w:r>
        <w:rPr>
          <w:rFonts w:eastAsia="Calibri" w:cs="AppleSystemUIFont" w:ascii="Times" w:hAnsi="Times" w:eastAsiaTheme="minorHAnsi"/>
          <w:lang w:eastAsia="en-US"/>
        </w:rPr>
        <w:t>Technické požadavky - pořadatel zajistí</w:t>
      </w:r>
    </w:p>
    <w:p>
      <w:pPr>
        <w:pStyle w:val="Normal"/>
        <w:widowControl/>
        <w:rPr>
          <w:rFonts w:ascii="Times" w:hAnsi="Times" w:eastAsia="Calibri" w:cs="AppleSystemUIFont" w:eastAsiaTheme="minorHAnsi"/>
          <w:lang w:eastAsia="en-US"/>
        </w:rPr>
      </w:pPr>
      <w:r>
        <w:rPr>
          <w:rFonts w:eastAsia="Calibri" w:cs="AppleSystemUIFont" w:eastAsiaTheme="minorHAnsi" w:ascii="Times" w:hAnsi="Times"/>
          <w:lang w:eastAsia="en-US"/>
        </w:rPr>
      </w:r>
    </w:p>
    <w:p>
      <w:pPr>
        <w:pStyle w:val="Normal"/>
        <w:rPr>
          <w:rFonts w:eastAsia="Calibri" w:eastAsiaTheme="minorHAnsi"/>
          <w:sz w:val="22"/>
          <w:szCs w:val="22"/>
          <w:lang w:val="en-US" w:eastAsia="en-US"/>
        </w:rPr>
      </w:pPr>
      <w:r>
        <w:rPr>
          <w:rFonts w:eastAsia="Calibri" w:eastAsiaTheme="minorHAnsi"/>
          <w:sz w:val="22"/>
          <w:szCs w:val="22"/>
          <w:lang w:val="en-US" w:eastAsia="en-US"/>
        </w:rPr>
        <w:t>Příjezd techniky cca 3 hodiny před začátkem představení</w:t>
      </w:r>
    </w:p>
    <w:p>
      <w:pPr>
        <w:pStyle w:val="Normal"/>
        <w:widowControl/>
        <w:rPr>
          <w:rFonts w:ascii="Times" w:hAnsi="Times" w:eastAsia="Calibri" w:cs="AppleSystemUIFont" w:eastAsiaTheme="minorHAnsi"/>
          <w:sz w:val="22"/>
          <w:szCs w:val="22"/>
          <w:lang w:eastAsia="en-US"/>
        </w:rPr>
      </w:pPr>
      <w:r>
        <w:rPr>
          <w:rFonts w:eastAsia="Calibri" w:cs="AppleSystemUIFont" w:ascii="Times" w:hAnsi="Times" w:eastAsiaTheme="minorHAnsi"/>
          <w:sz w:val="22"/>
          <w:szCs w:val="22"/>
          <w:lang w:eastAsia="en-US"/>
        </w:rPr>
        <w:t>Délka představení 110 minut včetně přestávky</w:t>
      </w:r>
    </w:p>
    <w:p>
      <w:pPr>
        <w:pStyle w:val="Normal"/>
        <w:widowControl/>
        <w:rPr>
          <w:rFonts w:ascii="Times" w:hAnsi="Times" w:eastAsia="Calibri" w:cs="AppleSystemUIFont" w:eastAsiaTheme="minorHAnsi"/>
          <w:sz w:val="22"/>
          <w:szCs w:val="22"/>
          <w:lang w:eastAsia="en-US"/>
        </w:rPr>
      </w:pPr>
      <w:r>
        <w:rPr>
          <w:rFonts w:eastAsia="Calibri" w:cs="AppleSystemUIFont" w:eastAsiaTheme="minorHAnsi" w:ascii="Times" w:hAnsi="Times"/>
          <w:sz w:val="22"/>
          <w:szCs w:val="22"/>
          <w:lang w:eastAsia="en-US"/>
        </w:rPr>
      </w:r>
    </w:p>
    <w:p>
      <w:pPr>
        <w:pStyle w:val="Normal"/>
        <w:widowControl/>
        <w:rPr>
          <w:rFonts w:ascii="AppleSystemUIFont" w:hAnsi="AppleSystemUIFont" w:eastAsia="Calibri" w:cs="AppleSystemUIFont" w:eastAsiaTheme="minorHAnsi"/>
          <w:lang w:eastAsia="en-US"/>
        </w:rPr>
      </w:pPr>
      <w:r>
        <w:rPr>
          <w:rFonts w:eastAsia="Calibri" w:cs="AppleSystemUIFont" w:eastAsiaTheme="minorHAnsi" w:ascii="AppleSystemUIFont" w:hAnsi="AppleSystemUIFont"/>
          <w:lang w:eastAsia="en-US"/>
        </w:rPr>
      </w:r>
    </w:p>
    <w:p>
      <w:pPr>
        <w:pStyle w:val="Normal"/>
        <w:widowControl/>
        <w:rPr>
          <w:rFonts w:ascii="AppleSystemUIFont" w:hAnsi="AppleSystemUIFont" w:eastAsia="Calibri" w:cs="AppleSystemUIFont" w:eastAsiaTheme="minorHAnsi"/>
          <w:lang w:eastAsia="en-US"/>
        </w:rPr>
      </w:pPr>
      <w:r>
        <w:rPr>
          <w:rFonts w:eastAsia="Calibri" w:cs="AppleSystemUIFont" w:eastAsiaTheme="minorHAnsi" w:ascii="AppleSystemUIFont" w:hAnsi="AppleSystemUIFont"/>
          <w:lang w:eastAsia="en-US"/>
        </w:rPr>
      </w:r>
    </w:p>
    <w:p>
      <w:pPr>
        <w:pStyle w:val="Normal"/>
        <w:widowControl/>
        <w:rPr>
          <w:rFonts w:ascii="Times" w:hAnsi="Times" w:eastAsia="Calibri" w:cs="AppleSystemUIFontBold" w:eastAsiaTheme="minorHAnsi"/>
          <w:b/>
          <w:b/>
          <w:bCs/>
          <w:sz w:val="22"/>
          <w:szCs w:val="22"/>
          <w:lang w:eastAsia="en-US"/>
        </w:rPr>
      </w:pPr>
      <w:r>
        <w:rPr>
          <w:rFonts w:eastAsia="Calibri" w:cs="AppleSystemUIFontBold" w:ascii="Times" w:hAnsi="Times" w:eastAsiaTheme="minorHAnsi"/>
          <w:b/>
          <w:bCs/>
          <w:sz w:val="22"/>
          <w:szCs w:val="22"/>
          <w:lang w:eastAsia="en-US"/>
        </w:rPr>
        <w:t>JEVIŠTĚ</w:t>
      </w:r>
    </w:p>
    <w:p>
      <w:pPr>
        <w:pStyle w:val="Normal"/>
        <w:widowControl/>
        <w:rPr>
          <w:rFonts w:ascii="Times" w:hAnsi="Times" w:eastAsia="Calibri" w:cs="AppleSystemUIFont" w:eastAsiaTheme="minorHAnsi"/>
          <w:sz w:val="20"/>
          <w:szCs w:val="20"/>
          <w:lang w:eastAsia="en-US"/>
        </w:rPr>
      </w:pPr>
      <w:r>
        <w:rPr>
          <w:rFonts w:eastAsia="Calibri" w:cs="AppleSystemUIFont" w:ascii="Times" w:hAnsi="Times" w:eastAsiaTheme="minorHAnsi"/>
          <w:sz w:val="20"/>
          <w:szCs w:val="20"/>
          <w:lang w:eastAsia="en-US"/>
        </w:rPr>
        <w:t xml:space="preserve">Rozměry jeviště minimálně 6 x 6 m, výška min. 4m (menší potřeba konzultovat) </w:t>
      </w:r>
    </w:p>
    <w:p>
      <w:pPr>
        <w:pStyle w:val="Normal"/>
        <w:widowControl/>
        <w:rPr>
          <w:rFonts w:ascii="Times" w:hAnsi="Times" w:eastAsia="Calibri" w:cs="AppleSystemUIFont" w:eastAsiaTheme="minorHAnsi"/>
          <w:sz w:val="20"/>
          <w:szCs w:val="20"/>
          <w:lang w:eastAsia="en-US"/>
        </w:rPr>
      </w:pPr>
      <w:r>
        <w:rPr>
          <w:rFonts w:eastAsia="Calibri" w:cs="AppleSystemUIFont" w:ascii="Times" w:hAnsi="Times" w:eastAsiaTheme="minorHAnsi"/>
          <w:sz w:val="20"/>
          <w:szCs w:val="20"/>
          <w:lang w:eastAsia="en-US"/>
        </w:rPr>
        <w:t>Černé vykrytí a černý horizont, volný prostor na bocích jeviště</w:t>
      </w:r>
    </w:p>
    <w:p>
      <w:pPr>
        <w:pStyle w:val="Normal"/>
        <w:widowControl/>
        <w:rPr>
          <w:rFonts w:ascii="Times" w:hAnsi="Times" w:eastAsia="Calibri" w:cs="AppleSystemUIFont" w:eastAsiaTheme="minorHAnsi"/>
          <w:sz w:val="20"/>
          <w:szCs w:val="20"/>
          <w:lang w:eastAsia="en-US"/>
        </w:rPr>
      </w:pPr>
      <w:r>
        <w:rPr>
          <w:rFonts w:eastAsia="Calibri" w:cs="AppleSystemUIFont" w:ascii="Times" w:hAnsi="Times" w:eastAsiaTheme="minorHAnsi"/>
          <w:sz w:val="20"/>
          <w:szCs w:val="20"/>
          <w:lang w:eastAsia="en-US"/>
        </w:rPr>
        <w:t>Nutný samostatný zvukový a světelný elektrický okruh</w:t>
      </w:r>
    </w:p>
    <w:p>
      <w:pPr>
        <w:pStyle w:val="Normal"/>
        <w:widowControl/>
        <w:rPr>
          <w:rFonts w:ascii="Times" w:hAnsi="Times" w:eastAsia="Calibri" w:cs="AppleSystemUIFont" w:eastAsiaTheme="minorHAnsi"/>
          <w:sz w:val="20"/>
          <w:szCs w:val="20"/>
          <w:lang w:eastAsia="en-US"/>
        </w:rPr>
      </w:pPr>
      <w:r>
        <w:rPr>
          <w:rFonts w:eastAsia="Calibri" w:cs="AppleSystemUIFont" w:ascii="Times" w:hAnsi="Times" w:eastAsiaTheme="minorHAnsi"/>
          <w:sz w:val="20"/>
          <w:szCs w:val="20"/>
          <w:lang w:eastAsia="en-US"/>
        </w:rPr>
        <w:t>Možnost obcházet scénu za výkryty a horizontem</w:t>
      </w:r>
    </w:p>
    <w:p>
      <w:pPr>
        <w:pStyle w:val="Normal"/>
        <w:widowControl/>
        <w:rPr>
          <w:rFonts w:ascii="Times" w:hAnsi="Times" w:eastAsia="Calibri" w:cs="AppleSystemUIFont" w:eastAsiaTheme="minorHAnsi"/>
          <w:sz w:val="20"/>
          <w:szCs w:val="20"/>
          <w:lang w:eastAsia="en-US"/>
        </w:rPr>
      </w:pPr>
      <w:r>
        <w:rPr>
          <w:rFonts w:eastAsia="Calibri" w:cs="AppleSystemUIFont" w:ascii="Times" w:hAnsi="Times" w:eastAsiaTheme="minorHAnsi"/>
          <w:sz w:val="20"/>
          <w:szCs w:val="20"/>
          <w:lang w:eastAsia="en-US"/>
        </w:rPr>
        <w:t>Možné nástupy z obou stran portalu</w:t>
      </w:r>
    </w:p>
    <w:p>
      <w:pPr>
        <w:pStyle w:val="Normal"/>
        <w:widowControl/>
        <w:rPr>
          <w:rFonts w:ascii="Times" w:hAnsi="Times" w:eastAsia="Calibri" w:cs="AppleSystemUIFont" w:eastAsiaTheme="minorHAnsi"/>
          <w:sz w:val="20"/>
          <w:szCs w:val="20"/>
          <w:lang w:eastAsia="en-US"/>
        </w:rPr>
      </w:pPr>
      <w:r>
        <w:rPr>
          <w:rFonts w:eastAsia="Calibri" w:cs="AppleSystemUIFont" w:ascii="Times" w:hAnsi="Times" w:eastAsiaTheme="minorHAnsi"/>
          <w:sz w:val="20"/>
          <w:szCs w:val="20"/>
          <w:lang w:eastAsia="en-US"/>
        </w:rPr>
        <w:t>Lampičky v portálech</w:t>
      </w:r>
    </w:p>
    <w:p>
      <w:pPr>
        <w:pStyle w:val="Normal"/>
        <w:widowControl/>
        <w:rPr>
          <w:rFonts w:ascii="Times" w:hAnsi="Times" w:eastAsia="Calibri" w:cs="AppleSystemUIFontBold" w:eastAsiaTheme="minorHAnsi"/>
          <w:b/>
          <w:b/>
          <w:bCs/>
          <w:sz w:val="22"/>
          <w:szCs w:val="22"/>
          <w:u w:val="single"/>
          <w:lang w:eastAsia="en-US"/>
        </w:rPr>
      </w:pPr>
      <w:r>
        <w:rPr>
          <w:rFonts w:eastAsia="Calibri" w:cs="AppleSystemUIFontBold" w:eastAsiaTheme="minorHAnsi" w:ascii="Times" w:hAnsi="Times"/>
          <w:b/>
          <w:bCs/>
          <w:sz w:val="22"/>
          <w:szCs w:val="22"/>
          <w:u w:val="single"/>
          <w:lang w:eastAsia="en-US"/>
        </w:rPr>
      </w:r>
    </w:p>
    <w:p>
      <w:pPr>
        <w:pStyle w:val="Normal"/>
        <w:widowControl/>
        <w:spacing w:before="0" w:after="40"/>
        <w:rPr>
          <w:rFonts w:ascii="Times" w:hAnsi="Times" w:eastAsia="Calibri" w:cs="AppleSystemUIFontBold" w:eastAsiaTheme="minorHAnsi"/>
          <w:b/>
          <w:b/>
          <w:bCs/>
          <w:sz w:val="22"/>
          <w:szCs w:val="22"/>
          <w:lang w:eastAsia="en-US"/>
        </w:rPr>
      </w:pPr>
      <w:r>
        <w:rPr>
          <w:rFonts w:eastAsia="Calibri" w:cs="AppleSystemUIFontBold" w:ascii="Times" w:hAnsi="Times" w:eastAsiaTheme="minorHAnsi"/>
          <w:b/>
          <w:bCs/>
          <w:sz w:val="22"/>
          <w:szCs w:val="22"/>
          <w:lang w:eastAsia="en-US"/>
        </w:rPr>
        <w:t xml:space="preserve">SVĚTLA - minimum </w:t>
      </w:r>
    </w:p>
    <w:p>
      <w:pPr>
        <w:pStyle w:val="Normal"/>
        <w:widowControl/>
        <w:spacing w:before="0" w:after="40"/>
        <w:rPr>
          <w:rFonts w:ascii="Times" w:hAnsi="Times" w:eastAsia="Calibri" w:cs="AppleSystemUIFontBold" w:eastAsiaTheme="minorHAnsi"/>
          <w:sz w:val="20"/>
          <w:szCs w:val="20"/>
          <w:lang w:eastAsia="en-US"/>
        </w:rPr>
      </w:pPr>
      <w:r>
        <w:rPr>
          <w:rFonts w:eastAsia="Calibri" w:cs="AppleSystemUIFontBold" w:ascii="Times" w:hAnsi="Times" w:eastAsiaTheme="minorHAnsi"/>
          <w:sz w:val="20"/>
          <w:szCs w:val="20"/>
          <w:lang w:eastAsia="en-US"/>
        </w:rPr>
        <w:t>Minimum 10x světelný zdroj typu FHR 1000 světelný pult - submastery 5 a víc</w:t>
      </w:r>
    </w:p>
    <w:p>
      <w:pPr>
        <w:pStyle w:val="Normal"/>
        <w:widowControl/>
        <w:spacing w:before="0" w:after="40"/>
        <w:rPr>
          <w:rFonts w:ascii="Times" w:hAnsi="Times" w:eastAsia="Calibri" w:cs="AppleSystemUIFontBold" w:eastAsiaTheme="minorHAnsi"/>
          <w:b/>
          <w:b/>
          <w:bCs/>
          <w:sz w:val="20"/>
          <w:szCs w:val="20"/>
          <w:lang w:eastAsia="en-US"/>
        </w:rPr>
      </w:pPr>
      <w:r>
        <w:rPr>
          <w:rFonts w:eastAsia="Calibri" w:cs="AppleSystemUIFontBold" w:ascii="Times" w:hAnsi="Times" w:eastAsiaTheme="minorHAnsi"/>
          <w:sz w:val="20"/>
          <w:szCs w:val="20"/>
          <w:lang w:eastAsia="en-US"/>
        </w:rPr>
        <w:t>Filtry: červená, modrá, oranžová</w:t>
      </w:r>
      <w:r>
        <w:rPr>
          <w:rFonts w:eastAsia="Calibri" w:cs="AppleSystemUIFontBold" w:ascii="Times" w:hAnsi="Times" w:eastAsiaTheme="minorHAnsi"/>
          <w:b/>
          <w:bCs/>
          <w:sz w:val="20"/>
          <w:szCs w:val="20"/>
          <w:lang w:eastAsia="en-US"/>
        </w:rPr>
        <w:t xml:space="preserve"> </w:t>
      </w:r>
    </w:p>
    <w:p>
      <w:pPr>
        <w:pStyle w:val="Normal"/>
        <w:widowControl/>
        <w:rPr>
          <w:rFonts w:ascii="Times" w:hAnsi="Times" w:eastAsia="Calibri" w:cs="AppleSystemUIFont" w:eastAsiaTheme="minorHAnsi"/>
          <w:sz w:val="20"/>
          <w:szCs w:val="20"/>
          <w:lang w:eastAsia="en-US"/>
        </w:rPr>
      </w:pPr>
      <w:r>
        <w:rPr>
          <w:rFonts w:eastAsia="Calibri" w:cs="AppleSystemUIFont" w:ascii="Times" w:hAnsi="Times" w:eastAsiaTheme="minorHAnsi"/>
          <w:sz w:val="20"/>
          <w:szCs w:val="20"/>
          <w:lang w:eastAsia="en-US"/>
        </w:rPr>
        <w:t>Stmívaný okruh (zásuvka) na jevišti nutný</w:t>
      </w:r>
    </w:p>
    <w:p>
      <w:pPr>
        <w:pStyle w:val="Normal"/>
        <w:widowControl/>
        <w:rPr>
          <w:rFonts w:ascii="Times" w:hAnsi="Times" w:eastAsia="Calibri" w:cs="AppleSystemUIFont" w:eastAsiaTheme="minorHAnsi"/>
          <w:sz w:val="22"/>
          <w:szCs w:val="22"/>
          <w:lang w:eastAsia="en-US"/>
        </w:rPr>
      </w:pPr>
      <w:r>
        <w:rPr>
          <w:rFonts w:eastAsia="Calibri" w:cs="AppleSystemUIFont" w:eastAsiaTheme="minorHAnsi" w:ascii="Times" w:hAnsi="Times"/>
          <w:sz w:val="22"/>
          <w:szCs w:val="22"/>
          <w:lang w:eastAsia="en-US"/>
        </w:rPr>
      </w:r>
    </w:p>
    <w:p>
      <w:pPr>
        <w:pStyle w:val="Normal"/>
        <w:widowControl/>
        <w:spacing w:before="0" w:after="40"/>
        <w:rPr>
          <w:rFonts w:ascii="Times" w:hAnsi="Times" w:eastAsia="Calibri" w:cs="AppleSystemUIFontBold" w:eastAsiaTheme="minorHAnsi"/>
          <w:b/>
          <w:b/>
          <w:bCs/>
          <w:sz w:val="22"/>
          <w:szCs w:val="22"/>
          <w:lang w:eastAsia="en-US"/>
        </w:rPr>
      </w:pPr>
      <w:r>
        <w:rPr>
          <w:rFonts w:eastAsia="Calibri" w:cs="AppleSystemUIFontBold" w:ascii="Times" w:hAnsi="Times" w:eastAsiaTheme="minorHAnsi"/>
          <w:b/>
          <w:bCs/>
          <w:sz w:val="22"/>
          <w:szCs w:val="22"/>
          <w:lang w:eastAsia="en-US"/>
        </w:rPr>
        <w:t xml:space="preserve">ZVUK - minimum </w:t>
      </w:r>
    </w:p>
    <w:p>
      <w:pPr>
        <w:pStyle w:val="Normal"/>
        <w:widowControl/>
        <w:spacing w:before="0" w:after="40"/>
        <w:rPr>
          <w:rFonts w:ascii="Times" w:hAnsi="Times" w:eastAsia="Calibri" w:cs="AppleSystemUIFontBold" w:eastAsiaTheme="minorHAnsi"/>
          <w:sz w:val="20"/>
          <w:szCs w:val="20"/>
          <w:lang w:eastAsia="en-US"/>
        </w:rPr>
      </w:pPr>
      <w:r>
        <w:rPr>
          <w:rFonts w:eastAsia="Calibri" w:cs="AppleSystemUIFontBold" w:ascii="Times" w:hAnsi="Times" w:eastAsiaTheme="minorHAnsi"/>
          <w:sz w:val="20"/>
          <w:szCs w:val="20"/>
          <w:lang w:eastAsia="en-US"/>
        </w:rPr>
        <w:t>pult 2x mono input nebo 1x stereo input</w:t>
      </w:r>
    </w:p>
    <w:p>
      <w:pPr>
        <w:pStyle w:val="Normal"/>
        <w:widowControl/>
        <w:rPr>
          <w:rFonts w:ascii="Times" w:hAnsi="Times" w:eastAsia="Calibri" w:cs="AppleSystemUIFont" w:eastAsiaTheme="minorHAnsi"/>
          <w:sz w:val="20"/>
          <w:szCs w:val="20"/>
          <w:lang w:eastAsia="en-US"/>
        </w:rPr>
      </w:pPr>
      <w:r>
        <w:rPr>
          <w:rFonts w:eastAsia="Calibri" w:cs="AppleSystemUIFont" w:ascii="Times" w:hAnsi="Times" w:eastAsiaTheme="minorHAnsi"/>
          <w:sz w:val="20"/>
          <w:szCs w:val="20"/>
          <w:lang w:eastAsia="en-US"/>
        </w:rPr>
        <w:t>3-pásmový parametrický ekvalizér na všech třech stopách</w:t>
      </w:r>
    </w:p>
    <w:p>
      <w:pPr>
        <w:pStyle w:val="Normal"/>
        <w:widowControl/>
        <w:rPr>
          <w:rFonts w:ascii="Times" w:hAnsi="Times" w:eastAsia="Calibri" w:cs="AppleSystemUIFont" w:eastAsiaTheme="minorHAnsi"/>
          <w:sz w:val="20"/>
          <w:szCs w:val="20"/>
          <w:lang w:eastAsia="en-US"/>
        </w:rPr>
      </w:pPr>
      <w:r>
        <w:rPr>
          <w:rFonts w:eastAsia="Calibri" w:cs="AppleSystemUIFont" w:ascii="Times" w:hAnsi="Times" w:eastAsiaTheme="minorHAnsi"/>
          <w:sz w:val="20"/>
          <w:szCs w:val="20"/>
          <w:lang w:eastAsia="en-US"/>
        </w:rPr>
        <w:t>1x odposlechová cesta, post-fader</w:t>
      </w:r>
    </w:p>
    <w:p>
      <w:pPr>
        <w:pStyle w:val="Normal"/>
        <w:widowControl/>
        <w:rPr>
          <w:rFonts w:ascii="Times" w:hAnsi="Times" w:eastAsia="Calibri" w:cs="AppleSystemUIFont" w:eastAsiaTheme="minorHAnsi"/>
          <w:sz w:val="20"/>
          <w:szCs w:val="20"/>
          <w:lang w:eastAsia="en-US"/>
        </w:rPr>
      </w:pPr>
      <w:r>
        <w:rPr>
          <w:rFonts w:eastAsia="Calibri" w:cs="AppleSystemUIFont" w:ascii="Times" w:hAnsi="Times" w:eastAsiaTheme="minorHAnsi"/>
          <w:sz w:val="20"/>
          <w:szCs w:val="20"/>
          <w:lang w:eastAsia="en-US"/>
        </w:rPr>
        <w:t>kvalitní ozvučení celého sálu (včetně galerie a balkónů), výkonově odpovídající jeho velikosti, nesmí nahlas šumět</w:t>
      </w:r>
    </w:p>
    <w:p>
      <w:pPr>
        <w:pStyle w:val="Normal"/>
        <w:widowControl/>
        <w:rPr>
          <w:rFonts w:ascii="Times" w:hAnsi="Times" w:eastAsia="Calibri" w:cs="AppleSystemUIFont" w:eastAsiaTheme="minorHAnsi"/>
          <w:sz w:val="22"/>
          <w:szCs w:val="22"/>
          <w:lang w:eastAsia="en-US"/>
        </w:rPr>
      </w:pPr>
      <w:r>
        <w:rPr>
          <w:rFonts w:eastAsia="Calibri" w:cs="AppleSystemUIFont" w:eastAsiaTheme="minorHAnsi" w:ascii="Times" w:hAnsi="Times"/>
          <w:sz w:val="22"/>
          <w:szCs w:val="22"/>
          <w:lang w:eastAsia="en-US"/>
        </w:rPr>
      </w:r>
    </w:p>
    <w:p>
      <w:pPr>
        <w:pStyle w:val="Normal"/>
        <w:widowControl/>
        <w:rPr>
          <w:rFonts w:ascii="Times" w:hAnsi="Times" w:eastAsia="Calibri" w:cs="AppleSystemUIFont" w:eastAsiaTheme="minorHAnsi"/>
          <w:sz w:val="22"/>
          <w:szCs w:val="22"/>
          <w:lang w:eastAsia="en-US"/>
        </w:rPr>
      </w:pPr>
      <w:r>
        <w:rPr>
          <w:rFonts w:eastAsia="Calibri" w:cs="AppleSystemUIFontBold" w:ascii="Times" w:hAnsi="Times" w:eastAsiaTheme="minorHAnsi"/>
          <w:b/>
          <w:bCs/>
          <w:sz w:val="22"/>
          <w:szCs w:val="22"/>
          <w:lang w:eastAsia="en-US"/>
        </w:rPr>
        <w:t>REŽIE</w:t>
      </w:r>
    </w:p>
    <w:p>
      <w:pPr>
        <w:pStyle w:val="Normal"/>
        <w:widowControl/>
        <w:rPr>
          <w:rFonts w:ascii="Times" w:hAnsi="Times" w:eastAsia="Calibri" w:cs="AppleSystemUIFont" w:eastAsiaTheme="minorHAnsi"/>
          <w:sz w:val="20"/>
          <w:szCs w:val="20"/>
          <w:lang w:eastAsia="en-US"/>
        </w:rPr>
      </w:pPr>
      <w:r>
        <w:rPr>
          <w:rFonts w:eastAsia="Calibri" w:cs="AppleSystemUIFont" w:ascii="Times" w:hAnsi="Times" w:eastAsiaTheme="minorHAnsi"/>
          <w:sz w:val="20"/>
          <w:szCs w:val="20"/>
          <w:lang w:eastAsia="en-US"/>
        </w:rPr>
        <w:t>a) otevřená - pokud je na nejnižší výškové úrovni sálu (jako diváci v hledišti) a je uvnitř odpovídající poslech, není třeba poslechových monitorů, jinak viz b)</w:t>
      </w:r>
    </w:p>
    <w:p>
      <w:pPr>
        <w:pStyle w:val="Normal"/>
        <w:widowControl/>
        <w:rPr>
          <w:rFonts w:ascii="Times" w:hAnsi="Times" w:eastAsia="Calibri" w:cs="AppleSystemUIFont" w:eastAsiaTheme="minorHAnsi"/>
          <w:sz w:val="20"/>
          <w:szCs w:val="20"/>
          <w:lang w:eastAsia="en-US"/>
        </w:rPr>
      </w:pPr>
      <w:r>
        <w:rPr>
          <w:rFonts w:eastAsia="Calibri" w:cs="AppleSystemUIFont" w:ascii="Times" w:hAnsi="Times" w:eastAsiaTheme="minorHAnsi"/>
          <w:sz w:val="20"/>
          <w:szCs w:val="20"/>
          <w:lang w:eastAsia="en-US"/>
        </w:rPr>
        <w:t>b) uzavřená - NUTNÉ kvalitní studiové monitory pro odposlech ze sálu - tj. nejen zvuku z mixážního pultu, ale také z odposlechových mikrofonů v sále</w:t>
      </w:r>
    </w:p>
    <w:p>
      <w:pPr>
        <w:pStyle w:val="Normal"/>
        <w:widowControl/>
        <w:rPr>
          <w:rFonts w:ascii="Times" w:hAnsi="Times" w:eastAsia="Calibri" w:cs="AppleSystemUIFont" w:eastAsiaTheme="minorHAnsi"/>
          <w:sz w:val="20"/>
          <w:szCs w:val="20"/>
          <w:lang w:eastAsia="en-US"/>
        </w:rPr>
      </w:pPr>
      <w:r>
        <w:rPr>
          <w:rFonts w:eastAsia="Calibri" w:cs="AppleSystemUIFont" w:ascii="Times" w:hAnsi="Times" w:eastAsiaTheme="minorHAnsi"/>
          <w:sz w:val="20"/>
          <w:szCs w:val="20"/>
          <w:lang w:eastAsia="en-US"/>
        </w:rPr>
        <w:t>2x zásuvka 230V z elektrického obvodu pro zvuk</w:t>
      </w:r>
    </w:p>
    <w:p>
      <w:pPr>
        <w:pStyle w:val="Normal"/>
        <w:widowControl/>
        <w:rPr>
          <w:rFonts w:ascii="Times" w:hAnsi="Times" w:eastAsia="Calibri" w:cs="AppleSystemUIFont" w:eastAsiaTheme="minorHAnsi"/>
          <w:sz w:val="20"/>
          <w:szCs w:val="20"/>
          <w:lang w:eastAsia="en-US"/>
        </w:rPr>
      </w:pPr>
      <w:r>
        <w:rPr>
          <w:rFonts w:eastAsia="Calibri" w:cs="AppleSystemUIFont" w:ascii="Times" w:hAnsi="Times" w:eastAsiaTheme="minorHAnsi"/>
          <w:sz w:val="20"/>
          <w:szCs w:val="20"/>
          <w:lang w:eastAsia="en-US"/>
        </w:rPr>
        <w:t>Lampičky na scénář a pult</w:t>
      </w:r>
    </w:p>
    <w:p>
      <w:pPr>
        <w:pStyle w:val="Normal"/>
        <w:widowControl/>
        <w:rPr>
          <w:rFonts w:ascii="Times" w:hAnsi="Times" w:eastAsia="Calibri" w:cs="AppleSystemUIFont" w:eastAsiaTheme="minorHAnsi"/>
          <w:sz w:val="22"/>
          <w:szCs w:val="22"/>
          <w:lang w:eastAsia="en-US"/>
        </w:rPr>
      </w:pPr>
      <w:r>
        <w:rPr>
          <w:rFonts w:eastAsia="Calibri" w:cs="AppleSystemUIFont" w:eastAsiaTheme="minorHAnsi" w:ascii="Times" w:hAnsi="Times"/>
          <w:sz w:val="22"/>
          <w:szCs w:val="22"/>
          <w:lang w:eastAsia="en-US"/>
        </w:rPr>
      </w:r>
    </w:p>
    <w:p>
      <w:pPr>
        <w:pStyle w:val="Normal"/>
        <w:widowControl/>
        <w:rPr>
          <w:rFonts w:ascii="Times" w:hAnsi="Times" w:eastAsia="Calibri" w:cs="AppleSystemUIFontBold" w:eastAsiaTheme="minorHAnsi"/>
          <w:b/>
          <w:b/>
          <w:bCs/>
          <w:sz w:val="22"/>
          <w:szCs w:val="22"/>
          <w:lang w:eastAsia="en-US"/>
        </w:rPr>
      </w:pPr>
      <w:r>
        <w:rPr>
          <w:rFonts w:eastAsia="Calibri" w:cs="AppleSystemUIFontBold" w:ascii="Times" w:hAnsi="Times" w:eastAsiaTheme="minorHAnsi"/>
          <w:b/>
          <w:bCs/>
          <w:sz w:val="22"/>
          <w:szCs w:val="22"/>
          <w:lang w:eastAsia="en-US"/>
        </w:rPr>
        <w:t>OSTATNÍ</w:t>
      </w:r>
    </w:p>
    <w:p>
      <w:pPr>
        <w:pStyle w:val="Normal"/>
        <w:widowControl/>
        <w:rPr>
          <w:rFonts w:eastAsia="Calibri" w:eastAsiaTheme="minorHAnsi"/>
          <w:b/>
          <w:b/>
          <w:bCs/>
          <w:sz w:val="20"/>
          <w:szCs w:val="20"/>
          <w:u w:val="single"/>
          <w:lang w:eastAsia="en-US"/>
        </w:rPr>
      </w:pPr>
      <w:r>
        <w:rPr>
          <w:rFonts w:eastAsia="Calibri" w:eastAsiaTheme="minorHAnsi"/>
          <w:sz w:val="20"/>
          <w:szCs w:val="20"/>
          <w:lang w:eastAsia="en-US"/>
        </w:rPr>
        <w:t xml:space="preserve">2x uzamykatelná, čistá, dostatečně vytopená šatna (min. teplotou 21 °C) s vlastním hygienickým zázemím, zrcadlem a přímým vstupem na jeviště. </w:t>
      </w:r>
    </w:p>
    <w:p>
      <w:pPr>
        <w:pStyle w:val="Normal"/>
        <w:widowControl/>
        <w:rPr>
          <w:rFonts w:eastAsia="Calibri" w:eastAsiaTheme="minorHAnsi"/>
          <w:sz w:val="20"/>
          <w:szCs w:val="20"/>
          <w:lang w:eastAsia="en-US"/>
        </w:rPr>
      </w:pPr>
      <w:r>
        <w:rPr>
          <w:rFonts w:eastAsia="Calibri" w:eastAsiaTheme="minorHAnsi"/>
          <w:sz w:val="20"/>
          <w:szCs w:val="20"/>
          <w:lang w:eastAsia="en-US"/>
        </w:rPr>
        <w:t>Uklizené prázdné jeviště 2 hodiny před začátkem představení.</w:t>
      </w:r>
    </w:p>
    <w:p>
      <w:pPr>
        <w:pStyle w:val="Normal"/>
        <w:rPr>
          <w:sz w:val="20"/>
          <w:szCs w:val="20"/>
        </w:rPr>
      </w:pPr>
      <w:r>
        <w:rPr>
          <w:rFonts w:eastAsia="Calibri" w:eastAsiaTheme="minorHAnsi"/>
          <w:sz w:val="20"/>
          <w:szCs w:val="20"/>
          <w:lang w:val="en-US" w:eastAsia="en-US"/>
        </w:rPr>
        <w:t>2 lidi na výpomoc při stěhování - 2 hodiny před začátkem a bezprostředně po skončení představení</w:t>
      </w:r>
    </w:p>
    <w:p>
      <w:pPr>
        <w:pStyle w:val="Normal"/>
        <w:widowControl/>
        <w:rPr>
          <w:rFonts w:eastAsia="Calibri" w:eastAsiaTheme="minorHAnsi"/>
          <w:sz w:val="20"/>
          <w:szCs w:val="20"/>
          <w:lang w:eastAsia="en-US"/>
        </w:rPr>
      </w:pPr>
      <w:r>
        <w:rPr>
          <w:rFonts w:eastAsia="Calibri" w:eastAsiaTheme="minorHAnsi"/>
          <w:sz w:val="20"/>
          <w:szCs w:val="20"/>
          <w:lang w:eastAsia="en-US"/>
        </w:rPr>
        <w:t>Přítomnost místního technika znalého zvukové a světelné techniky 2 hodiny před začátkem a po celou dobu konání představení.</w:t>
      </w:r>
    </w:p>
    <w:p>
      <w:pPr>
        <w:pStyle w:val="Normal"/>
        <w:widowControl/>
        <w:rPr>
          <w:rFonts w:eastAsia="Calibri" w:eastAsiaTheme="minorHAnsi"/>
          <w:sz w:val="20"/>
          <w:szCs w:val="20"/>
          <w:lang w:eastAsia="en-US"/>
        </w:rPr>
      </w:pPr>
      <w:r>
        <w:rPr>
          <w:rFonts w:eastAsia="Calibri" w:eastAsiaTheme="minorHAnsi"/>
          <w:sz w:val="20"/>
          <w:szCs w:val="20"/>
          <w:lang w:eastAsia="en-US"/>
        </w:rPr>
        <w:t>Bezplatné parkování v bezprostřední blízkosti divadla (1x nákladní vozidlo, 2x osobní vozidlo).</w:t>
      </w:r>
    </w:p>
    <w:p>
      <w:pPr>
        <w:pStyle w:val="Normal"/>
        <w:widowControl/>
        <w:rPr>
          <w:rFonts w:eastAsia="Calibri" w:eastAsiaTheme="minorHAnsi"/>
          <w:sz w:val="20"/>
          <w:szCs w:val="20"/>
          <w:lang w:eastAsia="en-US"/>
        </w:rPr>
      </w:pPr>
      <w:r>
        <w:rPr>
          <w:rFonts w:eastAsia="Calibri" w:eastAsiaTheme="minorHAnsi"/>
          <w:sz w:val="20"/>
          <w:szCs w:val="20"/>
          <w:lang w:eastAsia="en-US"/>
        </w:rPr>
        <w:t>Nerušenou zkoušku 1 hodinu před začátkem představení.</w:t>
      </w:r>
    </w:p>
    <w:p>
      <w:pPr>
        <w:pStyle w:val="Normal"/>
        <w:widowControl/>
        <w:rPr>
          <w:rFonts w:eastAsia="Calibri" w:eastAsiaTheme="minorHAnsi"/>
          <w:sz w:val="20"/>
          <w:szCs w:val="20"/>
          <w:lang w:eastAsia="en-US"/>
        </w:rPr>
      </w:pPr>
      <w:r>
        <w:rPr>
          <w:rFonts w:eastAsia="Calibri" w:eastAsiaTheme="minorHAnsi"/>
          <w:sz w:val="20"/>
          <w:szCs w:val="20"/>
          <w:lang w:eastAsia="en-US"/>
        </w:rPr>
        <w:t>Uvítáme lehké občerstvení pro umělce</w:t>
      </w:r>
    </w:p>
    <w:p>
      <w:pPr>
        <w:pStyle w:val="Normal"/>
        <w:widowControl/>
        <w:rPr>
          <w:rFonts w:ascii="Times" w:hAnsi="Times" w:eastAsia="Calibri" w:cs="AppleSystemUIFont" w:eastAsiaTheme="minorHAnsi"/>
          <w:sz w:val="22"/>
          <w:szCs w:val="22"/>
          <w:lang w:eastAsia="en-US"/>
        </w:rPr>
      </w:pPr>
      <w:r>
        <w:rPr>
          <w:rFonts w:eastAsia="Calibri" w:cs="AppleSystemUIFont" w:eastAsiaTheme="minorHAnsi" w:ascii="Times" w:hAnsi="Times"/>
          <w:sz w:val="22"/>
          <w:szCs w:val="22"/>
          <w:lang w:eastAsia="en-US"/>
        </w:rPr>
      </w:r>
    </w:p>
    <w:p>
      <w:pPr>
        <w:pStyle w:val="Normal"/>
        <w:widowControl/>
        <w:rPr>
          <w:rFonts w:ascii="Times" w:hAnsi="Times" w:eastAsia="Calibri" w:cs="AppleSystemUIFont" w:eastAsiaTheme="minorHAnsi"/>
          <w:sz w:val="22"/>
          <w:szCs w:val="22"/>
          <w:lang w:eastAsia="en-US"/>
        </w:rPr>
      </w:pPr>
      <w:r>
        <w:rPr>
          <w:rFonts w:eastAsia="Calibri" w:cs="AppleSystemUIFont" w:eastAsiaTheme="minorHAnsi" w:ascii="Times" w:hAnsi="Times"/>
          <w:sz w:val="22"/>
          <w:szCs w:val="22"/>
          <w:lang w:eastAsia="en-US"/>
        </w:rPr>
      </w:r>
    </w:p>
    <w:p>
      <w:pPr>
        <w:pStyle w:val="Normal"/>
        <w:widowControl/>
        <w:rPr>
          <w:rFonts w:ascii="Times" w:hAnsi="Times" w:eastAsia="Calibri" w:cs="AppleSystemUIFont" w:eastAsiaTheme="minorHAnsi"/>
          <w:sz w:val="22"/>
          <w:szCs w:val="22"/>
          <w:lang w:eastAsia="en-US"/>
        </w:rPr>
      </w:pPr>
      <w:r>
        <w:rPr>
          <w:rFonts w:eastAsia="Calibri" w:cs="AppleSystemUIFont" w:eastAsiaTheme="minorHAnsi" w:ascii="Times" w:hAnsi="Times"/>
          <w:sz w:val="22"/>
          <w:szCs w:val="22"/>
          <w:lang w:eastAsia="en-US"/>
        </w:rPr>
      </w:r>
    </w:p>
    <w:p>
      <w:pPr>
        <w:pStyle w:val="Normal"/>
        <w:widowControl/>
        <w:rPr>
          <w:rFonts w:ascii="Times" w:hAnsi="Times" w:eastAsia="Calibri" w:cs="AppleSystemUIFont" w:eastAsiaTheme="minorHAnsi"/>
          <w:sz w:val="22"/>
          <w:szCs w:val="22"/>
          <w:lang w:eastAsia="en-US"/>
        </w:rPr>
      </w:pPr>
      <w:r>
        <w:rPr>
          <w:rFonts w:eastAsia="Calibri" w:cs="AppleSystemUIFontBold" w:ascii="Times" w:hAnsi="Times" w:eastAsiaTheme="minorHAnsi"/>
          <w:b/>
          <w:bCs/>
          <w:sz w:val="22"/>
          <w:szCs w:val="22"/>
          <w:lang w:eastAsia="en-US"/>
        </w:rPr>
        <w:t>KONTAKTY</w:t>
      </w:r>
    </w:p>
    <w:p>
      <w:pPr>
        <w:pStyle w:val="Normal"/>
        <w:widowControl/>
        <w:rPr>
          <w:rFonts w:ascii="Times" w:hAnsi="Times" w:eastAsia="Calibri" w:cs="AppleSystemUIFontBold" w:eastAsiaTheme="minorHAnsi"/>
          <w:b/>
          <w:b/>
          <w:bCs/>
          <w:sz w:val="20"/>
          <w:szCs w:val="20"/>
          <w:u w:val="single"/>
          <w:lang w:eastAsia="en-US"/>
        </w:rPr>
      </w:pPr>
      <w:r>
        <w:rPr>
          <w:rFonts w:eastAsia="Calibri" w:cs="AppleSystemUIFontBold" w:ascii="Times" w:hAnsi="Times" w:eastAsiaTheme="minorHAnsi"/>
          <w:b/>
          <w:bCs/>
          <w:sz w:val="20"/>
          <w:szCs w:val="20"/>
          <w:u w:val="single"/>
          <w:lang w:eastAsia="en-US"/>
        </w:rPr>
        <w:t xml:space="preserve">Světla-zvuk </w:t>
      </w:r>
    </w:p>
    <w:p>
      <w:pPr>
        <w:pStyle w:val="Normal"/>
        <w:widowControl/>
        <w:rPr/>
      </w:pPr>
      <w:r>
        <w:rPr>
          <w:rFonts w:eastAsia="Calibri" w:cs="AppleSystemUIFont" w:ascii="Times" w:hAnsi="Times" w:eastAsiaTheme="minorHAnsi"/>
          <w:sz w:val="20"/>
          <w:szCs w:val="20"/>
          <w:lang w:eastAsia="en-US"/>
        </w:rPr>
        <w:t xml:space="preserve">Dan Holomý, tel.: xxxxx, e-mail: </w:t>
      </w:r>
      <w:hyperlink r:id="rId2">
        <w:r>
          <w:rPr>
            <w:rStyle w:val="Style"/>
            <w:rFonts w:eastAsia="Calibri" w:cs="AppleSystemUIFont" w:ascii="Times" w:hAnsi="Times" w:eastAsiaTheme="minorHAnsi"/>
            <w:color w:val="000000" w:themeColor="text1"/>
            <w:sz w:val="20"/>
            <w:szCs w:val="20"/>
            <w:lang w:eastAsia="en-US"/>
          </w:rPr>
          <w:t>x</w:t>
        </w:r>
      </w:hyperlink>
      <w:r>
        <w:rPr>
          <w:rFonts w:eastAsia="Calibri" w:cs="AppleSystemUIFont" w:ascii="Times" w:hAnsi="Times" w:eastAsiaTheme="minorHAnsi"/>
          <w:color w:val="000000" w:themeColor="text1"/>
          <w:sz w:val="20"/>
          <w:szCs w:val="20"/>
          <w:lang w:eastAsia="en-US"/>
        </w:rPr>
        <w:t>xxxx</w:t>
      </w:r>
    </w:p>
    <w:p>
      <w:pPr>
        <w:pStyle w:val="Normal"/>
        <w:widowControl/>
        <w:rPr>
          <w:rFonts w:ascii="Times" w:hAnsi="Times" w:eastAsia="Calibri" w:cs="AppleSystemUIFontBold" w:eastAsiaTheme="minorHAnsi"/>
          <w:b/>
          <w:b/>
          <w:bCs/>
          <w:sz w:val="20"/>
          <w:szCs w:val="20"/>
          <w:u w:val="single"/>
          <w:lang w:eastAsia="en-US"/>
        </w:rPr>
      </w:pPr>
      <w:r>
        <w:rPr>
          <w:rFonts w:eastAsia="Calibri" w:cs="AppleSystemUIFontBold" w:ascii="Times" w:hAnsi="Times" w:eastAsiaTheme="minorHAnsi"/>
          <w:b/>
          <w:bCs/>
          <w:sz w:val="20"/>
          <w:szCs w:val="20"/>
          <w:u w:val="single"/>
          <w:lang w:eastAsia="en-US"/>
        </w:rPr>
        <w:t>Scéna</w:t>
      </w:r>
    </w:p>
    <w:p>
      <w:pPr>
        <w:pStyle w:val="Normal"/>
        <w:widowControl/>
        <w:rPr/>
      </w:pPr>
      <w:r>
        <w:rPr>
          <w:rFonts w:eastAsia="Calibri" w:cs="AppleSystemUIFontBold" w:ascii="Times" w:hAnsi="Times" w:eastAsiaTheme="minorHAnsi"/>
          <w:sz w:val="20"/>
          <w:szCs w:val="20"/>
          <w:lang w:eastAsia="en-US"/>
        </w:rPr>
        <w:t>Vlastislav Schamberger,</w:t>
      </w:r>
      <w:r>
        <w:rPr>
          <w:rFonts w:eastAsia="Calibri" w:cs="AppleSystemUIFontBold" w:ascii="Times" w:hAnsi="Times" w:eastAsiaTheme="minorHAnsi"/>
          <w:b/>
          <w:bCs/>
          <w:sz w:val="20"/>
          <w:szCs w:val="20"/>
          <w:lang w:eastAsia="en-US"/>
        </w:rPr>
        <w:t xml:space="preserve"> </w:t>
      </w:r>
      <w:r>
        <w:rPr>
          <w:rFonts w:eastAsia="Calibri" w:cs="AppleSystemUIFont" w:ascii="Times" w:hAnsi="Times" w:eastAsiaTheme="minorHAnsi"/>
          <w:sz w:val="20"/>
          <w:szCs w:val="20"/>
          <w:lang w:eastAsia="en-US"/>
        </w:rPr>
        <w:t>tel.: xxxxx, e-mail: xxxxx</w:t>
      </w:r>
    </w:p>
    <w:p>
      <w:pPr>
        <w:pStyle w:val="ListParagraph"/>
        <w:ind w:left="284" w:hanging="0"/>
        <w:jc w:val="center"/>
        <w:rPr>
          <w:sz w:val="16"/>
          <w:szCs w:val="16"/>
        </w:rPr>
      </w:pPr>
      <w:r>
        <w:rPr>
          <w:sz w:val="16"/>
          <w:szCs w:val="16"/>
        </w:rPr>
      </w:r>
    </w:p>
    <w:p>
      <w:pPr>
        <w:pStyle w:val="Normal"/>
        <w:rPr>
          <w:sz w:val="16"/>
          <w:szCs w:val="16"/>
        </w:rPr>
      </w:pPr>
      <w:r>
        <w:rPr>
          <w:sz w:val="16"/>
          <w:szCs w:val="16"/>
        </w:rPr>
      </w:r>
    </w:p>
    <w:p>
      <w:pPr>
        <w:pStyle w:val="ListParagraph"/>
        <w:ind w:left="284" w:hanging="0"/>
        <w:jc w:val="center"/>
        <w:rPr>
          <w:sz w:val="16"/>
          <w:szCs w:val="16"/>
        </w:rPr>
      </w:pPr>
      <w:r>
        <w:rPr>
          <w:sz w:val="16"/>
          <w:szCs w:val="16"/>
        </w:rPr>
      </w:r>
    </w:p>
    <w:p>
      <w:pPr>
        <w:pStyle w:val="Normal"/>
        <w:jc w:val="center"/>
        <w:rPr/>
      </w:pPr>
      <w:r>
        <w:rPr/>
      </w:r>
    </w:p>
    <w:sectPr>
      <w:type w:val="nextPage"/>
      <w:pgSz w:w="11906" w:h="16838"/>
      <w:pgMar w:left="1417" w:right="1417" w:header="0" w:top="1417" w:footer="0" w:bottom="993"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Times New Roman">
    <w:charset w:val="ee"/>
    <w:family w:val="roman"/>
    <w:pitch w:val="variable"/>
  </w:font>
  <w:font w:name="Tahoma">
    <w:charset w:val="ee"/>
    <w:family w:val="roman"/>
    <w:pitch w:val="variable"/>
  </w:font>
  <w:font w:name="Liberation Sans">
    <w:altName w:val="Arial"/>
    <w:charset w:val="ee"/>
    <w:family w:val="roman"/>
    <w:pitch w:val="variable"/>
  </w:font>
  <w:font w:name="Arial">
    <w:charset w:val="ee"/>
    <w:family w:val="roman"/>
    <w:pitch w:val="variable"/>
  </w:font>
  <w:font w:name="Verdana">
    <w:charset w:val="ee"/>
    <w:family w:val="roman"/>
    <w:pitch w:val="variable"/>
  </w:font>
  <w:font w:name="Courier New">
    <w:charset w:val="ee"/>
    <w:family w:val="roman"/>
    <w:pitch w:val="variable"/>
  </w:font>
  <w:font w:name="Times">
    <w:altName w:val="Times New Roman"/>
    <w:charset w:val="ee"/>
    <w:family w:val="roman"/>
    <w:pitch w:val="variable"/>
  </w:font>
  <w:font w:name="AppleSystemUIFont">
    <w:charset w:val="ee"/>
    <w:family w:val="roman"/>
    <w:pitch w:val="variable"/>
  </w:font>
  <w:font w:name="Wingdings">
    <w:charset w:val="02"/>
    <w:family w:val="auto"/>
    <w:pitch w:val="variable"/>
  </w:font>
  <w:font w:name="Courier New">
    <w:charset w:val="01"/>
    <w:family w:val="modern"/>
    <w:pitch w:val="fixed"/>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lvl w:ilvl="0">
      <w:start w:val="1"/>
      <w:numFmt w:val="decimal"/>
      <w:lvlText w:val="%1."/>
      <w:lvlJc w:val="left"/>
      <w:pPr>
        <w:ind w:left="720" w:hanging="360"/>
      </w:pPr>
      <w:rPr>
        <w:sz w:val="16"/>
        <w:b/>
        <w:rFonts w:eastAsia="ＭＳ 明朝"/>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lvl w:ilvl="0">
      <w:start w:val="1"/>
      <w:numFmt w:val="lowerLetter"/>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lvl w:ilvl="0">
      <w:start w:val="1"/>
      <w:numFmt w:val="decimal"/>
      <w:lvlText w:val="%1."/>
      <w:lvlJc w:val="left"/>
      <w:pPr>
        <w:tabs>
          <w:tab w:val="num" w:pos="340"/>
        </w:tabs>
        <w:ind w:left="340" w:hanging="340"/>
      </w:pPr>
      <w:rPr>
        <w:sz w:val="16"/>
        <w:i w:val="false"/>
        <w:b w:val="fals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lvl w:ilvl="0">
      <w:start w:val="1"/>
      <w:numFmt w:val="decimal"/>
      <w:lvlText w:val="%1."/>
      <w:lvlJc w:val="left"/>
      <w:pPr>
        <w:tabs>
          <w:tab w:val="num" w:pos="340"/>
        </w:tabs>
        <w:ind w:left="340" w:hanging="340"/>
      </w:pPr>
      <w:rPr>
        <w:sz w:val="16"/>
        <w:i w:val="false"/>
        <w:b w:val="false"/>
        <w:rFonts w:ascii="Times New Roman" w:hAnsi="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lvl w:ilvl="0">
      <w:start w:val="1"/>
      <w:numFmt w:val="bullet"/>
      <w:lvlText w:val=""/>
      <w:lvlJc w:val="left"/>
      <w:pPr>
        <w:ind w:left="1440" w:hanging="360"/>
      </w:pPr>
      <w:rPr>
        <w:rFonts w:ascii="Wingdings" w:hAnsi="Wingdings" w:cs="Wingdings" w:hint="default"/>
        <w:sz w:val="16"/>
        <w:rFonts w:cs="Wingdings"/>
      </w:rPr>
    </w:lvl>
    <w:lvl w:ilvl="1">
      <w:start w:val="1"/>
      <w:numFmt w:val="bullet"/>
      <w:lvlText w:val="o"/>
      <w:lvlJc w:val="left"/>
      <w:pPr>
        <w:ind w:left="2160" w:hanging="360"/>
      </w:pPr>
      <w:rPr>
        <w:rFonts w:ascii="Courier New" w:hAnsi="Courier New" w:cs="Courier New" w:hint="default"/>
        <w:rFonts w:cs="Courier New"/>
      </w:rPr>
    </w:lvl>
    <w:lvl w:ilvl="2">
      <w:start w:val="1"/>
      <w:numFmt w:val="bullet"/>
      <w:lvlText w:val=""/>
      <w:lvlJc w:val="left"/>
      <w:pPr>
        <w:ind w:left="2880" w:hanging="360"/>
      </w:pPr>
      <w:rPr>
        <w:rFonts w:ascii="Wingdings" w:hAnsi="Wingdings" w:cs="Wingdings" w:hint="default"/>
        <w:rFonts w:cs="Wingdings"/>
      </w:rPr>
    </w:lvl>
    <w:lvl w:ilvl="3">
      <w:start w:val="1"/>
      <w:numFmt w:val="bullet"/>
      <w:lvlText w:val=""/>
      <w:lvlJc w:val="left"/>
      <w:pPr>
        <w:ind w:left="3600" w:hanging="360"/>
      </w:pPr>
      <w:rPr>
        <w:rFonts w:ascii="Symbol" w:hAnsi="Symbol" w:cs="Symbol" w:hint="default"/>
        <w:rFonts w:cs="Symbol"/>
      </w:rPr>
    </w:lvl>
    <w:lvl w:ilvl="4">
      <w:start w:val="1"/>
      <w:numFmt w:val="bullet"/>
      <w:lvlText w:val="o"/>
      <w:lvlJc w:val="left"/>
      <w:pPr>
        <w:ind w:left="4320" w:hanging="360"/>
      </w:pPr>
      <w:rPr>
        <w:rFonts w:ascii="Courier New" w:hAnsi="Courier New" w:cs="Courier New" w:hint="default"/>
        <w:rFonts w:cs="Courier New"/>
      </w:rPr>
    </w:lvl>
    <w:lvl w:ilvl="5">
      <w:start w:val="1"/>
      <w:numFmt w:val="bullet"/>
      <w:lvlText w:val=""/>
      <w:lvlJc w:val="left"/>
      <w:pPr>
        <w:ind w:left="5040" w:hanging="360"/>
      </w:pPr>
      <w:rPr>
        <w:rFonts w:ascii="Wingdings" w:hAnsi="Wingdings" w:cs="Wingdings" w:hint="default"/>
        <w:rFonts w:cs="Wingdings"/>
      </w:rPr>
    </w:lvl>
    <w:lvl w:ilvl="6">
      <w:start w:val="1"/>
      <w:numFmt w:val="bullet"/>
      <w:lvlText w:val=""/>
      <w:lvlJc w:val="left"/>
      <w:pPr>
        <w:ind w:left="5760" w:hanging="360"/>
      </w:pPr>
      <w:rPr>
        <w:rFonts w:ascii="Symbol" w:hAnsi="Symbol" w:cs="Symbol" w:hint="default"/>
        <w:rFonts w:cs="Symbol"/>
      </w:rPr>
    </w:lvl>
    <w:lvl w:ilvl="7">
      <w:start w:val="1"/>
      <w:numFmt w:val="bullet"/>
      <w:lvlText w:val="o"/>
      <w:lvlJc w:val="left"/>
      <w:pPr>
        <w:ind w:left="6480" w:hanging="360"/>
      </w:pPr>
      <w:rPr>
        <w:rFonts w:ascii="Courier New" w:hAnsi="Courier New" w:cs="Courier New" w:hint="default"/>
        <w:rFonts w:cs="Courier New"/>
      </w:rPr>
    </w:lvl>
    <w:lvl w:ilvl="8">
      <w:start w:val="1"/>
      <w:numFmt w:val="bullet"/>
      <w:lvlText w:val=""/>
      <w:lvlJc w:val="left"/>
      <w:pPr>
        <w:ind w:left="7200" w:hanging="360"/>
      </w:pPr>
      <w:rPr>
        <w:rFonts w:ascii="Wingdings" w:hAnsi="Wingdings" w:cs="Wingdings" w:hint="default"/>
        <w:rFonts w:cs="Wingdings"/>
      </w:rPr>
    </w:lvl>
  </w:abstractNum>
  <w:abstractNum w:abstractNumId="13">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lvl w:ilvl="0">
      <w:start w:val="1"/>
      <w:numFmt w:val="bullet"/>
      <w:lvlText w:val=""/>
      <w:lvlJc w:val="left"/>
      <w:pPr>
        <w:ind w:left="1080" w:hanging="360"/>
      </w:pPr>
      <w:rPr>
        <w:rFonts w:ascii="Symbol" w:hAnsi="Symbol" w:cs="Symbol" w:hint="default"/>
        <w:sz w:val="16"/>
        <w:rFonts w:cs="Symbol"/>
      </w:rPr>
    </w:lvl>
    <w:lvl w:ilvl="1">
      <w:start w:val="1"/>
      <w:numFmt w:val="bullet"/>
      <w:lvlText w:val="o"/>
      <w:lvlJc w:val="left"/>
      <w:pPr>
        <w:ind w:left="1800" w:hanging="360"/>
      </w:pPr>
      <w:rPr>
        <w:rFonts w:ascii="Courier New" w:hAnsi="Courier New" w:cs="Courier New" w:hint="default"/>
        <w:rFonts w:cs="Courier New"/>
      </w:rPr>
    </w:lvl>
    <w:lvl w:ilvl="2">
      <w:start w:val="1"/>
      <w:numFmt w:val="bullet"/>
      <w:lvlText w:val=""/>
      <w:lvlJc w:val="left"/>
      <w:pPr>
        <w:ind w:left="2520" w:hanging="360"/>
      </w:pPr>
      <w:rPr>
        <w:rFonts w:ascii="Wingdings" w:hAnsi="Wingdings" w:cs="Wingdings" w:hint="default"/>
        <w:rFonts w:cs="Wingdings"/>
      </w:rPr>
    </w:lvl>
    <w:lvl w:ilvl="3">
      <w:start w:val="1"/>
      <w:numFmt w:val="bullet"/>
      <w:lvlText w:val=""/>
      <w:lvlJc w:val="left"/>
      <w:pPr>
        <w:ind w:left="3240" w:hanging="360"/>
      </w:pPr>
      <w:rPr>
        <w:rFonts w:ascii="Symbol" w:hAnsi="Symbol" w:cs="Symbol" w:hint="default"/>
        <w:rFonts w:cs="Symbol"/>
      </w:rPr>
    </w:lvl>
    <w:lvl w:ilvl="4">
      <w:start w:val="1"/>
      <w:numFmt w:val="bullet"/>
      <w:lvlText w:val="o"/>
      <w:lvlJc w:val="left"/>
      <w:pPr>
        <w:ind w:left="3960" w:hanging="360"/>
      </w:pPr>
      <w:rPr>
        <w:rFonts w:ascii="Courier New" w:hAnsi="Courier New" w:cs="Courier New" w:hint="default"/>
        <w:rFonts w:cs="Courier New"/>
      </w:rPr>
    </w:lvl>
    <w:lvl w:ilvl="5">
      <w:start w:val="1"/>
      <w:numFmt w:val="bullet"/>
      <w:lvlText w:val=""/>
      <w:lvlJc w:val="left"/>
      <w:pPr>
        <w:ind w:left="4680" w:hanging="360"/>
      </w:pPr>
      <w:rPr>
        <w:rFonts w:ascii="Wingdings" w:hAnsi="Wingdings" w:cs="Wingdings" w:hint="default"/>
        <w:rFonts w:cs="Wingdings"/>
      </w:rPr>
    </w:lvl>
    <w:lvl w:ilvl="6">
      <w:start w:val="1"/>
      <w:numFmt w:val="bullet"/>
      <w:lvlText w:val=""/>
      <w:lvlJc w:val="left"/>
      <w:pPr>
        <w:ind w:left="5400" w:hanging="360"/>
      </w:pPr>
      <w:rPr>
        <w:rFonts w:ascii="Symbol" w:hAnsi="Symbol" w:cs="Symbol" w:hint="default"/>
        <w:rFonts w:cs="Symbol"/>
      </w:rPr>
    </w:lvl>
    <w:lvl w:ilvl="7">
      <w:start w:val="1"/>
      <w:numFmt w:val="bullet"/>
      <w:lvlText w:val="o"/>
      <w:lvlJc w:val="left"/>
      <w:pPr>
        <w:ind w:left="6120" w:hanging="360"/>
      </w:pPr>
      <w:rPr>
        <w:rFonts w:ascii="Courier New" w:hAnsi="Courier New" w:cs="Courier New" w:hint="default"/>
        <w:rFonts w:cs="Courier New"/>
      </w:rPr>
    </w:lvl>
    <w:lvl w:ilvl="8">
      <w:start w:val="1"/>
      <w:numFmt w:val="bullet"/>
      <w:lvlText w:val=""/>
      <w:lvlJc w:val="left"/>
      <w:pPr>
        <w:ind w:left="6840" w:hanging="360"/>
      </w:pPr>
      <w:rPr>
        <w:rFonts w:ascii="Wingdings" w:hAnsi="Wingdings" w:cs="Wingdings" w:hint="default"/>
        <w:rFonts w:cs="Wingdings"/>
      </w:rPr>
    </w:lvl>
  </w:abstractNum>
  <w:abstractNum w:abstractNumId="15">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w="http://schemas.openxmlformats.org/wordprocessingml/2006/main">
  <w:zoom w:percent="116"/>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cs-CZ"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cs-CZ" w:eastAsia="en-US"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a33cd"/>
    <w:pPr>
      <w:widowControl w:val="false"/>
      <w:bidi w:val="0"/>
      <w:spacing w:lineRule="auto" w:line="240" w:before="0" w:after="0"/>
      <w:jc w:val="left"/>
    </w:pPr>
    <w:rPr>
      <w:rFonts w:ascii="Times New Roman" w:hAnsi="Times New Roman" w:eastAsia="ＭＳ 明朝" w:cs="Times New Roman" w:eastAsiaTheme="minorEastAsia"/>
      <w:color w:val="auto"/>
      <w:kern w:val="0"/>
      <w:sz w:val="24"/>
      <w:szCs w:val="24"/>
      <w:lang w:val="cs-CZ" w:eastAsia="cs-CZ" w:bidi="ar-SA"/>
    </w:rPr>
  </w:style>
  <w:style w:type="character" w:styleId="DefaultParagraphFont" w:default="1">
    <w:name w:val="Default Paragraph Font"/>
    <w:uiPriority w:val="1"/>
    <w:semiHidden/>
    <w:unhideWhenUsed/>
    <w:qFormat/>
    <w:rPr/>
  </w:style>
  <w:style w:type="character" w:styleId="FontStyle23" w:customStyle="1">
    <w:name w:val="Font Style23"/>
    <w:basedOn w:val="DefaultParagraphFont"/>
    <w:uiPriority w:val="99"/>
    <w:qFormat/>
    <w:rsid w:val="00fa33cd"/>
    <w:rPr>
      <w:rFonts w:ascii="Times New Roman" w:hAnsi="Times New Roman" w:cs="Times New Roman"/>
      <w:b/>
      <w:bCs/>
      <w:color w:val="000000"/>
      <w:sz w:val="34"/>
      <w:szCs w:val="34"/>
    </w:rPr>
  </w:style>
  <w:style w:type="character" w:styleId="FontStyle24" w:customStyle="1">
    <w:name w:val="Font Style24"/>
    <w:basedOn w:val="DefaultParagraphFont"/>
    <w:uiPriority w:val="99"/>
    <w:qFormat/>
    <w:rsid w:val="00fa33cd"/>
    <w:rPr>
      <w:rFonts w:ascii="Times New Roman" w:hAnsi="Times New Roman" w:cs="Times New Roman"/>
      <w:b/>
      <w:bCs/>
      <w:i/>
      <w:iCs/>
      <w:color w:val="000000"/>
      <w:sz w:val="18"/>
      <w:szCs w:val="18"/>
    </w:rPr>
  </w:style>
  <w:style w:type="character" w:styleId="Platne1" w:customStyle="1">
    <w:name w:val="platne1"/>
    <w:basedOn w:val="DefaultParagraphFont"/>
    <w:uiPriority w:val="99"/>
    <w:qFormat/>
    <w:rsid w:val="00fa33cd"/>
    <w:rPr>
      <w:rFonts w:ascii="Times New Roman" w:hAnsi="Times New Roman" w:cs="Times New Roman"/>
      <w:w w:val="120"/>
    </w:rPr>
  </w:style>
  <w:style w:type="character" w:styleId="Annotationreference">
    <w:name w:val="annotation reference"/>
    <w:basedOn w:val="DefaultParagraphFont"/>
    <w:uiPriority w:val="99"/>
    <w:semiHidden/>
    <w:unhideWhenUsed/>
    <w:qFormat/>
    <w:rsid w:val="00fa33cd"/>
    <w:rPr>
      <w:sz w:val="16"/>
      <w:szCs w:val="16"/>
    </w:rPr>
  </w:style>
  <w:style w:type="character" w:styleId="TextkomenteChar" w:customStyle="1">
    <w:name w:val="Text komentáře Char"/>
    <w:basedOn w:val="DefaultParagraphFont"/>
    <w:link w:val="Textkomente"/>
    <w:uiPriority w:val="99"/>
    <w:semiHidden/>
    <w:qFormat/>
    <w:rsid w:val="00fa33cd"/>
    <w:rPr>
      <w:rFonts w:ascii="Times New Roman" w:hAnsi="Times New Roman" w:eastAsia="ＭＳ 明朝" w:cs="Times New Roman" w:eastAsiaTheme="minorEastAsia"/>
      <w:sz w:val="20"/>
      <w:szCs w:val="20"/>
      <w:lang w:eastAsia="cs-CZ"/>
    </w:rPr>
  </w:style>
  <w:style w:type="character" w:styleId="TextbublinyChar" w:customStyle="1">
    <w:name w:val="Text bubliny Char"/>
    <w:basedOn w:val="DefaultParagraphFont"/>
    <w:link w:val="Textbubliny"/>
    <w:uiPriority w:val="99"/>
    <w:semiHidden/>
    <w:qFormat/>
    <w:rsid w:val="00fa33cd"/>
    <w:rPr>
      <w:rFonts w:ascii="Tahoma" w:hAnsi="Tahoma" w:eastAsia="ＭＳ 明朝" w:cs="Tahoma" w:eastAsiaTheme="minorEastAsia"/>
      <w:sz w:val="16"/>
      <w:szCs w:val="16"/>
      <w:lang w:eastAsia="cs-CZ"/>
    </w:rPr>
  </w:style>
  <w:style w:type="character" w:styleId="PedmtkomenteChar" w:customStyle="1">
    <w:name w:val="Předmět komentáře Char"/>
    <w:basedOn w:val="TextkomenteChar"/>
    <w:link w:val="Pedmtkomente"/>
    <w:uiPriority w:val="99"/>
    <w:semiHidden/>
    <w:qFormat/>
    <w:rsid w:val="000f19a6"/>
    <w:rPr>
      <w:rFonts w:ascii="Times New Roman" w:hAnsi="Times New Roman" w:eastAsia="ＭＳ 明朝" w:cs="Times New Roman" w:eastAsiaTheme="minorEastAsia"/>
      <w:b/>
      <w:bCs/>
      <w:sz w:val="20"/>
      <w:szCs w:val="20"/>
      <w:lang w:eastAsia="cs-CZ"/>
    </w:rPr>
  </w:style>
  <w:style w:type="character" w:styleId="ZkladntextChar" w:customStyle="1">
    <w:name w:val="Základní text Char"/>
    <w:basedOn w:val="DefaultParagraphFont"/>
    <w:link w:val="Zkladntext"/>
    <w:semiHidden/>
    <w:qFormat/>
    <w:rsid w:val="00ac371d"/>
    <w:rPr>
      <w:rFonts w:ascii="Times New Roman" w:hAnsi="Times New Roman" w:eastAsia="Times New Roman" w:cs="Times New Roman"/>
      <w:sz w:val="24"/>
      <w:szCs w:val="24"/>
      <w:lang w:eastAsia="cs-CZ" w:bidi="cs-CZ"/>
    </w:rPr>
  </w:style>
  <w:style w:type="character" w:styleId="Internetovodkaz">
    <w:name w:val="Internetový odkaz"/>
    <w:basedOn w:val="DefaultParagraphFont"/>
    <w:uiPriority w:val="99"/>
    <w:unhideWhenUsed/>
    <w:rsid w:val="00d429f8"/>
    <w:rPr>
      <w:color w:val="0000FF" w:themeColor="hyperlink"/>
      <w:u w:val="single"/>
    </w:rPr>
  </w:style>
  <w:style w:type="character" w:styleId="FollowedHyperlink">
    <w:name w:val="FollowedHyperlink"/>
    <w:basedOn w:val="DefaultParagraphFont"/>
    <w:uiPriority w:val="99"/>
    <w:semiHidden/>
    <w:unhideWhenUsed/>
    <w:qFormat/>
    <w:rsid w:val="007522aa"/>
    <w:rPr>
      <w:color w:val="800080" w:themeColor="followedHyperlink"/>
      <w:u w:val="single"/>
    </w:rPr>
  </w:style>
  <w:style w:type="character" w:styleId="ZhlavChar" w:customStyle="1">
    <w:name w:val="Záhlaví Char"/>
    <w:basedOn w:val="DefaultParagraphFont"/>
    <w:link w:val="Zhlav"/>
    <w:uiPriority w:val="99"/>
    <w:qFormat/>
    <w:rsid w:val="00ea6bae"/>
    <w:rPr>
      <w:rFonts w:ascii="Times New Roman" w:hAnsi="Times New Roman" w:eastAsia="ＭＳ 明朝" w:cs="Times New Roman" w:eastAsiaTheme="minorEastAsia"/>
      <w:sz w:val="24"/>
      <w:szCs w:val="24"/>
      <w:lang w:eastAsia="cs-CZ"/>
    </w:rPr>
  </w:style>
  <w:style w:type="character" w:styleId="ZpatChar" w:customStyle="1">
    <w:name w:val="Zápatí Char"/>
    <w:basedOn w:val="DefaultParagraphFont"/>
    <w:link w:val="Zpat"/>
    <w:uiPriority w:val="99"/>
    <w:qFormat/>
    <w:rsid w:val="00ea6bae"/>
    <w:rPr>
      <w:rFonts w:ascii="Times New Roman" w:hAnsi="Times New Roman" w:eastAsia="ＭＳ 明朝" w:cs="Times New Roman" w:eastAsiaTheme="minorEastAsia"/>
      <w:sz w:val="24"/>
      <w:szCs w:val="24"/>
      <w:lang w:eastAsia="cs-CZ"/>
    </w:rPr>
  </w:style>
  <w:style w:type="character" w:styleId="Appleconvertedspace" w:customStyle="1">
    <w:name w:val="apple-converted-space"/>
    <w:basedOn w:val="DefaultParagraphFont"/>
    <w:qFormat/>
    <w:rsid w:val="00e75c7b"/>
    <w:rPr/>
  </w:style>
  <w:style w:type="character" w:styleId="UnresolvedMention">
    <w:name w:val="Unresolved Mention"/>
    <w:basedOn w:val="DefaultParagraphFont"/>
    <w:uiPriority w:val="99"/>
    <w:semiHidden/>
    <w:unhideWhenUsed/>
    <w:qFormat/>
    <w:rsid w:val="00a86f67"/>
    <w:rPr>
      <w:color w:val="605E5C"/>
      <w:shd w:fill="E1DFDD" w:val="clear"/>
    </w:rPr>
  </w:style>
  <w:style w:type="character" w:styleId="Strong">
    <w:name w:val="Strong"/>
    <w:basedOn w:val="DefaultParagraphFont"/>
    <w:uiPriority w:val="22"/>
    <w:qFormat/>
    <w:rsid w:val="00921ad4"/>
    <w:rPr>
      <w:b/>
      <w:bCs/>
    </w:rPr>
  </w:style>
  <w:style w:type="paragraph" w:styleId="Nadpis">
    <w:name w:val="Nadpis"/>
    <w:basedOn w:val="Normal"/>
    <w:next w:val="Tlotextu"/>
    <w:qFormat/>
    <w:pPr>
      <w:keepNext w:val="true"/>
      <w:spacing w:before="240" w:after="120"/>
    </w:pPr>
    <w:rPr>
      <w:rFonts w:ascii="Liberation Sans" w:hAnsi="Liberation Sans" w:eastAsia="Microsoft YaHei" w:cs="Arial"/>
      <w:sz w:val="28"/>
      <w:szCs w:val="28"/>
    </w:rPr>
  </w:style>
  <w:style w:type="paragraph" w:styleId="Tlotextu">
    <w:name w:val="Body Text"/>
    <w:basedOn w:val="Normal"/>
    <w:link w:val="ZkladntextChar"/>
    <w:semiHidden/>
    <w:unhideWhenUsed/>
    <w:rsid w:val="00ac371d"/>
    <w:pPr>
      <w:suppressAutoHyphens w:val="true"/>
    </w:pPr>
    <w:rPr>
      <w:rFonts w:eastAsia="Times New Roman"/>
      <w:lang w:bidi="cs-CZ"/>
    </w:rPr>
  </w:style>
  <w:style w:type="paragraph" w:styleId="Seznam">
    <w:name w:val="List"/>
    <w:basedOn w:val="Tlotextu"/>
    <w:pPr/>
    <w:rPr>
      <w:rFonts w:cs="Arial"/>
    </w:rPr>
  </w:style>
  <w:style w:type="paragraph" w:styleId="Popisek">
    <w:name w:val="Caption"/>
    <w:basedOn w:val="Normal"/>
    <w:qFormat/>
    <w:pPr>
      <w:suppressLineNumbers/>
      <w:spacing w:before="120" w:after="120"/>
    </w:pPr>
    <w:rPr>
      <w:rFonts w:cs="Arial"/>
      <w:i/>
      <w:iCs/>
      <w:sz w:val="24"/>
      <w:szCs w:val="24"/>
    </w:rPr>
  </w:style>
  <w:style w:type="paragraph" w:styleId="Rejstk">
    <w:name w:val="Rejstřík"/>
    <w:basedOn w:val="Normal"/>
    <w:qFormat/>
    <w:pPr>
      <w:suppressLineNumbers/>
    </w:pPr>
    <w:rPr>
      <w:rFonts w:cs="Arial"/>
    </w:rPr>
  </w:style>
  <w:style w:type="paragraph" w:styleId="ListParagraph">
    <w:name w:val="List Paragraph"/>
    <w:basedOn w:val="Normal"/>
    <w:uiPriority w:val="34"/>
    <w:qFormat/>
    <w:rsid w:val="00fa33cd"/>
    <w:pPr>
      <w:spacing w:before="0" w:after="0"/>
      <w:ind w:left="720" w:hanging="0"/>
      <w:contextualSpacing/>
    </w:pPr>
    <w:rPr/>
  </w:style>
  <w:style w:type="paragraph" w:styleId="Style21" w:customStyle="1">
    <w:name w:val="Style2"/>
    <w:basedOn w:val="Normal"/>
    <w:uiPriority w:val="99"/>
    <w:qFormat/>
    <w:rsid w:val="00fa33cd"/>
    <w:pPr/>
    <w:rPr/>
  </w:style>
  <w:style w:type="paragraph" w:styleId="Style31" w:customStyle="1">
    <w:name w:val="Style3"/>
    <w:basedOn w:val="Normal"/>
    <w:uiPriority w:val="99"/>
    <w:qFormat/>
    <w:rsid w:val="00fa33cd"/>
    <w:pPr>
      <w:spacing w:lineRule="exact" w:line="226"/>
      <w:jc w:val="center"/>
    </w:pPr>
    <w:rPr/>
  </w:style>
  <w:style w:type="paragraph" w:styleId="Style91" w:customStyle="1">
    <w:name w:val="Style9"/>
    <w:basedOn w:val="Normal"/>
    <w:uiPriority w:val="99"/>
    <w:qFormat/>
    <w:rsid w:val="00fa33cd"/>
    <w:pPr/>
    <w:rPr/>
  </w:style>
  <w:style w:type="paragraph" w:styleId="Style15" w:customStyle="1">
    <w:name w:val="Style15"/>
    <w:basedOn w:val="Normal"/>
    <w:uiPriority w:val="99"/>
    <w:qFormat/>
    <w:rsid w:val="00fa33cd"/>
    <w:pPr/>
    <w:rPr/>
  </w:style>
  <w:style w:type="paragraph" w:styleId="Annotationtext">
    <w:name w:val="annotation text"/>
    <w:basedOn w:val="Normal"/>
    <w:link w:val="TextkomenteChar"/>
    <w:uiPriority w:val="99"/>
    <w:semiHidden/>
    <w:unhideWhenUsed/>
    <w:qFormat/>
    <w:rsid w:val="00fa33cd"/>
    <w:pPr/>
    <w:rPr>
      <w:sz w:val="20"/>
      <w:szCs w:val="20"/>
    </w:rPr>
  </w:style>
  <w:style w:type="paragraph" w:styleId="BalloonText">
    <w:name w:val="Balloon Text"/>
    <w:basedOn w:val="Normal"/>
    <w:link w:val="TextbublinyChar"/>
    <w:uiPriority w:val="99"/>
    <w:semiHidden/>
    <w:unhideWhenUsed/>
    <w:qFormat/>
    <w:rsid w:val="00fa33cd"/>
    <w:pPr/>
    <w:rPr>
      <w:rFonts w:ascii="Tahoma" w:hAnsi="Tahoma" w:cs="Tahoma"/>
      <w:sz w:val="16"/>
      <w:szCs w:val="16"/>
    </w:rPr>
  </w:style>
  <w:style w:type="paragraph" w:styleId="Annotationsubject">
    <w:name w:val="annotation subject"/>
    <w:basedOn w:val="Annotationtext"/>
    <w:next w:val="Annotationtext"/>
    <w:link w:val="PedmtkomenteChar"/>
    <w:uiPriority w:val="99"/>
    <w:semiHidden/>
    <w:unhideWhenUsed/>
    <w:qFormat/>
    <w:rsid w:val="000f19a6"/>
    <w:pPr/>
    <w:rPr>
      <w:b/>
      <w:bCs/>
    </w:rPr>
  </w:style>
  <w:style w:type="paragraph" w:styleId="Sslem" w:customStyle="1">
    <w:name w:val="s číslem"/>
    <w:qFormat/>
    <w:rsid w:val="009c3d6f"/>
    <w:pPr>
      <w:widowControl/>
      <w:bidi w:val="0"/>
      <w:spacing w:lineRule="auto" w:line="240" w:before="0" w:after="0"/>
      <w:jc w:val="left"/>
    </w:pPr>
    <w:rPr>
      <w:rFonts w:ascii="Arial" w:hAnsi="Arial" w:eastAsia="Times New Roman" w:cs="Times New Roman"/>
      <w:color w:val="000000"/>
      <w:kern w:val="0"/>
      <w:sz w:val="20"/>
      <w:szCs w:val="20"/>
      <w:lang w:val="cs-CZ" w:eastAsia="cs-CZ" w:bidi="ar-SA"/>
    </w:rPr>
  </w:style>
  <w:style w:type="paragraph" w:styleId="Body1CtrlShiftB1" w:customStyle="1">
    <w:name w:val="Body 1 (CtrlShift B+1)"/>
    <w:qFormat/>
    <w:rsid w:val="00821600"/>
    <w:pPr>
      <w:widowControl/>
      <w:bidi w:val="0"/>
      <w:spacing w:lineRule="auto" w:line="290" w:before="0" w:after="140"/>
      <w:ind w:left="567" w:hanging="0"/>
      <w:jc w:val="both"/>
    </w:pPr>
    <w:rPr>
      <w:rFonts w:ascii="Verdana" w:hAnsi="Verdana" w:eastAsia="Times New Roman" w:cs="Times New Roman"/>
      <w:color w:val="auto"/>
      <w:kern w:val="2"/>
      <w:sz w:val="18"/>
      <w:szCs w:val="24"/>
      <w:lang w:val="en-GB" w:eastAsia="en-US" w:bidi="ar-SA"/>
    </w:rPr>
  </w:style>
  <w:style w:type="paragraph" w:styleId="Zhlavazpat">
    <w:name w:val="Záhlaví a zápatí"/>
    <w:basedOn w:val="Normal"/>
    <w:qFormat/>
    <w:pPr/>
    <w:rPr/>
  </w:style>
  <w:style w:type="paragraph" w:styleId="Zhlav">
    <w:name w:val="Header"/>
    <w:basedOn w:val="Normal"/>
    <w:link w:val="ZhlavChar"/>
    <w:uiPriority w:val="99"/>
    <w:unhideWhenUsed/>
    <w:rsid w:val="00ea6bae"/>
    <w:pPr>
      <w:tabs>
        <w:tab w:val="clear" w:pos="708"/>
        <w:tab w:val="center" w:pos="4153" w:leader="none"/>
        <w:tab w:val="right" w:pos="8306" w:leader="none"/>
      </w:tabs>
    </w:pPr>
    <w:rPr/>
  </w:style>
  <w:style w:type="paragraph" w:styleId="Zpat">
    <w:name w:val="Footer"/>
    <w:basedOn w:val="Normal"/>
    <w:link w:val="ZpatChar"/>
    <w:uiPriority w:val="99"/>
    <w:unhideWhenUsed/>
    <w:rsid w:val="00ea6bae"/>
    <w:pPr>
      <w:tabs>
        <w:tab w:val="clear" w:pos="708"/>
        <w:tab w:val="center" w:pos="4153" w:leader="none"/>
        <w:tab w:val="right" w:pos="8306" w:leader="none"/>
      </w:tabs>
    </w:pPr>
    <w:rPr/>
  </w:style>
  <w:style w:type="paragraph" w:styleId="Default" w:customStyle="1">
    <w:name w:val="Default"/>
    <w:qFormat/>
    <w:rsid w:val="00203eb3"/>
    <w:pPr>
      <w:widowControl/>
      <w:bidi w:val="0"/>
      <w:spacing w:lineRule="auto" w:line="240" w:before="0" w:after="0"/>
      <w:jc w:val="left"/>
    </w:pPr>
    <w:rPr>
      <w:rFonts w:ascii="Courier New" w:hAnsi="Courier New" w:eastAsia="Calibri" w:cs="Courier New"/>
      <w:color w:val="000000"/>
      <w:kern w:val="0"/>
      <w:sz w:val="24"/>
      <w:szCs w:val="24"/>
      <w:lang w:val="cs-CZ" w:eastAsia="cs-CZ" w:bidi="ar-SA"/>
    </w:rPr>
  </w:style>
  <w:style w:type="paragraph" w:styleId="NormalWeb">
    <w:name w:val="Normal (Web)"/>
    <w:basedOn w:val="Normal"/>
    <w:uiPriority w:val="99"/>
    <w:unhideWhenUsed/>
    <w:qFormat/>
    <w:rsid w:val="00031ebf"/>
    <w:pPr>
      <w:widowControl/>
      <w:spacing w:beforeAutospacing="1" w:afterAutospacing="1"/>
    </w:pPr>
    <w:rPr>
      <w:rFonts w:eastAsia="Calibri" w:eastAsiaTheme="minorHAnsi"/>
      <w:sz w:val="20"/>
      <w:szCs w:val="20"/>
      <w:lang w:eastAsia="en-US"/>
    </w:rPr>
  </w:style>
  <w:style w:type="numbering" w:styleId="NoList" w:default="1">
    <w:name w:val="No List"/>
    <w:uiPriority w:val="99"/>
    <w:semiHidden/>
    <w:unhideWhenUsed/>
    <w:qFormat/>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dholomy@gmail.com"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Application>LibreOffice/6.3.4.2$Windows_X86_64 LibreOffice_project/60da17e045e08f1793c57c00ba83cdfce946d0aa</Application>
  <Pages>4</Pages>
  <Words>2552</Words>
  <Characters>15472</Characters>
  <CharactersWithSpaces>19185</CharactersWithSpaces>
  <Paragraphs>152</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2023-08-25T08:15:00Z</dcterms:created>
  <dc:creator>Petra</dc:creator>
  <dc:description/>
  <dc:language>cs-CZ</dc:language>
  <cp:lastModifiedBy/>
  <cp:lastPrinted>2019-11-07T13:31:00Z</cp:lastPrinted>
  <dcterms:modified xsi:type="dcterms:W3CDTF">2023-09-01T11:32:21Z</dcterms:modified>
  <cp:revision>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