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1F" w:rsidRDefault="0034680A" w:rsidP="0034680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15639</wp:posOffset>
            </wp:positionH>
            <wp:positionV relativeFrom="paragraph">
              <wp:posOffset>-3411</wp:posOffset>
            </wp:positionV>
            <wp:extent cx="1371600" cy="43180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2"/>
          <w:szCs w:val="22"/>
        </w:rPr>
        <w:t> </w:t>
      </w:r>
    </w:p>
    <w:p w:rsidR="00DB7D1F" w:rsidRDefault="0034680A">
      <w:pPr>
        <w:pStyle w:val="Nadpis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KUPNÍ SMLOUVA č. C0014834/17/2</w:t>
      </w:r>
    </w:p>
    <w:p w:rsidR="00DB7D1F" w:rsidRDefault="0034680A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Style w:val="Siln"/>
          <w:rFonts w:ascii="Arial" w:eastAsia="Times New Roman" w:hAnsi="Arial" w:cs="Arial"/>
          <w:sz w:val="18"/>
          <w:szCs w:val="18"/>
        </w:rPr>
        <w:t xml:space="preserve">Na dodávku kameniva, uzavřená </w:t>
      </w:r>
      <w:proofErr w:type="gramStart"/>
      <w:r>
        <w:rPr>
          <w:rStyle w:val="Siln"/>
          <w:rFonts w:ascii="Arial" w:eastAsia="Times New Roman" w:hAnsi="Arial" w:cs="Arial"/>
          <w:sz w:val="18"/>
          <w:szCs w:val="18"/>
        </w:rPr>
        <w:t>mezi</w:t>
      </w:r>
      <w:proofErr w:type="gramEnd"/>
    </w:p>
    <w:p w:rsidR="00DB7D1F" w:rsidRDefault="00DB7D1F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7826"/>
      </w:tblGrid>
      <w:tr w:rsidR="00DB7D1F">
        <w:trPr>
          <w:tblCellSpacing w:w="0" w:type="dxa"/>
        </w:trPr>
        <w:tc>
          <w:tcPr>
            <w:tcW w:w="1000" w:type="pct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PRODÁVAJÍCÍM: </w:t>
            </w:r>
          </w:p>
        </w:tc>
        <w:tc>
          <w:tcPr>
            <w:tcW w:w="0" w:type="auto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CEMEX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Sand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b/>
                <w:bCs/>
              </w:rPr>
              <w:t>k.s.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B7D1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B7D1F" w:rsidRDefault="0034680A" w:rsidP="002837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 sídlem v Masarykovo náměstí 207, 763 61 Napajedla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zapsaná v OR vedeném u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Krajský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soud v Brně, A 25355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jehož jménem jedná: Ing. Radek Tyl, Sales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Manager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Style w:val="popisek1"/>
                <w:rFonts w:ascii="Arial" w:eastAsia="Times New Roman" w:hAnsi="Arial" w:cs="Arial"/>
              </w:rPr>
              <w:t xml:space="preserve">mobil: </w:t>
            </w:r>
            <w:r w:rsidR="002837E2">
              <w:rPr>
                <w:rStyle w:val="popisek1"/>
                <w:rFonts w:ascii="Arial" w:eastAsia="Times New Roman" w:hAnsi="Arial" w:cs="Arial"/>
              </w:rPr>
              <w:t>XXXXXXXX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závod: Dobříň (2208)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IČ: 47906201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DIČ: CZ47906201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bankovní spojení: </w:t>
            </w:r>
            <w:r w:rsidR="002837E2">
              <w:rPr>
                <w:rFonts w:ascii="Arial" w:eastAsia="Times New Roman" w:hAnsi="Arial" w:cs="Arial"/>
                <w:sz w:val="22"/>
                <w:szCs w:val="22"/>
              </w:rPr>
              <w:t>XXXXXXXXXXX</w:t>
            </w:r>
          </w:p>
        </w:tc>
      </w:tr>
      <w:tr w:rsidR="00DB7D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</w:tr>
      <w:tr w:rsidR="00DB7D1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KUPUJÍCÍM: </w:t>
            </w:r>
          </w:p>
        </w:tc>
        <w:tc>
          <w:tcPr>
            <w:tcW w:w="0" w:type="auto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Roudnické městské služby, příspěvková organizace</w:t>
            </w:r>
          </w:p>
        </w:tc>
      </w:tr>
      <w:tr w:rsidR="00DB7D1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 sídlem v Žižkova 2482, 413 01 Roudnice nad Labem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zástupce: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IČ: 46773851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DIČ: CZ46773851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bankovní spojení: </w:t>
            </w:r>
          </w:p>
        </w:tc>
      </w:tr>
      <w:tr w:rsidR="00DB7D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B7D1F" w:rsidRDefault="0034680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</w:tr>
    </w:tbl>
    <w:p w:rsidR="00DB7D1F" w:rsidRDefault="00DB7D1F">
      <w:pPr>
        <w:jc w:val="both"/>
        <w:divId w:val="1712728977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DB7D1F">
        <w:trPr>
          <w:divId w:val="1712728977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1.  </w:t>
            </w:r>
          </w:p>
        </w:tc>
        <w:tc>
          <w:tcPr>
            <w:tcW w:w="0" w:type="auto"/>
            <w:hideMark/>
          </w:tcPr>
          <w:p w:rsidR="00DB7D1F" w:rsidRDefault="0034680A">
            <w:pPr>
              <w:jc w:val="both"/>
              <w:divId w:val="1574585662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Číslo objednávky kupujícího: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04/CHU ze dne: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1.3.2017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DB7D1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2.  </w:t>
            </w:r>
          </w:p>
        </w:tc>
        <w:tc>
          <w:tcPr>
            <w:tcW w:w="0" w:type="auto"/>
            <w:hideMark/>
          </w:tcPr>
          <w:p w:rsidR="00DB7D1F" w:rsidRDefault="0034680A">
            <w:pPr>
              <w:jc w:val="both"/>
              <w:divId w:val="1772386017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Dodací lhůta: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od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26.5.2017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28.2.2018 </w:t>
            </w:r>
          </w:p>
        </w:tc>
      </w:tr>
    </w:tbl>
    <w:p w:rsidR="00DB7D1F" w:rsidRDefault="00DB7D1F">
      <w:pPr>
        <w:jc w:val="both"/>
        <w:divId w:val="1923829301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DB7D1F">
        <w:trPr>
          <w:divId w:val="1923829301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3.  </w:t>
            </w:r>
          </w:p>
        </w:tc>
        <w:tc>
          <w:tcPr>
            <w:tcW w:w="0" w:type="auto"/>
            <w:hideMark/>
          </w:tcPr>
          <w:p w:rsidR="00DB7D1F" w:rsidRDefault="0034680A">
            <w:pPr>
              <w:jc w:val="both"/>
              <w:divId w:val="26870920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Místo odběru: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Dobříň (2208) 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DB7D1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4.  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8"/>
              <w:gridCol w:w="7305"/>
            </w:tblGrid>
            <w:tr w:rsidR="00DB7D1F">
              <w:trPr>
                <w:divId w:val="1935934787"/>
                <w:tblCellSpacing w:w="0" w:type="dxa"/>
              </w:trPr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2"/>
                      <w:szCs w:val="22"/>
                    </w:rPr>
                    <w:t>Dodací podmínky: 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Do doby, než bude kupní smlouva podepsána ze strany kupujícího, je možno odebírat materiál po dobu max. 30 dnů na základě potvrzené objednávky.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Nedílnou součástí této smlouvy jsou Všeobecné prodejní a dodací podmínky společnosti CEMEX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Sand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k.s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, jejichž</w:t>
                  </w:r>
                  <w:proofErr w:type="gram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obsah je oběma smluvním stranám znám a jsou s ním bezvýhradně srozuměny.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Záležitosti neupravené touto smlouvou se řídí příslušným ustanovením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zák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č. 89/2012 Sb., Občanského zákoníku v platném znění.</w:t>
                  </w:r>
                </w:p>
              </w:tc>
            </w:tr>
          </w:tbl>
          <w:p w:rsidR="00DB7D1F" w:rsidRDefault="00DB7D1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DB7D1F" w:rsidRDefault="00DB7D1F">
      <w:pPr>
        <w:jc w:val="both"/>
        <w:divId w:val="1620143441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DB7D1F">
        <w:trPr>
          <w:divId w:val="1620143441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5.  </w:t>
            </w:r>
          </w:p>
        </w:tc>
        <w:tc>
          <w:tcPr>
            <w:tcW w:w="0" w:type="auto"/>
            <w:hideMark/>
          </w:tcPr>
          <w:p w:rsidR="00DB7D1F" w:rsidRDefault="0034680A">
            <w:pPr>
              <w:jc w:val="both"/>
              <w:divId w:val="709723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Cena: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1950"/>
              <w:gridCol w:w="1500"/>
              <w:gridCol w:w="4757"/>
            </w:tblGrid>
            <w:tr w:rsidR="00DB7D1F">
              <w:trPr>
                <w:divId w:val="7097235"/>
                <w:tblHeader/>
              </w:trPr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Frakce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Předpokládané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  <w:t>množství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vAlign w:val="center"/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Místo určení</w:t>
                  </w: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Dobříň (2208)</w:t>
                  </w: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0/2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147,00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0/3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146,00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0/4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111,00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0/63 Z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64,00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0/8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81,00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11/22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195,00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16/32 Lib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330,00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4/8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274,00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lastRenderedPageBreak/>
                    <w:t>4/8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350,00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20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8/16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195,00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DB7D1F">
              <w:trPr>
                <w:divId w:val="709723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0" w:type="dxa"/>
                    <w:bottom w:w="2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hlusina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50,00 CZK/t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50 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75" w:type="dxa"/>
                    <w:bottom w:w="20" w:type="dxa"/>
                    <w:right w:w="75" w:type="dxa"/>
                  </w:tcMar>
                  <w:hideMark/>
                </w:tcPr>
                <w:p w:rsidR="00DB7D1F" w:rsidRDefault="00DB7D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7D1F" w:rsidRDefault="0034680A">
            <w:pPr>
              <w:jc w:val="both"/>
              <w:divId w:val="709723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Ceny jsou uvedeny bez DPH.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DB7D1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 xml:space="preserve">6.  </w:t>
            </w:r>
          </w:p>
        </w:tc>
        <w:tc>
          <w:tcPr>
            <w:tcW w:w="0" w:type="auto"/>
            <w:hideMark/>
          </w:tcPr>
          <w:p w:rsidR="00DB7D1F" w:rsidRDefault="0034680A">
            <w:pPr>
              <w:jc w:val="both"/>
              <w:divId w:val="176202231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Množství v tunách: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cca 500 t </w:t>
            </w:r>
          </w:p>
        </w:tc>
      </w:tr>
    </w:tbl>
    <w:p w:rsidR="00DB7D1F" w:rsidRDefault="00DB7D1F">
      <w:pPr>
        <w:jc w:val="both"/>
        <w:divId w:val="174005583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DB7D1F">
        <w:trPr>
          <w:divId w:val="1740055836"/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7.  </w:t>
            </w:r>
          </w:p>
        </w:tc>
        <w:tc>
          <w:tcPr>
            <w:tcW w:w="0" w:type="auto"/>
            <w:hideMark/>
          </w:tcPr>
          <w:p w:rsidR="00DB7D1F" w:rsidRDefault="0034680A">
            <w:pPr>
              <w:jc w:val="both"/>
              <w:divId w:val="192710459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Splatnost faktur: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14 dní</w:t>
            </w:r>
          </w:p>
          <w:p w:rsidR="00DB7D1F" w:rsidRDefault="0034680A">
            <w:pPr>
              <w:pStyle w:val="Normlnweb"/>
              <w:divId w:val="192710459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Při prodlení s úhradou sjednané ceny se sjednává smluvní úrok v částce 0,05% z dlužné částky za každý den prodlení.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450"/>
        <w:gridCol w:w="3935"/>
        <w:gridCol w:w="973"/>
        <w:gridCol w:w="4384"/>
        <w:gridCol w:w="50"/>
      </w:tblGrid>
      <w:tr w:rsidR="00DB7D1F" w:rsidTr="00A71769">
        <w:trPr>
          <w:tblCellSpacing w:w="15" w:type="dxa"/>
        </w:trPr>
        <w:tc>
          <w:tcPr>
            <w:tcW w:w="450" w:type="dxa"/>
            <w:gridSpan w:val="2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DB7D1F" w:rsidRDefault="0034680A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8.  </w:t>
            </w:r>
          </w:p>
        </w:tc>
        <w:tc>
          <w:tcPr>
            <w:tcW w:w="9303" w:type="dxa"/>
            <w:gridSpan w:val="4"/>
            <w:hideMark/>
          </w:tcPr>
          <w:p w:rsidR="00DB7D1F" w:rsidRDefault="0034680A">
            <w:pPr>
              <w:jc w:val="both"/>
              <w:divId w:val="51184157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Příplatky: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DB7D1F" w:rsidRDefault="0034680A">
            <w:pPr>
              <w:numPr>
                <w:ilvl w:val="0"/>
                <w:numId w:val="1"/>
              </w:numPr>
              <w:spacing w:before="100" w:beforeAutospacing="1" w:after="100" w:afterAutospacing="1"/>
              <w:divId w:val="51184157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zimní příplatek 5,- Kč za každou odebranou tunu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(platí v lednu a únoru mimo pravidelnou expedici, minimální odběr 300 tun)</w:t>
            </w:r>
          </w:p>
          <w:p w:rsidR="00DB7D1F" w:rsidRDefault="0034680A">
            <w:pPr>
              <w:numPr>
                <w:ilvl w:val="0"/>
                <w:numId w:val="1"/>
              </w:numPr>
              <w:spacing w:before="100" w:beforeAutospacing="1" w:after="100" w:afterAutospacing="1"/>
              <w:divId w:val="51184157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víkendový příplatek 5,- Kč za každou odebranou tunu (</w:t>
            </w:r>
            <w:proofErr w:type="gramStart"/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sobota)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(minimální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odběr 300 tun) </w:t>
            </w:r>
          </w:p>
          <w:p w:rsidR="00DB7D1F" w:rsidRDefault="0034680A">
            <w:pPr>
              <w:numPr>
                <w:ilvl w:val="0"/>
                <w:numId w:val="1"/>
              </w:numPr>
              <w:spacing w:before="100" w:beforeAutospacing="1" w:after="100" w:afterAutospacing="1"/>
              <w:divId w:val="51184157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neděle a svátky 10,- Kč za každou odebranou tunu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(minimální odběr 300 tun)</w:t>
            </w:r>
          </w:p>
          <w:p w:rsidR="00DB7D1F" w:rsidRDefault="0034680A">
            <w:pPr>
              <w:numPr>
                <w:ilvl w:val="0"/>
                <w:numId w:val="1"/>
              </w:numPr>
              <w:spacing w:before="100" w:beforeAutospacing="1" w:after="100" w:afterAutospacing="1"/>
              <w:divId w:val="51184157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expedice mimo otevírací dobu - 5,- Kč za každou odebranou tunu</w:t>
            </w:r>
          </w:p>
          <w:p w:rsidR="00DB7D1F" w:rsidRDefault="0034680A">
            <w:pPr>
              <w:numPr>
                <w:ilvl w:val="0"/>
                <w:numId w:val="1"/>
              </w:numPr>
              <w:spacing w:before="100" w:beforeAutospacing="1" w:after="100" w:afterAutospacing="1"/>
              <w:divId w:val="51184157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papírová kopie faktury – 20,- Kč/papír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A71769" w:rsidTr="00A71769">
        <w:tblPrEx>
          <w:tblCellSpacing w:w="0" w:type="dxa"/>
        </w:tblPrEx>
        <w:trPr>
          <w:gridBefore w:val="1"/>
          <w:gridAfter w:val="1"/>
          <w:wAfter w:w="5" w:type="dxa"/>
          <w:tblCellSpacing w:w="0" w:type="dxa"/>
        </w:trPr>
        <w:tc>
          <w:tcPr>
            <w:tcW w:w="4373" w:type="dxa"/>
            <w:gridSpan w:val="2"/>
            <w:vAlign w:val="center"/>
            <w:hideMark/>
          </w:tcPr>
          <w:p w:rsidR="00A71769" w:rsidRDefault="00A71769" w:rsidP="00C7086D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Za prodávajícího: </w:t>
            </w:r>
          </w:p>
          <w:p w:rsidR="00A71769" w:rsidRDefault="00A71769" w:rsidP="00C7086D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Ing. Radek Tyl, Sales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948" w:type="dxa"/>
            <w:vAlign w:val="center"/>
            <w:hideMark/>
          </w:tcPr>
          <w:p w:rsidR="00A71769" w:rsidRDefault="00A71769" w:rsidP="00C7086D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4372" w:type="dxa"/>
            <w:vAlign w:val="center"/>
            <w:hideMark/>
          </w:tcPr>
          <w:p w:rsidR="00A71769" w:rsidRDefault="00A71769" w:rsidP="00C7086D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Za kupujícího: </w:t>
            </w:r>
          </w:p>
        </w:tc>
      </w:tr>
      <w:tr w:rsidR="00A71769" w:rsidTr="00A71769">
        <w:tblPrEx>
          <w:tblCellSpacing w:w="0" w:type="dxa"/>
        </w:tblPrEx>
        <w:trPr>
          <w:gridBefore w:val="1"/>
          <w:gridAfter w:val="1"/>
          <w:wAfter w:w="5" w:type="dxa"/>
          <w:tblCellSpacing w:w="0" w:type="dxa"/>
        </w:trPr>
        <w:tc>
          <w:tcPr>
            <w:tcW w:w="4373" w:type="dxa"/>
            <w:gridSpan w:val="2"/>
            <w:vAlign w:val="center"/>
            <w:hideMark/>
          </w:tcPr>
          <w:p w:rsidR="00A71769" w:rsidRDefault="00A71769" w:rsidP="00C7086D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dne: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30.5.2017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A71769" w:rsidRDefault="00A71769" w:rsidP="00C7086D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4372" w:type="dxa"/>
            <w:vAlign w:val="center"/>
            <w:hideMark/>
          </w:tcPr>
          <w:p w:rsidR="00A71769" w:rsidRDefault="00A71769" w:rsidP="00C7086D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dne: </w:t>
            </w:r>
          </w:p>
        </w:tc>
      </w:tr>
    </w:tbl>
    <w:p w:rsidR="00DB7D1F" w:rsidRDefault="00DB7D1F">
      <w:pPr>
        <w:spacing w:after="24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978"/>
        <w:gridCol w:w="4402"/>
      </w:tblGrid>
      <w:tr w:rsidR="00DB7D1F">
        <w:trPr>
          <w:tblCellSpacing w:w="0" w:type="dxa"/>
        </w:trPr>
        <w:tc>
          <w:tcPr>
            <w:tcW w:w="2250" w:type="pct"/>
            <w:vAlign w:val="center"/>
            <w:hideMark/>
          </w:tcPr>
          <w:p w:rsidR="00DB7D1F" w:rsidRDefault="00DB7D1F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B7D1F" w:rsidRDefault="00DB7D1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50" w:type="pct"/>
            <w:vAlign w:val="center"/>
            <w:hideMark/>
          </w:tcPr>
          <w:p w:rsidR="00DB7D1F" w:rsidRDefault="00DB7D1F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DB7D1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D1F" w:rsidRDefault="00DB7D1F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B7D1F" w:rsidRDefault="00DB7D1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B7D1F" w:rsidRDefault="00DB7D1F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:rsidR="00DB7D1F" w:rsidRDefault="0034680A">
      <w:pPr>
        <w:spacing w:after="150"/>
        <w:jc w:val="center"/>
        <w:outlineLvl w:val="1"/>
        <w:rPr>
          <w:rFonts w:ascii="Arial" w:eastAsia="Times New Roman" w:hAnsi="Arial" w:cs="Arial"/>
          <w:b/>
          <w:bCs/>
          <w:kern w:val="36"/>
          <w:sz w:val="23"/>
          <w:szCs w:val="23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lastRenderedPageBreak/>
        <w:t xml:space="preserve">VŠEOBECNÉ PRODEJNÍ A DODACÍ PODMÍNKY SPOLEČNOSTI CEMEX </w:t>
      </w:r>
      <w:proofErr w:type="spellStart"/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t>Sand</w:t>
      </w:r>
      <w:proofErr w:type="spellEnd"/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t xml:space="preserve">, </w:t>
      </w:r>
      <w:proofErr w:type="gramStart"/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t>k.s.</w:t>
      </w:r>
      <w:proofErr w:type="gramEnd"/>
      <w:r>
        <w:rPr>
          <w:rFonts w:ascii="Arial" w:eastAsia="Times New Roman" w:hAnsi="Arial" w:cs="Arial"/>
          <w:b/>
          <w:bCs/>
          <w:kern w:val="36"/>
          <w:sz w:val="23"/>
          <w:szCs w:val="23"/>
        </w:rPr>
        <w:t xml:space="preserve"> </w:t>
      </w:r>
    </w:p>
    <w:p w:rsidR="00DB7D1F" w:rsidRDefault="0034680A">
      <w:pPr>
        <w:spacing w:before="100" w:beforeAutospacing="1" w:after="100" w:afterAutospacing="1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(dále jen prodávající) jsou nedílnou součástí smluv uzavíraných prodávajícím na prodej zboží a služeb bez ohledu na to, zda kupujícím je fyzická či právnická osoba. Platí pro všechny vzájemné vztahy mezi prodávajícím a kupujícím, není-li v kupní smlouvě stanoveno jinak.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877"/>
      </w:tblGrid>
      <w:tr w:rsidR="00DB7D1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5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319"/>
            </w:tblGrid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1.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UZAVŘENÍ KUPNÍ SMLOUVY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Kupní smlouva (dále jen KS) je uzavírána písemně.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Návrh KS obdrží kupující od prodávajícího na vyžádání.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1.3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Dodávky zboží na základě KS se uskutečňují teprve tehdy, je-li KS písemně podepsána oprávněnými zástupci obou smluvních stran bez jakýchkoli výhrad.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2.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PŘEDMĚT KUPNÍ SMLOUVY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2.1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Předmětem KS je přírodní těžené či drcené kamenivo. Dodané zboží odpovídá příslušným technickým předpisům, českým technickým normám nebo jiným technickým podkladům či zákonným nařízením.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2.2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Předmětem KS je závazek prodávajícího dodat kupujícímu zboží závazek kupujícího zaplatit kupní cenu.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3.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DODACÍ PODMÍNKY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Je-li v KS uzavřena s dopravou je kupujícímu dodáváno zboží na základě objednávky. Objednávku je kupující povinen podat prodávajícímu (obchodnímu zástupci nebo na expedici příslušného závodu) mailem, faxem či ústně a to minimálně 1 pracovní den před datem plnění. Objednávka musí obsahovat množství zboží, které má být v této dodávce dodáno a datum plnění.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Odběrným místem - místem plnění je expedice provozovny uvedené v KS, pokud v KS není uvedeno jinak.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3.3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je povinen předat a kupující je povinen převzít zboží v době a místě určeném KS. Neobsahuje-li KS tato ustanovení, je prodávající povinen předat a kupující převzít zboží v době a místě určeném těmito podmínkami, příp. objednávkou dle předchozích odstavců.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3.4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V případě, že zboží odebírá osoba k tomu kupujícím (dopravcem) zmocněna či jeho zaměstnanec, je tato osoba povinna předložit "Plnou moc k odběru zboží" a tuto plnou moc předat prodávajícímu, případně jeho zaměstnanci. Bez předložení a vydání plné moci není prodávající povinen zboží vydat.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3.5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Dodávka je splněna předáním zboží kupujícímu či osobě jím zmocněné dle předchozího odstavce či předáním zboží prvnímu přepravci a podpisem přebírajícího na dodacím listu.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4.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CENY ZBOŽÍ A DOPRAVY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4.1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Ceny zboží jsou stanoveny v KS.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4.2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Cena dopravy zboží zprostředkovaná prodávajícím je sjednávána individuálně podle místa doručení.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4.3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Nárok na zaplacení kupní smlouvy vzniká okamžikem převzetí kameniva.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5.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PLATEBNÍ PODMÍNKY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5.1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Základní platební podmínky jsou dohodnuty přímo v KS. Kupující platí kupní cenu buď hotově při odběru zboží, předem nebo na základě faktury prodávajícího.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5.2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Je - kupní cena hrazena na základě faktury, dnem zaplacení se rozumí den, kdy jsou finanční prostředky připsány na účet prodávajícího. V případě, že se kupující ocitne v prodlení s úhradou kupní ceny, je povinen uhradit prodávajícímu smluvní úrok z prodlení ve výši 0,05% z dlužné částky za každý den prodlení. V případě prodlení kupujícího se zaplacením kupní ceny delšího než 60 dnů je prodávající oprávněn vyúčtovat kupujícímu rovněž smluvní pokutu. Smluvní pokuta se sjednává ve výši 0,5% z celkové kupní ceny, a to za každý den prodlení se zaplacením, byť i jen části kupní ceny, a to do prvního dne prodlení. Ujednání o smluvní pokutě nemá vliv na nároky na náhradu škody. Prodávající je dále v případě prodlení kupujícího se zaplacením kupní ceny oprávněn vyúčtovat kupujícímu náklady vzniklé v souvislosti s vymáháním dluhu.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5.3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Nedodržuje-li kupující platební podmínky, zejména je-li v prodlení s placením kupní ceny, považuje to prodávající za podstatné porušení a je oprávněn: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požadovat při dalším odběru zboží platbu v hotovosti nebo platbu předem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doúčtovat kupujícímu všechny poskytnuté slevy z kupní ceny, pokud byly mezi stranami dohodnuty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zastavit dodávky zboží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odstoupit od uzavřené KS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6.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PŘÍPUSTNÁ HMOTNOSTNÍ TOLERANCE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6.1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a kupující si sjednávají jako rozhodující hmotnost dodaného zboží hmotnost zboží zjištěnou na váze prodávajícího.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7.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ZPŮSOB DOPRAVY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7.1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Způsob dopravy stanoví KS. Doprava zboží z místa expedice prodávajícího na místo určené kupujícím se uskutečňuje v dohodnutých termínech buď dopravním prostředkem, který byl určen kupujícím, nebo dopravním prostředkem, který byl zprostředkován, a to na náklady kupujícího.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8.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JAKOST, ZÁRUKA, REKLAMACE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Kamenivo je deklarováno a dodáváno podle EN 12620, 13043, 13242, 13139.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Kupující je povinen kamenivo zkontrolovat ihned po předání a převzetí druhu na dodacím listě. Později mohou být reklamovány jen skryté vady.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8.3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odpovídá za to, že zboží má v okamžiku splnění požadované vlastnosti. </w:t>
                  </w:r>
                </w:p>
              </w:tc>
            </w:tr>
          </w:tbl>
          <w:p w:rsidR="00DB7D1F" w:rsidRDefault="00DB7D1F">
            <w:pPr>
              <w:jc w:val="both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0" w:type="auto"/>
            <w:hideMark/>
          </w:tcPr>
          <w:tbl>
            <w:tblPr>
              <w:tblW w:w="45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4246"/>
            </w:tblGrid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8.4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Přes veškerou péči prodávajícího se mohou na dodaném zboží nebo ve službách vyskytnout vady. Kupující přezkoumá zboží co nejdříve po dodání a má právo jakékoliv zjištěné vady zboží či služby reklamovat. Kupující je povinen podat reklamaci a oznámení o reklamačním nároku písemnou formou, nejpozději ve lhůtě do 3 dnů od převzetí zboží nebo ode dne zjištění skryté vady. Reklamace, která nebyla podána včas, písemně nebo po formální stránce správně má za následek ztrátu odpovědnosti prodávajícího z vad zboží. Do vyřešení reklamace je povinen reklamované zboží řádně uchovat a odděleně skladovat. Podmínky reklamačního řízení jsou stanoveny Reklamačním řádem prodávajícího, který je k nahlédnutí u prodejců, na jednotlivých provozovnách a na všech expedičních místech prodávajícího. Podpisem KS kupující potvrzuje, že se s Reklamačním řádem prodávajícího seznámil.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8.5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V případě oprávněné reklamace nahradí prodávající kupujícímu vadné zboží bezvadným.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9.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NEBEZPEČÍ ŠKODY NA ZBOŽÍ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9.1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Nebezpečí škody na zboží přechází na kupujícího v okamžiku splnění dodávky podle čl. 3.5 těchto prodejních podmínek. Kupující se zavazuje zajistit z hlediska případných nároků vůči přepravci osobu nezúčastněnou na předmětném obchodním případu ke zjištění skutečného stavu zboží ještě před vykládkou.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9.2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Prodávající neodpovídá za škody, které kupujícímu vznikly neodborným zacházením se zbožím nebo zpracováním zboží s vadou, kterou mohl a měl kupující zjistit.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9.3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Smluvní strany jsou zbaveny odpovědnosti za částečné nebo úplné nesplnění smluvních povinností v tom případě, jestliže bylo nesplnění způsobeno v důsledku vyšší moci, u níž nelze rozumně předpokládat, že by ji v době vzniku závazku povinná strana předvídala. Odpovědnost nevylučuje vyšší moc, která nastala v době, kdy byla povinná strana v prodlení. Smluvní strana, která se na vyšší moc odvolává, je povinna uvědomit druhou stranu bezodkladně, nejpozději do 3 kalendářních dnů písemnou formou, že u ní nastaly okolnosti vyšší moci. Stejným způsobem musí druhou smluvní stranu vyrozumět, že okolnosti vyšší moci pominuly. Při porušení kterékoliv z těchto informačních povinností odpovídá strana, která svou povinnost porušila, druhé straně za škodu způsobenou tímto porušením. V případě, že nastanou okolnosti vyšší moci, je druhá smluvní strana oprávněná od smlouvy odstoupit a to nejpozději do doby, než ji je oznámeno, že okolnosti vyšší moci pominuly. O dobu trvání vyšší moci se prodlužuje lhůta k plnění závazku.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 xml:space="preserve">10.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ZÁVĚREČNÁ USTANOVENÍ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10.1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Verzovaná</w:t>
                  </w:r>
                  <w:proofErr w:type="spellEnd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smlouva nahrazuje smlouvu původní. Verze smlouvy je označena původním číslem smlouvy / číslem verze smlouvy nové.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10.2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Obě smluvní strany jsou povinny v rámci svých možností postupovat tak, aby minimalizovaly případné škody, ztráty či rizika, která mohou vyplynout z činnosti spojených s plněním KS nebo s použitím zboží.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10.3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Každá ze smluvních stran důsledně zajistí dodržování důvěrnosti obchodních informací, které se týkají jejich vzájemného smluvního vztahu.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10.4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Vzájemné vztahy, které jsou upraveny KS včetně těchto Všeobecných prodejních a dodacích podmínek, se řídí příslušnými ustanoveními Občanského zákoníku.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10.5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Pokud je kupujícím podnikatel, strany se dle zákona č. 216/1994 Sb. dohodly, že veškeré jejich spory vzniklé z tohoto závazkového vztahu či v souvislosti s ním budou rozhodovány v rozhodčím řízení ("RŘ") před jediným rozhodcem ad hoc, kterým jmenují Mgr. Terezu Vašíčkovou, osvědčení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MSp</w:t>
                  </w:r>
                  <w:proofErr w:type="spellEnd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ČR č. 492. Žalobu žalobce doručí na adresu Brno, Cejl 91, PSČ 602 00. Tato adresa je doručovací adresou rozhodce a současně místem, kde bude RŘ probíhat. Strany se dohodly, že poplatek za RŘ je nákladem řízení a je součtem částky šest tisíc korun českých a jedna a půl násobku výše soudního poplatku, jenž by byl v daném případě vybrán za řízení před obecnými soudy ČR dle platné legislativy a to do hodnoty sporu do jednoho milionu korun českých. V případě hodnoty sporu vyšší se tento poplatek za RŘ dále navýší o příslušnou výši soudního poplatku z přesahující částky. K celkové částce vypočítaného poplatku za RŘ bude dále přičtena DPH. U sporů s mezinárodním prvkem se poplatek za RŘ zvyšuje o polovinu, v RŘ s více než dvěma účastníky se zvyšuje za třetího a každého dalšího účastníka o pětinu. Dle způsobu výpočtu poplatku za RŘ je zpoplatněn i nárok uplatněný jako vzájemný návrh nebo námitka započtení v celé jejich výši. Zvláštní úkony v RŘ mohou být účtovány dle skutečných nákladů. Zastavením řízení nezaniká nárok rozhodce na úhradu poplatku za RŘ, zaplacený poplatek za RŘ se nevrací. Strany pověřují rozhodce, aby RŘ vedl v češtině, písemně bez ústního jednání, rozhodl dle zásad spravedlnosti, rozhodnutí vydal bez odůvodnění, a souhlasí, že může pověřit k administrativní a ekonomické činnosti v rámci RŘ třetí osoby, a to zejména Unii pro rozhodčí a mediační řízení ČR, a.s., působící na adrese, kde bude rozhodčí řízení probíhat, a v tomto rozsahu ho zprošťují mlčenlivosti. Strany dohodly, že v RŘ se přiměřeně použijí ustanovení OSŘ o postupu při doručování; uložení u soudu nahrazuje uložení u rozhodce a vyvěšení na úřední desce soudu nahrazuje zveřejnění na stránkách www.urmr.cz/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>vyvesni</w:t>
                  </w:r>
                  <w:proofErr w:type="spellEnd"/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-deska. Strany se dohodly, že přístup do soudního fóra jim bude zaslán na korespondenční adresy, uvedené ve smlouvě, která se řídí těmito VPDP. </w:t>
                  </w:r>
                </w:p>
              </w:tc>
            </w:tr>
            <w:tr w:rsidR="00DB7D1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10.6 </w:t>
                  </w:r>
                </w:p>
              </w:tc>
              <w:tc>
                <w:tcPr>
                  <w:tcW w:w="0" w:type="auto"/>
                  <w:hideMark/>
                </w:tcPr>
                <w:p w:rsidR="00DB7D1F" w:rsidRDefault="0034680A">
                  <w:pPr>
                    <w:jc w:val="both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Tyto VPDP nabývají platnosti dnem 1. 3. 2014. </w:t>
                  </w:r>
                </w:p>
              </w:tc>
            </w:tr>
          </w:tbl>
          <w:p w:rsidR="00DB7D1F" w:rsidRDefault="00DB7D1F">
            <w:pPr>
              <w:jc w:val="both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</w:tbl>
    <w:p w:rsidR="00DB7D1F" w:rsidRDefault="00DB7D1F">
      <w:pPr>
        <w:rPr>
          <w:rFonts w:eastAsia="Times New Roman"/>
        </w:rPr>
      </w:pPr>
    </w:p>
    <w:sectPr w:rsidR="00DB7D1F" w:rsidSect="00346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77" w:right="1077" w:bottom="1418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96" w:rsidRDefault="00300796" w:rsidP="0034680A">
      <w:r>
        <w:separator/>
      </w:r>
    </w:p>
  </w:endnote>
  <w:endnote w:type="continuationSeparator" w:id="0">
    <w:p w:rsidR="00300796" w:rsidRDefault="00300796" w:rsidP="0034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Z: 3of 9 BarCode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A" w:rsidRDefault="003468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A" w:rsidRDefault="0034680A">
    <w:pPr>
      <w:pStyle w:val="Zpat"/>
    </w:pPr>
  </w:p>
  <w:p w:rsidR="0034680A" w:rsidRPr="0034680A" w:rsidRDefault="0034680A" w:rsidP="0034680A">
    <w:pPr>
      <w:pStyle w:val="Zpat"/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  <w:u w:val="single"/>
      </w:rPr>
      <w:t xml:space="preserve">CEMEX </w:t>
    </w:r>
    <w:proofErr w:type="spellStart"/>
    <w:r>
      <w:rPr>
        <w:rFonts w:ascii="Arial" w:hAnsi="Arial" w:cs="Arial"/>
        <w:color w:val="808080"/>
        <w:sz w:val="18"/>
        <w:u w:val="single"/>
      </w:rPr>
      <w:t>Sand</w:t>
    </w:r>
    <w:proofErr w:type="spellEnd"/>
    <w:r>
      <w:rPr>
        <w:rFonts w:ascii="Arial" w:hAnsi="Arial" w:cs="Arial"/>
        <w:color w:val="808080"/>
        <w:sz w:val="18"/>
        <w:u w:val="single"/>
      </w:rPr>
      <w:t xml:space="preserve">, </w:t>
    </w:r>
    <w:proofErr w:type="gramStart"/>
    <w:r>
      <w:rPr>
        <w:rFonts w:ascii="Arial" w:hAnsi="Arial" w:cs="Arial"/>
        <w:color w:val="808080"/>
        <w:sz w:val="18"/>
        <w:u w:val="single"/>
      </w:rPr>
      <w:t>k.s.</w:t>
    </w:r>
    <w:proofErr w:type="gramEnd"/>
    <w:r>
      <w:rPr>
        <w:rFonts w:ascii="Arial" w:hAnsi="Arial" w:cs="Arial"/>
        <w:color w:val="808080"/>
        <w:sz w:val="18"/>
        <w:u w:val="single"/>
      </w:rPr>
      <w:t xml:space="preserve"> </w:t>
    </w:r>
    <w:r>
      <w:rPr>
        <w:rFonts w:ascii="Arial" w:hAnsi="Arial" w:cs="Arial"/>
        <w:color w:val="808080"/>
        <w:sz w:val="18"/>
      </w:rPr>
      <w:t>, Masarykovo náměstí 207, 763 61 Napajedla, IČ: 47906201, DIČ: CZ47906201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A" w:rsidRDefault="0034680A">
    <w:pPr>
      <w:pStyle w:val="Zpat"/>
    </w:pPr>
  </w:p>
  <w:p w:rsidR="0034680A" w:rsidRPr="0034680A" w:rsidRDefault="0034680A" w:rsidP="0034680A">
    <w:pPr>
      <w:pStyle w:val="Zpat"/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  <w:u w:val="single"/>
      </w:rPr>
      <w:t xml:space="preserve">CEMEX </w:t>
    </w:r>
    <w:proofErr w:type="spellStart"/>
    <w:r>
      <w:rPr>
        <w:rFonts w:ascii="Arial" w:hAnsi="Arial" w:cs="Arial"/>
        <w:color w:val="808080"/>
        <w:sz w:val="18"/>
        <w:u w:val="single"/>
      </w:rPr>
      <w:t>Sand</w:t>
    </w:r>
    <w:proofErr w:type="spellEnd"/>
    <w:r>
      <w:rPr>
        <w:rFonts w:ascii="Arial" w:hAnsi="Arial" w:cs="Arial"/>
        <w:color w:val="808080"/>
        <w:sz w:val="18"/>
        <w:u w:val="single"/>
      </w:rPr>
      <w:t xml:space="preserve">, </w:t>
    </w:r>
    <w:proofErr w:type="gramStart"/>
    <w:r>
      <w:rPr>
        <w:rFonts w:ascii="Arial" w:hAnsi="Arial" w:cs="Arial"/>
        <w:color w:val="808080"/>
        <w:sz w:val="18"/>
        <w:u w:val="single"/>
      </w:rPr>
      <w:t>k.s.</w:t>
    </w:r>
    <w:proofErr w:type="gramEnd"/>
    <w:r>
      <w:rPr>
        <w:rFonts w:ascii="Arial" w:hAnsi="Arial" w:cs="Arial"/>
        <w:color w:val="808080"/>
        <w:sz w:val="18"/>
        <w:u w:val="single"/>
      </w:rPr>
      <w:t xml:space="preserve"> </w:t>
    </w:r>
    <w:r>
      <w:rPr>
        <w:rFonts w:ascii="Arial" w:hAnsi="Arial" w:cs="Arial"/>
        <w:color w:val="808080"/>
        <w:sz w:val="18"/>
      </w:rPr>
      <w:t>, Masarykovo náměstí 207, 763 61 Napajedla, IČ: 47906201, DIČ: CZ47906201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96" w:rsidRDefault="00300796" w:rsidP="0034680A">
      <w:r>
        <w:separator/>
      </w:r>
    </w:p>
  </w:footnote>
  <w:footnote w:type="continuationSeparator" w:id="0">
    <w:p w:rsidR="00300796" w:rsidRDefault="00300796" w:rsidP="0034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A" w:rsidRDefault="003468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A" w:rsidRDefault="003468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A" w:rsidRDefault="0034680A">
    <w:pPr>
      <w:pStyle w:val="Zhlav"/>
    </w:pPr>
  </w:p>
  <w:p w:rsidR="0034680A" w:rsidRPr="0034680A" w:rsidRDefault="0034680A" w:rsidP="0034680A">
    <w:pPr>
      <w:pStyle w:val="Zhlav"/>
      <w:jc w:val="right"/>
      <w:rPr>
        <w:rFonts w:ascii="Z: 3of 9 BarCode" w:hAnsi="Z: 3of 9 BarCode"/>
        <w:sz w:val="40"/>
      </w:rPr>
    </w:pPr>
    <w:r>
      <w:rPr>
        <w:rFonts w:ascii="Z: 3of 9 BarCode" w:hAnsi="Z: 3of 9 BarCode"/>
        <w:sz w:val="40"/>
      </w:rPr>
      <w:t>*4170000018261*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D0492"/>
    <w:multiLevelType w:val="multilevel"/>
    <w:tmpl w:val="5A8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0A"/>
    <w:rsid w:val="002837E2"/>
    <w:rsid w:val="00300796"/>
    <w:rsid w:val="0034680A"/>
    <w:rsid w:val="00A71769"/>
    <w:rsid w:val="00DB7D1F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D1F"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B7D1F"/>
    <w:pPr>
      <w:jc w:val="center"/>
      <w:outlineLvl w:val="0"/>
    </w:pPr>
    <w:rPr>
      <w:b/>
      <w:bCs/>
      <w:kern w:val="36"/>
      <w:sz w:val="30"/>
      <w:szCs w:val="30"/>
    </w:rPr>
  </w:style>
  <w:style w:type="paragraph" w:styleId="Nadpis2">
    <w:name w:val="heading 2"/>
    <w:basedOn w:val="Normln"/>
    <w:link w:val="Nadpis2Char"/>
    <w:uiPriority w:val="9"/>
    <w:qFormat/>
    <w:rsid w:val="00DB7D1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DB7D1F"/>
    <w:pPr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rsid w:val="00DB7D1F"/>
    <w:pPr>
      <w:jc w:val="both"/>
      <w:outlineLvl w:val="3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7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7D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7D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ll">
    <w:name w:val="all"/>
    <w:basedOn w:val="Normln"/>
    <w:rsid w:val="00DB7D1F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dresa">
    <w:name w:val="adresa"/>
    <w:basedOn w:val="Normln"/>
    <w:rsid w:val="00DB7D1F"/>
    <w:pPr>
      <w:spacing w:before="100" w:beforeAutospacing="1" w:after="100" w:afterAutospacing="1"/>
    </w:pPr>
    <w:rPr>
      <w:b/>
      <w:bCs/>
    </w:rPr>
  </w:style>
  <w:style w:type="paragraph" w:customStyle="1" w:styleId="popisek">
    <w:name w:val="popisek"/>
    <w:basedOn w:val="Normln"/>
    <w:rsid w:val="00DB7D1F"/>
    <w:pPr>
      <w:spacing w:before="100" w:beforeAutospacing="1" w:after="100" w:afterAutospacing="1"/>
    </w:pPr>
    <w:rPr>
      <w:sz w:val="18"/>
      <w:szCs w:val="18"/>
    </w:rPr>
  </w:style>
  <w:style w:type="paragraph" w:customStyle="1" w:styleId="popiseknadtable">
    <w:name w:val="popiseknadtable"/>
    <w:basedOn w:val="Normln"/>
    <w:rsid w:val="00DB7D1F"/>
    <w:rPr>
      <w:sz w:val="18"/>
      <w:szCs w:val="18"/>
    </w:rPr>
  </w:style>
  <w:style w:type="paragraph" w:customStyle="1" w:styleId="odstavce">
    <w:name w:val="odstavce"/>
    <w:basedOn w:val="Normln"/>
    <w:rsid w:val="00DB7D1F"/>
    <w:pPr>
      <w:spacing w:before="100" w:beforeAutospacing="1" w:after="100" w:afterAutospacing="1"/>
    </w:pPr>
  </w:style>
  <w:style w:type="paragraph" w:customStyle="1" w:styleId="odstavcecislovani">
    <w:name w:val="odstavcecislovani"/>
    <w:basedOn w:val="Normln"/>
    <w:rsid w:val="00DB7D1F"/>
    <w:pPr>
      <w:spacing w:before="150" w:after="150"/>
    </w:pPr>
  </w:style>
  <w:style w:type="paragraph" w:customStyle="1" w:styleId="vizitkabetonarna">
    <w:name w:val="vizitkabetonarna"/>
    <w:basedOn w:val="Normln"/>
    <w:rsid w:val="00DB7D1F"/>
    <w:pPr>
      <w:spacing w:before="100" w:beforeAutospacing="1" w:after="100" w:afterAutospacing="1"/>
    </w:pPr>
    <w:rPr>
      <w:b/>
      <w:bCs/>
    </w:rPr>
  </w:style>
  <w:style w:type="paragraph" w:customStyle="1" w:styleId="vizitkaosoba">
    <w:name w:val="vizitkaosoba"/>
    <w:basedOn w:val="Normln"/>
    <w:rsid w:val="00DB7D1F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vizitkaspojeni">
    <w:name w:val="vizitkaspojeni"/>
    <w:basedOn w:val="Normln"/>
    <w:rsid w:val="00DB7D1F"/>
    <w:pPr>
      <w:spacing w:before="100" w:beforeAutospacing="1" w:after="100" w:afterAutospacing="1"/>
    </w:pPr>
    <w:rPr>
      <w:sz w:val="20"/>
      <w:szCs w:val="20"/>
    </w:rPr>
  </w:style>
  <w:style w:type="paragraph" w:customStyle="1" w:styleId="barcode">
    <w:name w:val="barcode"/>
    <w:basedOn w:val="Normln"/>
    <w:rsid w:val="00DB7D1F"/>
    <w:pPr>
      <w:spacing w:before="100" w:beforeAutospacing="1" w:after="100" w:afterAutospacing="1" w:line="195" w:lineRule="atLeast"/>
      <w:jc w:val="right"/>
    </w:pPr>
  </w:style>
  <w:style w:type="paragraph" w:customStyle="1" w:styleId="place-space">
    <w:name w:val="place-space"/>
    <w:basedOn w:val="Normln"/>
    <w:rsid w:val="00DB7D1F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date-space">
    <w:name w:val="date-space"/>
    <w:basedOn w:val="Normln"/>
    <w:rsid w:val="00DB7D1F"/>
    <w:pPr>
      <w:spacing w:before="100" w:beforeAutospacing="1" w:after="100" w:afterAutospacing="1"/>
    </w:pPr>
  </w:style>
  <w:style w:type="paragraph" w:customStyle="1" w:styleId="day-date-space">
    <w:name w:val="day-date-space"/>
    <w:basedOn w:val="Normln"/>
    <w:rsid w:val="00DB7D1F"/>
    <w:pPr>
      <w:spacing w:before="100" w:beforeAutospacing="1" w:after="100" w:afterAutospacing="1"/>
    </w:pPr>
  </w:style>
  <w:style w:type="paragraph" w:customStyle="1" w:styleId="podpis">
    <w:name w:val="podpis"/>
    <w:basedOn w:val="Normln"/>
    <w:rsid w:val="00DB7D1F"/>
    <w:pPr>
      <w:pBdr>
        <w:bottom w:val="dashed" w:sz="6" w:space="0" w:color="000000"/>
      </w:pBdr>
      <w:spacing w:before="1350" w:after="100" w:afterAutospacing="1"/>
    </w:pPr>
  </w:style>
  <w:style w:type="paragraph" w:customStyle="1" w:styleId="podpis-jmeno">
    <w:name w:val="podpis-jmeno"/>
    <w:basedOn w:val="Normln"/>
    <w:rsid w:val="00DB7D1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rightalign">
    <w:name w:val="rightalign"/>
    <w:basedOn w:val="Normln"/>
    <w:rsid w:val="00DB7D1F"/>
    <w:pPr>
      <w:spacing w:before="100" w:beforeAutospacing="1" w:after="100" w:afterAutospacing="1"/>
      <w:jc w:val="right"/>
    </w:pPr>
  </w:style>
  <w:style w:type="paragraph" w:customStyle="1" w:styleId="leftalign">
    <w:name w:val="leftalign"/>
    <w:basedOn w:val="Normln"/>
    <w:rsid w:val="00DB7D1F"/>
    <w:pPr>
      <w:spacing w:before="100" w:beforeAutospacing="1" w:after="100" w:afterAutospacing="1"/>
    </w:pPr>
  </w:style>
  <w:style w:type="paragraph" w:customStyle="1" w:styleId="page-break-new">
    <w:name w:val="page-break-new"/>
    <w:basedOn w:val="Normln"/>
    <w:rsid w:val="00DB7D1F"/>
    <w:pPr>
      <w:pBdr>
        <w:top w:val="dashed" w:sz="6" w:space="0" w:color="000000"/>
        <w:bottom w:val="dashed" w:sz="6" w:space="0" w:color="000000"/>
      </w:pBdr>
      <w:spacing w:before="100" w:beforeAutospacing="1" w:after="100" w:afterAutospacing="1"/>
      <w:jc w:val="center"/>
    </w:pPr>
  </w:style>
  <w:style w:type="character" w:customStyle="1" w:styleId="contactinline">
    <w:name w:val="contactinline"/>
    <w:basedOn w:val="Standardnpsmoodstavce"/>
    <w:rsid w:val="00DB7D1F"/>
  </w:style>
  <w:style w:type="character" w:styleId="Siln">
    <w:name w:val="Strong"/>
    <w:basedOn w:val="Standardnpsmoodstavce"/>
    <w:uiPriority w:val="22"/>
    <w:qFormat/>
    <w:rsid w:val="00DB7D1F"/>
    <w:rPr>
      <w:b/>
      <w:bCs/>
    </w:rPr>
  </w:style>
  <w:style w:type="character" w:customStyle="1" w:styleId="popisek1">
    <w:name w:val="popisek1"/>
    <w:basedOn w:val="Standardnpsmoodstavce"/>
    <w:rsid w:val="00DB7D1F"/>
    <w:rPr>
      <w:sz w:val="18"/>
      <w:szCs w:val="18"/>
    </w:rPr>
  </w:style>
  <w:style w:type="paragraph" w:styleId="Normlnweb">
    <w:name w:val="Normal (Web)"/>
    <w:basedOn w:val="Normln"/>
    <w:uiPriority w:val="99"/>
    <w:unhideWhenUsed/>
    <w:rsid w:val="00DB7D1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346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680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46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680A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80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D1F"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B7D1F"/>
    <w:pPr>
      <w:jc w:val="center"/>
      <w:outlineLvl w:val="0"/>
    </w:pPr>
    <w:rPr>
      <w:b/>
      <w:bCs/>
      <w:kern w:val="36"/>
      <w:sz w:val="30"/>
      <w:szCs w:val="30"/>
    </w:rPr>
  </w:style>
  <w:style w:type="paragraph" w:styleId="Nadpis2">
    <w:name w:val="heading 2"/>
    <w:basedOn w:val="Normln"/>
    <w:link w:val="Nadpis2Char"/>
    <w:uiPriority w:val="9"/>
    <w:qFormat/>
    <w:rsid w:val="00DB7D1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DB7D1F"/>
    <w:pPr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rsid w:val="00DB7D1F"/>
    <w:pPr>
      <w:jc w:val="both"/>
      <w:outlineLvl w:val="3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7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7D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7D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ll">
    <w:name w:val="all"/>
    <w:basedOn w:val="Normln"/>
    <w:rsid w:val="00DB7D1F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dresa">
    <w:name w:val="adresa"/>
    <w:basedOn w:val="Normln"/>
    <w:rsid w:val="00DB7D1F"/>
    <w:pPr>
      <w:spacing w:before="100" w:beforeAutospacing="1" w:after="100" w:afterAutospacing="1"/>
    </w:pPr>
    <w:rPr>
      <w:b/>
      <w:bCs/>
    </w:rPr>
  </w:style>
  <w:style w:type="paragraph" w:customStyle="1" w:styleId="popisek">
    <w:name w:val="popisek"/>
    <w:basedOn w:val="Normln"/>
    <w:rsid w:val="00DB7D1F"/>
    <w:pPr>
      <w:spacing w:before="100" w:beforeAutospacing="1" w:after="100" w:afterAutospacing="1"/>
    </w:pPr>
    <w:rPr>
      <w:sz w:val="18"/>
      <w:szCs w:val="18"/>
    </w:rPr>
  </w:style>
  <w:style w:type="paragraph" w:customStyle="1" w:styleId="popiseknadtable">
    <w:name w:val="popiseknadtable"/>
    <w:basedOn w:val="Normln"/>
    <w:rsid w:val="00DB7D1F"/>
    <w:rPr>
      <w:sz w:val="18"/>
      <w:szCs w:val="18"/>
    </w:rPr>
  </w:style>
  <w:style w:type="paragraph" w:customStyle="1" w:styleId="odstavce">
    <w:name w:val="odstavce"/>
    <w:basedOn w:val="Normln"/>
    <w:rsid w:val="00DB7D1F"/>
    <w:pPr>
      <w:spacing w:before="100" w:beforeAutospacing="1" w:after="100" w:afterAutospacing="1"/>
    </w:pPr>
  </w:style>
  <w:style w:type="paragraph" w:customStyle="1" w:styleId="odstavcecislovani">
    <w:name w:val="odstavcecislovani"/>
    <w:basedOn w:val="Normln"/>
    <w:rsid w:val="00DB7D1F"/>
    <w:pPr>
      <w:spacing w:before="150" w:after="150"/>
    </w:pPr>
  </w:style>
  <w:style w:type="paragraph" w:customStyle="1" w:styleId="vizitkabetonarna">
    <w:name w:val="vizitkabetonarna"/>
    <w:basedOn w:val="Normln"/>
    <w:rsid w:val="00DB7D1F"/>
    <w:pPr>
      <w:spacing w:before="100" w:beforeAutospacing="1" w:after="100" w:afterAutospacing="1"/>
    </w:pPr>
    <w:rPr>
      <w:b/>
      <w:bCs/>
    </w:rPr>
  </w:style>
  <w:style w:type="paragraph" w:customStyle="1" w:styleId="vizitkaosoba">
    <w:name w:val="vizitkaosoba"/>
    <w:basedOn w:val="Normln"/>
    <w:rsid w:val="00DB7D1F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vizitkaspojeni">
    <w:name w:val="vizitkaspojeni"/>
    <w:basedOn w:val="Normln"/>
    <w:rsid w:val="00DB7D1F"/>
    <w:pPr>
      <w:spacing w:before="100" w:beforeAutospacing="1" w:after="100" w:afterAutospacing="1"/>
    </w:pPr>
    <w:rPr>
      <w:sz w:val="20"/>
      <w:szCs w:val="20"/>
    </w:rPr>
  </w:style>
  <w:style w:type="paragraph" w:customStyle="1" w:styleId="barcode">
    <w:name w:val="barcode"/>
    <w:basedOn w:val="Normln"/>
    <w:rsid w:val="00DB7D1F"/>
    <w:pPr>
      <w:spacing w:before="100" w:beforeAutospacing="1" w:after="100" w:afterAutospacing="1" w:line="195" w:lineRule="atLeast"/>
      <w:jc w:val="right"/>
    </w:pPr>
  </w:style>
  <w:style w:type="paragraph" w:customStyle="1" w:styleId="place-space">
    <w:name w:val="place-space"/>
    <w:basedOn w:val="Normln"/>
    <w:rsid w:val="00DB7D1F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date-space">
    <w:name w:val="date-space"/>
    <w:basedOn w:val="Normln"/>
    <w:rsid w:val="00DB7D1F"/>
    <w:pPr>
      <w:spacing w:before="100" w:beforeAutospacing="1" w:after="100" w:afterAutospacing="1"/>
    </w:pPr>
  </w:style>
  <w:style w:type="paragraph" w:customStyle="1" w:styleId="day-date-space">
    <w:name w:val="day-date-space"/>
    <w:basedOn w:val="Normln"/>
    <w:rsid w:val="00DB7D1F"/>
    <w:pPr>
      <w:spacing w:before="100" w:beforeAutospacing="1" w:after="100" w:afterAutospacing="1"/>
    </w:pPr>
  </w:style>
  <w:style w:type="paragraph" w:customStyle="1" w:styleId="podpis">
    <w:name w:val="podpis"/>
    <w:basedOn w:val="Normln"/>
    <w:rsid w:val="00DB7D1F"/>
    <w:pPr>
      <w:pBdr>
        <w:bottom w:val="dashed" w:sz="6" w:space="0" w:color="000000"/>
      </w:pBdr>
      <w:spacing w:before="1350" w:after="100" w:afterAutospacing="1"/>
    </w:pPr>
  </w:style>
  <w:style w:type="paragraph" w:customStyle="1" w:styleId="podpis-jmeno">
    <w:name w:val="podpis-jmeno"/>
    <w:basedOn w:val="Normln"/>
    <w:rsid w:val="00DB7D1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rightalign">
    <w:name w:val="rightalign"/>
    <w:basedOn w:val="Normln"/>
    <w:rsid w:val="00DB7D1F"/>
    <w:pPr>
      <w:spacing w:before="100" w:beforeAutospacing="1" w:after="100" w:afterAutospacing="1"/>
      <w:jc w:val="right"/>
    </w:pPr>
  </w:style>
  <w:style w:type="paragraph" w:customStyle="1" w:styleId="leftalign">
    <w:name w:val="leftalign"/>
    <w:basedOn w:val="Normln"/>
    <w:rsid w:val="00DB7D1F"/>
    <w:pPr>
      <w:spacing w:before="100" w:beforeAutospacing="1" w:after="100" w:afterAutospacing="1"/>
    </w:pPr>
  </w:style>
  <w:style w:type="paragraph" w:customStyle="1" w:styleId="page-break-new">
    <w:name w:val="page-break-new"/>
    <w:basedOn w:val="Normln"/>
    <w:rsid w:val="00DB7D1F"/>
    <w:pPr>
      <w:pBdr>
        <w:top w:val="dashed" w:sz="6" w:space="0" w:color="000000"/>
        <w:bottom w:val="dashed" w:sz="6" w:space="0" w:color="000000"/>
      </w:pBdr>
      <w:spacing w:before="100" w:beforeAutospacing="1" w:after="100" w:afterAutospacing="1"/>
      <w:jc w:val="center"/>
    </w:pPr>
  </w:style>
  <w:style w:type="character" w:customStyle="1" w:styleId="contactinline">
    <w:name w:val="contactinline"/>
    <w:basedOn w:val="Standardnpsmoodstavce"/>
    <w:rsid w:val="00DB7D1F"/>
  </w:style>
  <w:style w:type="character" w:styleId="Siln">
    <w:name w:val="Strong"/>
    <w:basedOn w:val="Standardnpsmoodstavce"/>
    <w:uiPriority w:val="22"/>
    <w:qFormat/>
    <w:rsid w:val="00DB7D1F"/>
    <w:rPr>
      <w:b/>
      <w:bCs/>
    </w:rPr>
  </w:style>
  <w:style w:type="character" w:customStyle="1" w:styleId="popisek1">
    <w:name w:val="popisek1"/>
    <w:basedOn w:val="Standardnpsmoodstavce"/>
    <w:rsid w:val="00DB7D1F"/>
    <w:rPr>
      <w:sz w:val="18"/>
      <w:szCs w:val="18"/>
    </w:rPr>
  </w:style>
  <w:style w:type="paragraph" w:styleId="Normlnweb">
    <w:name w:val="Normal (Web)"/>
    <w:basedOn w:val="Normln"/>
    <w:uiPriority w:val="99"/>
    <w:unhideWhenUsed/>
    <w:rsid w:val="00DB7D1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346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680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46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680A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80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41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977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5836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01">
      <w:marLeft w:val="0"/>
      <w:marRight w:val="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č. C0014834/17/2</vt:lpstr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č. C0014834/17/2</dc:title>
  <dc:creator>c-ibex</dc:creator>
  <cp:lastModifiedBy>malkova</cp:lastModifiedBy>
  <cp:revision>2</cp:revision>
  <dcterms:created xsi:type="dcterms:W3CDTF">2017-06-16T07:06:00Z</dcterms:created>
  <dcterms:modified xsi:type="dcterms:W3CDTF">2017-06-16T07:06:00Z</dcterms:modified>
</cp:coreProperties>
</file>