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1F90" w14:textId="6E9DD686" w:rsidR="00136C11" w:rsidRPr="00136C11" w:rsidRDefault="00EE14B7" w:rsidP="00136C11">
      <w:pPr>
        <w:pStyle w:val="Nadpis1"/>
      </w:pPr>
      <w:r>
        <w:t xml:space="preserve">Dodatek z 1.9.2023 ke </w:t>
      </w:r>
      <w:r w:rsidR="00136C11" w:rsidRPr="00136C11">
        <w:t>Smlouv</w:t>
      </w:r>
      <w:r>
        <w:t>ě</w:t>
      </w:r>
      <w:r w:rsidR="00136C11" w:rsidRPr="00136C11">
        <w:t xml:space="preserve"> o poskytování služeb</w:t>
      </w:r>
    </w:p>
    <w:p w14:paraId="61BDC801" w14:textId="2013CE19" w:rsidR="00136C11" w:rsidRPr="0037768A" w:rsidRDefault="00136C11" w:rsidP="00136C11">
      <w:r w:rsidRPr="0037768A">
        <w:t>uzavřen</w:t>
      </w:r>
      <w:r w:rsidR="00EE14B7">
        <w:t>ý</w:t>
      </w:r>
      <w:r w:rsidRPr="0037768A">
        <w:t xml:space="preserve"> níže uvedeného dne, měsíce a roku podle ustanovení § 1746 odst. 2 zák. č. 89/2012. </w:t>
      </w:r>
      <w:proofErr w:type="spellStart"/>
      <w:r w:rsidRPr="0037768A">
        <w:t>Sb</w:t>
      </w:r>
      <w:proofErr w:type="spellEnd"/>
      <w:r w:rsidRPr="0037768A">
        <w:t xml:space="preserve">, občanského zákoníku, ve znění pozdějších předpisů </w:t>
      </w:r>
      <w:r>
        <w:t>(</w:t>
      </w:r>
      <w:r w:rsidRPr="0037768A">
        <w:t>dále jen „</w:t>
      </w:r>
      <w:r w:rsidR="00EE14B7">
        <w:t>Dodatek</w:t>
      </w:r>
      <w:r w:rsidRPr="0037768A">
        <w:t>“) mezi níže uvedenými smluvními stranami: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555"/>
      </w:tblGrid>
      <w:tr w:rsidR="00F559EA" w:rsidRPr="0037768A" w14:paraId="170DA979" w14:textId="77777777" w:rsidTr="004E59A0">
        <w:tc>
          <w:tcPr>
            <w:tcW w:w="2088" w:type="dxa"/>
          </w:tcPr>
          <w:p w14:paraId="18E5FDCF" w14:textId="77777777" w:rsidR="00F559EA" w:rsidRPr="008D53C0" w:rsidRDefault="00F559EA" w:rsidP="004E59A0">
            <w:pPr>
              <w:spacing w:after="0"/>
            </w:pPr>
            <w:r w:rsidRPr="008D53C0">
              <w:t>Obchodní firma</w:t>
            </w:r>
          </w:p>
        </w:tc>
        <w:tc>
          <w:tcPr>
            <w:tcW w:w="6555" w:type="dxa"/>
          </w:tcPr>
          <w:p w14:paraId="4A46BEAC" w14:textId="77777777" w:rsidR="00F559EA" w:rsidRPr="008D53C0" w:rsidRDefault="00F559EA" w:rsidP="004E59A0">
            <w:pPr>
              <w:spacing w:after="0"/>
              <w:rPr>
                <w:b/>
              </w:rPr>
            </w:pPr>
            <w:r>
              <w:rPr>
                <w:rFonts w:cs="Calibri"/>
                <w:b/>
              </w:rPr>
              <w:t>Střední uměleckoprůmyslová škola Karlovy Vary, příspěvková organizace</w:t>
            </w:r>
          </w:p>
        </w:tc>
      </w:tr>
      <w:tr w:rsidR="00F559EA" w:rsidRPr="0037768A" w14:paraId="78507BBD" w14:textId="77777777" w:rsidTr="004E59A0">
        <w:tc>
          <w:tcPr>
            <w:tcW w:w="2088" w:type="dxa"/>
          </w:tcPr>
          <w:p w14:paraId="022B4A66" w14:textId="77777777" w:rsidR="00F559EA" w:rsidRPr="008D53C0" w:rsidRDefault="00F559EA" w:rsidP="004E59A0">
            <w:pPr>
              <w:spacing w:after="0"/>
            </w:pPr>
            <w:r w:rsidRPr="008D53C0">
              <w:t>Se sídlem</w:t>
            </w:r>
          </w:p>
        </w:tc>
        <w:tc>
          <w:tcPr>
            <w:tcW w:w="6555" w:type="dxa"/>
          </w:tcPr>
          <w:p w14:paraId="51D1CA73" w14:textId="77777777" w:rsidR="00F559EA" w:rsidRPr="008D53C0" w:rsidRDefault="00F559EA" w:rsidP="004E59A0">
            <w:pPr>
              <w:spacing w:after="0"/>
            </w:pPr>
            <w:r>
              <w:t>nám. 17. listopadu 710/12, Karlovy Vary</w:t>
            </w:r>
          </w:p>
        </w:tc>
      </w:tr>
      <w:tr w:rsidR="00F559EA" w:rsidRPr="0037768A" w14:paraId="00433947" w14:textId="77777777" w:rsidTr="004E59A0">
        <w:tc>
          <w:tcPr>
            <w:tcW w:w="2088" w:type="dxa"/>
          </w:tcPr>
          <w:p w14:paraId="42A7E9F6" w14:textId="77777777" w:rsidR="00F559EA" w:rsidRPr="008D53C0" w:rsidRDefault="00F559EA" w:rsidP="004E59A0">
            <w:pPr>
              <w:spacing w:after="0"/>
            </w:pPr>
            <w:r w:rsidRPr="008D53C0">
              <w:t>Zapsaná</w:t>
            </w:r>
          </w:p>
        </w:tc>
        <w:tc>
          <w:tcPr>
            <w:tcW w:w="6555" w:type="dxa"/>
          </w:tcPr>
          <w:p w14:paraId="3EC75636" w14:textId="77777777" w:rsidR="00F559EA" w:rsidRPr="008D53C0" w:rsidRDefault="00F559EA" w:rsidP="004E59A0">
            <w:pPr>
              <w:spacing w:after="0"/>
            </w:pPr>
          </w:p>
        </w:tc>
      </w:tr>
      <w:tr w:rsidR="00F559EA" w:rsidRPr="0037768A" w14:paraId="1E0CA9D6" w14:textId="77777777" w:rsidTr="004E59A0">
        <w:tc>
          <w:tcPr>
            <w:tcW w:w="2088" w:type="dxa"/>
          </w:tcPr>
          <w:p w14:paraId="2DF8FC3C" w14:textId="77777777" w:rsidR="00F559EA" w:rsidRPr="008D53C0" w:rsidRDefault="00F559EA" w:rsidP="004E59A0">
            <w:pPr>
              <w:spacing w:after="0"/>
            </w:pPr>
            <w:r w:rsidRPr="008D53C0">
              <w:t>IČ</w:t>
            </w:r>
          </w:p>
        </w:tc>
        <w:tc>
          <w:tcPr>
            <w:tcW w:w="6555" w:type="dxa"/>
          </w:tcPr>
          <w:p w14:paraId="43F1606A" w14:textId="77777777" w:rsidR="00F559EA" w:rsidRPr="008D53C0" w:rsidRDefault="00F559EA" w:rsidP="004E59A0">
            <w:pPr>
              <w:spacing w:after="0"/>
            </w:pPr>
            <w:r>
              <w:t>00077135</w:t>
            </w:r>
          </w:p>
        </w:tc>
      </w:tr>
      <w:tr w:rsidR="00F559EA" w:rsidRPr="0037768A" w14:paraId="219535D7" w14:textId="77777777" w:rsidTr="004E59A0">
        <w:tc>
          <w:tcPr>
            <w:tcW w:w="2088" w:type="dxa"/>
          </w:tcPr>
          <w:p w14:paraId="66DC3CB9" w14:textId="77777777" w:rsidR="00F559EA" w:rsidRPr="008D53C0" w:rsidRDefault="00F559EA" w:rsidP="004E59A0">
            <w:pPr>
              <w:spacing w:after="0"/>
            </w:pPr>
            <w:r w:rsidRPr="008D53C0">
              <w:t>DIČ</w:t>
            </w:r>
          </w:p>
        </w:tc>
        <w:tc>
          <w:tcPr>
            <w:tcW w:w="6555" w:type="dxa"/>
          </w:tcPr>
          <w:p w14:paraId="2A127813" w14:textId="77777777" w:rsidR="00F559EA" w:rsidRPr="008D53C0" w:rsidRDefault="00F559EA" w:rsidP="004E59A0">
            <w:pPr>
              <w:spacing w:after="0"/>
            </w:pPr>
          </w:p>
        </w:tc>
      </w:tr>
      <w:tr w:rsidR="00F559EA" w:rsidRPr="0037768A" w14:paraId="0AEAB8E5" w14:textId="77777777" w:rsidTr="004E59A0">
        <w:tc>
          <w:tcPr>
            <w:tcW w:w="2088" w:type="dxa"/>
          </w:tcPr>
          <w:p w14:paraId="743F30C6" w14:textId="77777777" w:rsidR="00F559EA" w:rsidRPr="008D53C0" w:rsidRDefault="00F559EA" w:rsidP="004E59A0">
            <w:pPr>
              <w:spacing w:after="0"/>
            </w:pPr>
            <w:r w:rsidRPr="008D53C0">
              <w:t>Zastoupená</w:t>
            </w:r>
          </w:p>
        </w:tc>
        <w:tc>
          <w:tcPr>
            <w:tcW w:w="6555" w:type="dxa"/>
          </w:tcPr>
          <w:p w14:paraId="373F1A8F" w14:textId="77777777" w:rsidR="00F559EA" w:rsidRPr="008D53C0" w:rsidRDefault="00F559EA" w:rsidP="004E59A0">
            <w:pPr>
              <w:spacing w:after="0"/>
            </w:pPr>
            <w:r>
              <w:t>Ing. Bc. Markétou Šlechtovou, MPA, ředitelkou školy</w:t>
            </w:r>
          </w:p>
        </w:tc>
      </w:tr>
      <w:tr w:rsidR="00F559EA" w:rsidRPr="008D53C0" w14:paraId="5FD2EA1C" w14:textId="77777777" w:rsidTr="004E59A0">
        <w:tc>
          <w:tcPr>
            <w:tcW w:w="2088" w:type="dxa"/>
          </w:tcPr>
          <w:p w14:paraId="69C3CD9B" w14:textId="77777777" w:rsidR="00F559EA" w:rsidRPr="008D53C0" w:rsidRDefault="00F559EA" w:rsidP="004E59A0">
            <w:pPr>
              <w:spacing w:after="0"/>
            </w:pPr>
            <w:r w:rsidRPr="008D53C0">
              <w:t>Bankovní spojení</w:t>
            </w:r>
          </w:p>
        </w:tc>
        <w:tc>
          <w:tcPr>
            <w:tcW w:w="6555" w:type="dxa"/>
          </w:tcPr>
          <w:p w14:paraId="17B397CA" w14:textId="6D8CD992" w:rsidR="00903956" w:rsidRPr="008D53C0" w:rsidRDefault="00903956" w:rsidP="004E59A0">
            <w:pPr>
              <w:spacing w:after="0"/>
            </w:pPr>
            <w:r>
              <w:t>14677135/0300</w:t>
            </w:r>
            <w:bookmarkStart w:id="0" w:name="_GoBack"/>
            <w:bookmarkEnd w:id="0"/>
          </w:p>
        </w:tc>
      </w:tr>
    </w:tbl>
    <w:p w14:paraId="26BF1E6E" w14:textId="77777777" w:rsidR="00136C11" w:rsidRPr="008D53C0" w:rsidRDefault="00136C11" w:rsidP="00136C11">
      <w:r w:rsidRPr="008D53C0">
        <w:t>(dále jen „</w:t>
      </w:r>
      <w:r w:rsidRPr="008D53C0">
        <w:rPr>
          <w:b/>
        </w:rPr>
        <w:t>Objednatel</w:t>
      </w:r>
      <w:r w:rsidRPr="008D53C0">
        <w:t>“ nebo „</w:t>
      </w:r>
      <w:r w:rsidR="004E7C47">
        <w:rPr>
          <w:b/>
        </w:rPr>
        <w:t>škola</w:t>
      </w:r>
      <w:r w:rsidRPr="008D53C0">
        <w:t>“)</w:t>
      </w:r>
    </w:p>
    <w:p w14:paraId="0CFF21CE" w14:textId="77777777" w:rsidR="00136C11" w:rsidRPr="008D53C0" w:rsidRDefault="00136C11" w:rsidP="00136C11">
      <w:r w:rsidRPr="008D53C0">
        <w:t>a</w:t>
      </w:r>
    </w:p>
    <w:tbl>
      <w:tblPr>
        <w:tblpPr w:leftFromText="141" w:rightFromText="141" w:vertAnchor="text" w:horzAnchor="margin" w:tblpY="79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439"/>
      </w:tblGrid>
      <w:tr w:rsidR="00136C11" w:rsidRPr="008D53C0" w14:paraId="6B67D83E" w14:textId="77777777" w:rsidTr="007253C7">
        <w:tc>
          <w:tcPr>
            <w:tcW w:w="2242" w:type="dxa"/>
          </w:tcPr>
          <w:p w14:paraId="32C08606" w14:textId="77777777" w:rsidR="00136C11" w:rsidRPr="008D53C0" w:rsidRDefault="00136C11" w:rsidP="007253C7">
            <w:pPr>
              <w:spacing w:after="0"/>
            </w:pPr>
            <w:r w:rsidRPr="008D53C0">
              <w:t>Obchodní firma</w:t>
            </w:r>
          </w:p>
        </w:tc>
        <w:tc>
          <w:tcPr>
            <w:tcW w:w="6439" w:type="dxa"/>
          </w:tcPr>
          <w:p w14:paraId="1EE251C6" w14:textId="77777777" w:rsidR="00136C11" w:rsidRPr="008D53C0" w:rsidDel="00384F9B" w:rsidRDefault="007E256A" w:rsidP="007253C7">
            <w:pPr>
              <w:spacing w:after="0"/>
              <w:rPr>
                <w:b/>
              </w:rPr>
            </w:pPr>
            <w:r>
              <w:rPr>
                <w:b/>
              </w:rPr>
              <w:t>Smart Net s.r.o.</w:t>
            </w:r>
          </w:p>
        </w:tc>
      </w:tr>
      <w:tr w:rsidR="00136C11" w:rsidRPr="008D53C0" w14:paraId="69B6F9AB" w14:textId="77777777" w:rsidTr="007253C7">
        <w:tc>
          <w:tcPr>
            <w:tcW w:w="2242" w:type="dxa"/>
          </w:tcPr>
          <w:p w14:paraId="09DFAF06" w14:textId="77777777" w:rsidR="00136C11" w:rsidRPr="008D53C0" w:rsidRDefault="00136C11" w:rsidP="007253C7">
            <w:pPr>
              <w:spacing w:after="0"/>
            </w:pPr>
            <w:r w:rsidRPr="008D53C0">
              <w:t>Se sídlem</w:t>
            </w:r>
          </w:p>
        </w:tc>
        <w:tc>
          <w:tcPr>
            <w:tcW w:w="6439" w:type="dxa"/>
          </w:tcPr>
          <w:p w14:paraId="654A2D41" w14:textId="77777777" w:rsidR="00136C11" w:rsidRPr="008D53C0" w:rsidDel="00384F9B" w:rsidRDefault="007E256A" w:rsidP="007253C7">
            <w:pPr>
              <w:spacing w:after="0"/>
            </w:pPr>
            <w:r w:rsidRPr="007E256A">
              <w:t>Maďarská 519/2, Drahovice, 360 01 Karlovy Vary</w:t>
            </w:r>
          </w:p>
        </w:tc>
      </w:tr>
      <w:tr w:rsidR="00136C11" w:rsidRPr="008D53C0" w14:paraId="07E116CF" w14:textId="77777777" w:rsidTr="007253C7">
        <w:tc>
          <w:tcPr>
            <w:tcW w:w="2242" w:type="dxa"/>
          </w:tcPr>
          <w:p w14:paraId="2B94F3E8" w14:textId="77777777" w:rsidR="00136C11" w:rsidRPr="008D53C0" w:rsidRDefault="00136C11" w:rsidP="007253C7">
            <w:pPr>
              <w:spacing w:after="0"/>
            </w:pPr>
            <w:r w:rsidRPr="008D53C0">
              <w:t>Zapsaná</w:t>
            </w:r>
          </w:p>
        </w:tc>
        <w:tc>
          <w:tcPr>
            <w:tcW w:w="6439" w:type="dxa"/>
          </w:tcPr>
          <w:p w14:paraId="0C5DDC82" w14:textId="77777777" w:rsidR="00136C11" w:rsidRPr="008D53C0" w:rsidDel="00384F9B" w:rsidRDefault="00136C11" w:rsidP="007253C7">
            <w:pPr>
              <w:spacing w:after="0"/>
            </w:pPr>
            <w:r w:rsidRPr="008D53C0">
              <w:rPr>
                <w:shd w:val="clear" w:color="auto" w:fill="FFFFFF"/>
              </w:rPr>
              <w:t xml:space="preserve">v obchodním rejstříku u Krajského soudu v Plzni oddíl </w:t>
            </w:r>
            <w:r w:rsidR="007E256A">
              <w:rPr>
                <w:shd w:val="clear" w:color="auto" w:fill="FFFFFF"/>
              </w:rPr>
              <w:t>C</w:t>
            </w:r>
            <w:r w:rsidRPr="008D53C0">
              <w:rPr>
                <w:shd w:val="clear" w:color="auto" w:fill="FFFFFF"/>
              </w:rPr>
              <w:t xml:space="preserve">, vložka </w:t>
            </w:r>
            <w:r w:rsidR="007E256A">
              <w:rPr>
                <w:shd w:val="clear" w:color="auto" w:fill="FFFFFF"/>
              </w:rPr>
              <w:t>37328</w:t>
            </w:r>
          </w:p>
        </w:tc>
      </w:tr>
      <w:tr w:rsidR="00136C11" w:rsidRPr="008D53C0" w14:paraId="214B1693" w14:textId="77777777" w:rsidTr="007253C7">
        <w:tc>
          <w:tcPr>
            <w:tcW w:w="2242" w:type="dxa"/>
          </w:tcPr>
          <w:p w14:paraId="6134C3C9" w14:textId="77777777" w:rsidR="00136C11" w:rsidRPr="008D53C0" w:rsidRDefault="00136C11" w:rsidP="007253C7">
            <w:pPr>
              <w:spacing w:after="0"/>
            </w:pPr>
            <w:r w:rsidRPr="008D53C0">
              <w:t>IČ</w:t>
            </w:r>
          </w:p>
        </w:tc>
        <w:tc>
          <w:tcPr>
            <w:tcW w:w="6439" w:type="dxa"/>
          </w:tcPr>
          <w:p w14:paraId="4047E5E3" w14:textId="77777777" w:rsidR="00136C11" w:rsidRPr="008D53C0" w:rsidDel="00384F9B" w:rsidRDefault="007E256A" w:rsidP="007253C7">
            <w:pPr>
              <w:spacing w:after="0"/>
              <w:rPr>
                <w:color w:val="000000"/>
              </w:rPr>
            </w:pPr>
            <w:r w:rsidRPr="007E256A">
              <w:rPr>
                <w:color w:val="000000"/>
              </w:rPr>
              <w:t>07787740</w:t>
            </w:r>
          </w:p>
        </w:tc>
      </w:tr>
      <w:tr w:rsidR="00136C11" w:rsidRPr="008D53C0" w14:paraId="25CDDBCB" w14:textId="77777777" w:rsidTr="007253C7">
        <w:tc>
          <w:tcPr>
            <w:tcW w:w="2242" w:type="dxa"/>
          </w:tcPr>
          <w:p w14:paraId="58ADC876" w14:textId="77777777" w:rsidR="00136C11" w:rsidRPr="008D53C0" w:rsidRDefault="00136C11" w:rsidP="007253C7">
            <w:pPr>
              <w:spacing w:after="0"/>
            </w:pPr>
            <w:r w:rsidRPr="008D53C0">
              <w:t>DIČ</w:t>
            </w:r>
          </w:p>
        </w:tc>
        <w:tc>
          <w:tcPr>
            <w:tcW w:w="6439" w:type="dxa"/>
          </w:tcPr>
          <w:p w14:paraId="1DF04683" w14:textId="77777777" w:rsidR="00136C11" w:rsidRPr="008D53C0" w:rsidDel="00384F9B" w:rsidRDefault="00424B4C" w:rsidP="007253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není plátce DPH</w:t>
            </w:r>
          </w:p>
        </w:tc>
      </w:tr>
      <w:tr w:rsidR="00136C11" w:rsidRPr="008D53C0" w14:paraId="26F9B5D9" w14:textId="77777777" w:rsidTr="007253C7">
        <w:tc>
          <w:tcPr>
            <w:tcW w:w="2242" w:type="dxa"/>
          </w:tcPr>
          <w:p w14:paraId="6575CA2B" w14:textId="77777777" w:rsidR="00136C11" w:rsidRPr="008D53C0" w:rsidRDefault="00136C11" w:rsidP="007253C7">
            <w:pPr>
              <w:spacing w:after="0"/>
            </w:pPr>
            <w:r w:rsidRPr="008D53C0">
              <w:t>Zastoupená</w:t>
            </w:r>
          </w:p>
        </w:tc>
        <w:tc>
          <w:tcPr>
            <w:tcW w:w="6439" w:type="dxa"/>
          </w:tcPr>
          <w:p w14:paraId="72D9C223" w14:textId="77777777" w:rsidR="00136C11" w:rsidRPr="008D53C0" w:rsidDel="00384F9B" w:rsidRDefault="00136C11" w:rsidP="007253C7">
            <w:pPr>
              <w:spacing w:after="0"/>
              <w:rPr>
                <w:color w:val="000000"/>
              </w:rPr>
            </w:pPr>
            <w:r w:rsidRPr="008D53C0">
              <w:rPr>
                <w:color w:val="000000"/>
              </w:rPr>
              <w:t xml:space="preserve">Ing. Radkem Motyčkou, </w:t>
            </w:r>
            <w:r w:rsidR="007E256A">
              <w:rPr>
                <w:color w:val="000000"/>
              </w:rPr>
              <w:t>jednatelem</w:t>
            </w:r>
          </w:p>
        </w:tc>
      </w:tr>
      <w:tr w:rsidR="00136C11" w:rsidRPr="008D53C0" w14:paraId="748A6BA8" w14:textId="77777777" w:rsidTr="007253C7">
        <w:tc>
          <w:tcPr>
            <w:tcW w:w="2242" w:type="dxa"/>
          </w:tcPr>
          <w:p w14:paraId="54C2067F" w14:textId="77777777" w:rsidR="00136C11" w:rsidRPr="008D53C0" w:rsidRDefault="00136C11" w:rsidP="007253C7">
            <w:pPr>
              <w:spacing w:after="0"/>
            </w:pPr>
            <w:r w:rsidRPr="008D53C0">
              <w:t>Bankovní spojení</w:t>
            </w:r>
          </w:p>
        </w:tc>
        <w:tc>
          <w:tcPr>
            <w:tcW w:w="6439" w:type="dxa"/>
          </w:tcPr>
          <w:p w14:paraId="3280069C" w14:textId="77777777" w:rsidR="00136C11" w:rsidRPr="008D53C0" w:rsidDel="00384F9B" w:rsidRDefault="00424B4C" w:rsidP="007253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ČS 5533037319/0800</w:t>
            </w:r>
          </w:p>
        </w:tc>
      </w:tr>
    </w:tbl>
    <w:p w14:paraId="7D50F5D4" w14:textId="77777777" w:rsidR="00136C11" w:rsidRPr="008D53C0" w:rsidRDefault="00136C11" w:rsidP="00136C11">
      <w:pPr>
        <w:spacing w:after="0"/>
      </w:pPr>
      <w:bookmarkStart w:id="1" w:name="_Toc301428939"/>
    </w:p>
    <w:p w14:paraId="25F3B224" w14:textId="77777777" w:rsidR="00136C11" w:rsidRPr="008D53C0" w:rsidRDefault="00136C11" w:rsidP="00136C11">
      <w:pPr>
        <w:rPr>
          <w:b/>
          <w:bCs/>
        </w:rPr>
      </w:pPr>
      <w:r w:rsidRPr="008D53C0">
        <w:t>(dále jen „</w:t>
      </w:r>
      <w:r w:rsidRPr="008D53C0">
        <w:rPr>
          <w:b/>
          <w:bCs/>
        </w:rPr>
        <w:t>Poskytovatel</w:t>
      </w:r>
      <w:r w:rsidRPr="008D53C0">
        <w:t>“ nebo „</w:t>
      </w:r>
      <w:r w:rsidR="007E256A">
        <w:rPr>
          <w:b/>
          <w:bCs/>
        </w:rPr>
        <w:t>SN</w:t>
      </w:r>
      <w:r w:rsidRPr="008D53C0">
        <w:t>“)</w:t>
      </w:r>
      <w:bookmarkEnd w:id="1"/>
    </w:p>
    <w:p w14:paraId="1105C6C1" w14:textId="77777777" w:rsidR="00136C11" w:rsidRPr="008D53C0" w:rsidRDefault="00136C11" w:rsidP="00136C11">
      <w:r w:rsidRPr="008D53C0">
        <w:t>Spolu také jako „smluvní strany“.</w:t>
      </w:r>
    </w:p>
    <w:p w14:paraId="25A68C04" w14:textId="21C9B191" w:rsidR="00136C11" w:rsidRPr="008D53C0" w:rsidRDefault="00136C11" w:rsidP="00136C11">
      <w:pPr>
        <w:pStyle w:val="Nadpis2"/>
      </w:pPr>
      <w:r w:rsidRPr="008D53C0">
        <w:t xml:space="preserve">Předmět a účel </w:t>
      </w:r>
      <w:r w:rsidR="00EE14B7">
        <w:t>dodatku</w:t>
      </w:r>
    </w:p>
    <w:p w14:paraId="01564E3F" w14:textId="308D7053" w:rsidR="00EE14B7" w:rsidRDefault="00136C11" w:rsidP="00EE14B7">
      <w:r w:rsidRPr="008D53C0">
        <w:t xml:space="preserve">Předmětem </w:t>
      </w:r>
      <w:r w:rsidR="00EE14B7">
        <w:t>tohoto Dodatku je úprava bodu 3.1. (Cena) Smlouvy o poskytování služeb ze dne 1.3.20</w:t>
      </w:r>
      <w:r w:rsidR="00F559EA">
        <w:t>19</w:t>
      </w:r>
      <w:r w:rsidR="00EE14B7">
        <w:t xml:space="preserve"> a Přílohy č.1 Smlouvy</w:t>
      </w:r>
      <w:r w:rsidR="00484FC5">
        <w:t>.</w:t>
      </w:r>
      <w:r w:rsidR="00EE14B7">
        <w:t xml:space="preserve"> </w:t>
      </w:r>
    </w:p>
    <w:p w14:paraId="34EEF684" w14:textId="4F3585C0" w:rsidR="00136C11" w:rsidRPr="00EE14B7" w:rsidRDefault="00EE14B7" w:rsidP="00136C11">
      <w:pPr>
        <w:spacing w:after="0"/>
        <w:jc w:val="both"/>
        <w:rPr>
          <w:b/>
          <w:bCs/>
        </w:rPr>
      </w:pPr>
      <w:r w:rsidRPr="00EE14B7">
        <w:rPr>
          <w:b/>
          <w:bCs/>
        </w:rPr>
        <w:t>Nové znění bodu 3.1.</w:t>
      </w:r>
    </w:p>
    <w:p w14:paraId="01A562C1" w14:textId="3FF3CAD4" w:rsidR="00EE14B7" w:rsidRPr="008D53C0" w:rsidRDefault="00EE14B7" w:rsidP="00EE14B7">
      <w:pPr>
        <w:numPr>
          <w:ilvl w:val="1"/>
          <w:numId w:val="8"/>
        </w:numPr>
        <w:suppressAutoHyphens/>
        <w:spacing w:after="0" w:line="240" w:lineRule="auto"/>
        <w:jc w:val="both"/>
      </w:pPr>
      <w:r w:rsidRPr="008D53C0">
        <w:t xml:space="preserve">Celková výše ceny měsíčního plnění za řádně a včas poskytované Služby činí </w:t>
      </w:r>
      <w:r>
        <w:rPr>
          <w:b/>
        </w:rPr>
        <w:t>10</w:t>
      </w:r>
      <w:r w:rsidRPr="00EE6823">
        <w:rPr>
          <w:b/>
        </w:rPr>
        <w:t xml:space="preserve"> 500 Kč</w:t>
      </w:r>
      <w:r w:rsidRPr="00EE6823">
        <w:t xml:space="preserve"> (slovy </w:t>
      </w:r>
      <w:proofErr w:type="spellStart"/>
      <w:r>
        <w:t>deset</w:t>
      </w:r>
      <w:r w:rsidRPr="00EE6823">
        <w:t>tisíc</w:t>
      </w:r>
      <w:r>
        <w:t>pětset</w:t>
      </w:r>
      <w:proofErr w:type="spellEnd"/>
      <w:r w:rsidRPr="008D53C0">
        <w:t xml:space="preserve"> korun českých). </w:t>
      </w:r>
    </w:p>
    <w:p w14:paraId="185D0826" w14:textId="77777777" w:rsidR="00EE14B7" w:rsidRDefault="00EE14B7" w:rsidP="00136C11">
      <w:pPr>
        <w:spacing w:after="0"/>
        <w:jc w:val="both"/>
      </w:pPr>
    </w:p>
    <w:p w14:paraId="6523A23F" w14:textId="06B8ED4D" w:rsidR="00136C11" w:rsidRPr="0037768A" w:rsidRDefault="00136C11" w:rsidP="00136C11">
      <w:pPr>
        <w:pStyle w:val="Nadpis2"/>
      </w:pPr>
      <w:bookmarkStart w:id="2" w:name="_Toc298149494"/>
      <w:bookmarkStart w:id="3" w:name="_Toc298149592"/>
      <w:bookmarkStart w:id="4" w:name="_Toc301428820"/>
      <w:bookmarkStart w:id="5" w:name="_Toc301428950"/>
      <w:bookmarkStart w:id="6" w:name="_Toc301428977"/>
      <w:r w:rsidRPr="0037768A">
        <w:t>Závěrečná ustanovení</w:t>
      </w:r>
      <w:bookmarkEnd w:id="2"/>
      <w:bookmarkEnd w:id="3"/>
      <w:bookmarkEnd w:id="4"/>
      <w:bookmarkEnd w:id="5"/>
      <w:bookmarkEnd w:id="6"/>
    </w:p>
    <w:p w14:paraId="436758FA" w14:textId="5688FAC9" w:rsidR="00484FC5" w:rsidRDefault="00484FC5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>
        <w:t>Veškerá další nezměněná ustanovení Smlouvy zůstávají v platnosti.</w:t>
      </w:r>
    </w:p>
    <w:p w14:paraId="50F06617" w14:textId="40276C02" w:rsidR="00136C11" w:rsidRPr="0037768A" w:rsidRDefault="00136C11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t>T</w:t>
      </w:r>
      <w:r w:rsidR="00EE14B7">
        <w:t xml:space="preserve">ento Dodatek </w:t>
      </w:r>
      <w:r w:rsidRPr="0037768A">
        <w:t>je vyhotoven ve dvou výtiscích v českém jazyce, přičemž ob</w:t>
      </w:r>
      <w:r w:rsidR="00EE14B7">
        <w:t>ě</w:t>
      </w:r>
      <w:r w:rsidRPr="0037768A">
        <w:t xml:space="preserve"> vyhotovení mají platnost originálu. Jeden výtisk </w:t>
      </w:r>
      <w:r w:rsidR="00EE14B7">
        <w:t>Dodatku</w:t>
      </w:r>
      <w:r w:rsidRPr="0037768A">
        <w:t xml:space="preserve"> obdrží Objednatel a jeden výtisk Poskytovatel.</w:t>
      </w:r>
    </w:p>
    <w:p w14:paraId="5D12D9E9" w14:textId="77777777" w:rsidR="00484FC5" w:rsidRDefault="00136C11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lastRenderedPageBreak/>
        <w:t>T</w:t>
      </w:r>
      <w:r w:rsidR="00EE14B7">
        <w:t xml:space="preserve">ento Dodatek </w:t>
      </w:r>
      <w:r w:rsidRPr="0037768A">
        <w:t xml:space="preserve">nabývá platnosti a účinnosti dnem jejího podpisu oprávněnými zástupci obou smluvních stran. </w:t>
      </w:r>
    </w:p>
    <w:p w14:paraId="3C42C842" w14:textId="77777777" w:rsidR="00484FC5" w:rsidRPr="0037768A" w:rsidRDefault="00484FC5" w:rsidP="00484FC5">
      <w:pPr>
        <w:numPr>
          <w:ilvl w:val="1"/>
          <w:numId w:val="11"/>
        </w:numPr>
        <w:suppressAutoHyphens/>
        <w:spacing w:after="0" w:line="240" w:lineRule="auto"/>
        <w:ind w:left="851" w:hanging="578"/>
        <w:jc w:val="both"/>
      </w:pPr>
      <w:r w:rsidRPr="0037768A">
        <w:t>Nedílnou součástí Smlouvy jsou následující přílohy:</w:t>
      </w:r>
    </w:p>
    <w:p w14:paraId="690950D5" w14:textId="77777777" w:rsidR="00484FC5" w:rsidRPr="0037768A" w:rsidRDefault="00484FC5" w:rsidP="00484FC5">
      <w:pPr>
        <w:spacing w:after="0"/>
        <w:ind w:left="851" w:hanging="578"/>
        <w:jc w:val="both"/>
      </w:pPr>
      <w:r w:rsidRPr="0037768A">
        <w:tab/>
        <w:t>Příloha č. 1 – Popis a parametry služby</w:t>
      </w:r>
    </w:p>
    <w:p w14:paraId="256EF8D0" w14:textId="77777777" w:rsidR="00484FC5" w:rsidRDefault="00484FC5" w:rsidP="00484FC5">
      <w:pPr>
        <w:spacing w:after="0"/>
        <w:ind w:left="851" w:hanging="578"/>
        <w:jc w:val="both"/>
      </w:pPr>
      <w:r w:rsidRPr="0037768A">
        <w:tab/>
        <w:t>Příloha č. 2 – Pověření pracovníci a další kontakty</w:t>
      </w:r>
    </w:p>
    <w:p w14:paraId="31896429" w14:textId="0C5492FE" w:rsidR="00136C11" w:rsidRDefault="00484FC5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t>Smluvní strany prohlašují, že si t</w:t>
      </w:r>
      <w:r>
        <w:t xml:space="preserve">ento Dodatek </w:t>
      </w:r>
      <w:r w:rsidRPr="0037768A">
        <w:t>přečetly, že s je</w:t>
      </w:r>
      <w:r>
        <w:t>ho</w:t>
      </w:r>
      <w:r w:rsidRPr="0037768A">
        <w:t xml:space="preserve"> obsahem souhlasí a na důkaz toho k n</w:t>
      </w:r>
      <w:r>
        <w:t>ěmu</w:t>
      </w:r>
      <w:r w:rsidRPr="0037768A">
        <w:t xml:space="preserve"> připojují svoje podpisy.</w:t>
      </w:r>
      <w:r w:rsidR="00136C11" w:rsidRPr="0037768A">
        <w:t xml:space="preserve"> </w:t>
      </w:r>
    </w:p>
    <w:p w14:paraId="5596B356" w14:textId="3F4B206B" w:rsidR="00136C11" w:rsidRPr="0037768A" w:rsidRDefault="00136C11" w:rsidP="00484FC5">
      <w:pPr>
        <w:spacing w:after="0"/>
        <w:ind w:left="851" w:hanging="567"/>
        <w:jc w:val="both"/>
      </w:pPr>
    </w:p>
    <w:p w14:paraId="116AC3A3" w14:textId="3FB0072C" w:rsidR="00136C11" w:rsidRPr="0037768A" w:rsidRDefault="00136C11" w:rsidP="00136C11">
      <w:r w:rsidRPr="00EE6823">
        <w:t>V</w:t>
      </w:r>
      <w:r w:rsidR="00EE6823" w:rsidRPr="00EE6823">
        <w:t> Karlových Varech</w:t>
      </w:r>
      <w:r w:rsidRPr="00EE6823">
        <w:t xml:space="preserve"> dne </w:t>
      </w:r>
      <w:r w:rsidR="00EE6823" w:rsidRPr="00EE6823">
        <w:t>1.</w:t>
      </w:r>
      <w:r w:rsidR="00EE14B7">
        <w:t>9</w:t>
      </w:r>
      <w:r w:rsidRPr="00EE6823">
        <w:t>.20</w:t>
      </w:r>
      <w:r w:rsidR="00C27303">
        <w:t>2</w:t>
      </w:r>
      <w:r w:rsidR="00EE14B7">
        <w:t>3</w:t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</w:p>
    <w:p w14:paraId="47E00314" w14:textId="77777777" w:rsidR="00136C11" w:rsidRPr="0037768A" w:rsidRDefault="00136C11" w:rsidP="00136C11"/>
    <w:p w14:paraId="77E2FF50" w14:textId="77777777" w:rsidR="00136C11" w:rsidRPr="0037768A" w:rsidRDefault="00136C11" w:rsidP="00136C11"/>
    <w:p w14:paraId="5A69933A" w14:textId="77777777" w:rsidR="00136C11" w:rsidRPr="0037768A" w:rsidRDefault="00136C11" w:rsidP="00136C11">
      <w:r w:rsidRPr="0037768A">
        <w:t>Podpis: __________________</w:t>
      </w:r>
      <w:r w:rsidRPr="0037768A">
        <w:tab/>
      </w:r>
      <w:r w:rsidRPr="0037768A">
        <w:tab/>
      </w:r>
      <w:r w:rsidRPr="0037768A">
        <w:tab/>
      </w:r>
      <w:r w:rsidRPr="0037768A">
        <w:tab/>
        <w:t>Podpis: __________________</w:t>
      </w:r>
    </w:p>
    <w:p w14:paraId="1F41F8F4" w14:textId="77777777" w:rsidR="00136C11" w:rsidRPr="0037768A" w:rsidRDefault="00136C11" w:rsidP="00136C11">
      <w:pPr>
        <w:spacing w:after="0"/>
        <w:ind w:firstLine="708"/>
      </w:pPr>
      <w:r w:rsidRPr="0037768A">
        <w:t xml:space="preserve">Objednatel </w:t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  <w:t>Poskytovatel</w:t>
      </w:r>
    </w:p>
    <w:p w14:paraId="40F87D29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  <w:t>Smart Net s.r.o.</w:t>
      </w:r>
    </w:p>
    <w:p w14:paraId="17E6638A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</w:r>
      <w:r w:rsidRPr="0037768A">
        <w:t>Ing. Radek Motyčka</w:t>
      </w:r>
    </w:p>
    <w:p w14:paraId="7C857035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  <w:t>jednatel</w:t>
      </w:r>
    </w:p>
    <w:p w14:paraId="262EA19C" w14:textId="77777777" w:rsidR="00136C11" w:rsidRPr="0037768A" w:rsidRDefault="00136C11" w:rsidP="00136C11">
      <w:pPr>
        <w:pStyle w:val="Nadpis1"/>
      </w:pPr>
      <w:r w:rsidRPr="0037768A">
        <w:br w:type="page"/>
      </w:r>
      <w:r w:rsidRPr="0037768A">
        <w:lastRenderedPageBreak/>
        <w:t xml:space="preserve">Příloha č.1 - </w:t>
      </w:r>
      <w:bookmarkStart w:id="7" w:name="_Toc298149495"/>
      <w:bookmarkStart w:id="8" w:name="_Toc298149593"/>
      <w:bookmarkStart w:id="9" w:name="_Toc301428821"/>
      <w:bookmarkStart w:id="10" w:name="_Toc301428952"/>
      <w:bookmarkStart w:id="11" w:name="_Toc301428978"/>
      <w:r w:rsidRPr="0037768A">
        <w:t>Popis a parametry</w:t>
      </w:r>
      <w:bookmarkStart w:id="12" w:name="_Toc262071399"/>
      <w:bookmarkStart w:id="13" w:name="_Toc317756507"/>
      <w:bookmarkEnd w:id="7"/>
      <w:bookmarkEnd w:id="8"/>
      <w:bookmarkEnd w:id="9"/>
      <w:bookmarkEnd w:id="10"/>
      <w:bookmarkEnd w:id="11"/>
      <w:r w:rsidRPr="0037768A">
        <w:t xml:space="preserve"> služby a servisní podpory</w:t>
      </w:r>
    </w:p>
    <w:p w14:paraId="65FA96FD" w14:textId="77777777" w:rsidR="00136C11" w:rsidRPr="0037768A" w:rsidRDefault="00136C11" w:rsidP="00136C11">
      <w:bookmarkStart w:id="14" w:name="_Toc317756520"/>
      <w:bookmarkEnd w:id="12"/>
      <w:bookmarkEnd w:id="13"/>
      <w:r w:rsidRPr="0037768A">
        <w:t xml:space="preserve">Poskytované Služby </w:t>
      </w:r>
      <w:r>
        <w:t>se skládají zejména</w:t>
      </w:r>
      <w:r w:rsidRPr="0037768A">
        <w:t xml:space="preserve"> z následujících činností:</w:t>
      </w:r>
    </w:p>
    <w:p w14:paraId="597F6663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Servis výpočetní techniky</w:t>
      </w:r>
    </w:p>
    <w:p w14:paraId="0787D52F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Ú</w:t>
      </w:r>
      <w:r>
        <w:t>držba a správa sítí a serverů</w:t>
      </w:r>
    </w:p>
    <w:p w14:paraId="010A312A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>
        <w:t>T</w:t>
      </w:r>
      <w:r w:rsidRPr="0037768A">
        <w:t>elefonická dostupnost pro nahlášení problému</w:t>
      </w:r>
    </w:p>
    <w:p w14:paraId="7F0CB780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Prostředník pro komunikaci a podpora při jednání se třetími stran</w:t>
      </w:r>
      <w:r>
        <w:t>ami – dodavateli softwarů</w:t>
      </w:r>
    </w:p>
    <w:p w14:paraId="25E89FE4" w14:textId="0F224CAF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 xml:space="preserve">Zajištění nákupu, dopravy a instalace nové PC techniky (PC, NTB </w:t>
      </w:r>
      <w:r w:rsidR="00EE14B7">
        <w:t>–</w:t>
      </w:r>
      <w:r w:rsidRPr="0037768A">
        <w:t xml:space="preserve"> bez</w:t>
      </w:r>
      <w:r w:rsidR="00EE14B7">
        <w:t xml:space="preserve"> </w:t>
      </w:r>
      <w:r w:rsidRPr="0037768A">
        <w:t>nákladů na nákup)</w:t>
      </w:r>
    </w:p>
    <w:p w14:paraId="684AAC8A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Zajištění opravy PC techniky vč. dopravy (bez nákladů na opravu)</w:t>
      </w:r>
    </w:p>
    <w:p w14:paraId="13CA2B9D" w14:textId="77777777" w:rsidR="00136C11" w:rsidRDefault="00136C11" w:rsidP="00136C11"/>
    <w:p w14:paraId="4DF7D4B7" w14:textId="27EEC373" w:rsidR="00136C11" w:rsidRPr="00EE6823" w:rsidRDefault="00136C11" w:rsidP="00136C11">
      <w:pPr>
        <w:jc w:val="both"/>
      </w:pPr>
      <w:r>
        <w:t>Veškeré uvedené služby provádí technik v </w:t>
      </w:r>
      <w:r w:rsidRPr="00EE6823">
        <w:t xml:space="preserve">dohodnutém rozsahu max. </w:t>
      </w:r>
      <w:r w:rsidR="00EE6823" w:rsidRPr="00EE6823">
        <w:t>4</w:t>
      </w:r>
      <w:r w:rsidRPr="00EE6823">
        <w:t xml:space="preserve"> hodin</w:t>
      </w:r>
      <w:r w:rsidR="00EE6823" w:rsidRPr="00EE6823">
        <w:t>y</w:t>
      </w:r>
      <w:r w:rsidRPr="00EE6823">
        <w:t xml:space="preserve">/týden. Pokud přesáhnou hodiny tento rámec v součtu za měsíc, budou Objednateli tyto hodiny naúčtovány dle skutečnosti s hodinovou sazbou </w:t>
      </w:r>
      <w:r w:rsidR="00EE14B7">
        <w:t>5</w:t>
      </w:r>
      <w:r w:rsidRPr="00EE6823">
        <w:t>50 Kč/hodina.</w:t>
      </w:r>
    </w:p>
    <w:p w14:paraId="37A8508A" w14:textId="3F9E6C4F" w:rsidR="00136C11" w:rsidRPr="00EE6823" w:rsidRDefault="00136C11" w:rsidP="00136C11">
      <w:pPr>
        <w:pStyle w:val="Nadpis2"/>
        <w:numPr>
          <w:ilvl w:val="0"/>
          <w:numId w:val="0"/>
        </w:numPr>
      </w:pPr>
      <w:r w:rsidRPr="00EE6823">
        <w:t xml:space="preserve">Servis výpočetní techniky </w:t>
      </w:r>
      <w:r w:rsidR="00484FC5">
        <w:t>–</w:t>
      </w:r>
      <w:r w:rsidRPr="00EE6823">
        <w:t xml:space="preserve"> PC</w:t>
      </w:r>
      <w:r w:rsidR="00484FC5">
        <w:t>,</w:t>
      </w:r>
      <w:r w:rsidRPr="00EE6823">
        <w:t xml:space="preserve"> notebooky, tiskárny a monitory </w:t>
      </w:r>
    </w:p>
    <w:p w14:paraId="4F2692BA" w14:textId="77777777" w:rsidR="00136C11" w:rsidRPr="004D085C" w:rsidRDefault="00136C11" w:rsidP="00136C11">
      <w:pPr>
        <w:rPr>
          <w:u w:val="single"/>
        </w:rPr>
      </w:pPr>
      <w:r w:rsidRPr="00EE6823">
        <w:rPr>
          <w:u w:val="single"/>
        </w:rPr>
        <w:t>V dohodnutém dnu v</w:t>
      </w:r>
      <w:r w:rsidR="00EE6823" w:rsidRPr="00EE6823">
        <w:rPr>
          <w:u w:val="single"/>
        </w:rPr>
        <w:t> </w:t>
      </w:r>
      <w:r w:rsidRPr="00EE6823">
        <w:rPr>
          <w:u w:val="single"/>
        </w:rPr>
        <w:t>rozsahu</w:t>
      </w:r>
      <w:r w:rsidR="00EE6823" w:rsidRPr="00EE6823">
        <w:rPr>
          <w:u w:val="single"/>
        </w:rPr>
        <w:t xml:space="preserve"> 4</w:t>
      </w:r>
      <w:r w:rsidRPr="00EE6823">
        <w:rPr>
          <w:u w:val="single"/>
        </w:rPr>
        <w:t xml:space="preserve"> hodin</w:t>
      </w:r>
      <w:r w:rsidR="00EE6823" w:rsidRPr="00EE6823">
        <w:rPr>
          <w:u w:val="single"/>
        </w:rPr>
        <w:t>y</w:t>
      </w:r>
      <w:r w:rsidRPr="00EE6823">
        <w:rPr>
          <w:u w:val="single"/>
        </w:rPr>
        <w:t xml:space="preserve"> za týden na místě</w:t>
      </w:r>
      <w:r>
        <w:rPr>
          <w:u w:val="single"/>
        </w:rPr>
        <w:t xml:space="preserve"> u Objednatele</w:t>
      </w:r>
    </w:p>
    <w:p w14:paraId="15D7C62F" w14:textId="77777777" w:rsidR="00136C11" w:rsidRPr="0037768A" w:rsidRDefault="00136C11" w:rsidP="00136C1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37768A">
        <w:t xml:space="preserve">Řešení provozních požadavků zákazníka, nahlášených buď telefonicky na </w:t>
      </w:r>
      <w:r w:rsidR="00EE6823">
        <w:t>725 822 183</w:t>
      </w:r>
      <w:r w:rsidR="00EE6823" w:rsidRPr="0037768A">
        <w:t xml:space="preserve"> </w:t>
      </w:r>
      <w:r w:rsidRPr="0037768A">
        <w:t xml:space="preserve">nebo elektronicky přes modul </w:t>
      </w:r>
      <w:r>
        <w:t>požadavky</w:t>
      </w:r>
      <w:r w:rsidRPr="0037768A">
        <w:t>, popř. emailem.</w:t>
      </w:r>
    </w:p>
    <w:p w14:paraId="11DAC009" w14:textId="77777777" w:rsidR="00136C11" w:rsidRPr="0037768A" w:rsidRDefault="00136C11" w:rsidP="00136C1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37768A">
        <w:t xml:space="preserve">Řešení požadavku probíhá buď vzdálenou správou, přes </w:t>
      </w:r>
      <w:proofErr w:type="spellStart"/>
      <w:r w:rsidRPr="0037768A">
        <w:t>Teamviewera</w:t>
      </w:r>
      <w:proofErr w:type="spellEnd"/>
      <w:r w:rsidRPr="0037768A">
        <w:t xml:space="preserve"> nebo osobně na místě.</w:t>
      </w:r>
    </w:p>
    <w:p w14:paraId="1005CD46" w14:textId="77777777" w:rsidR="00136C11" w:rsidRPr="00D70BBB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D70BBB">
        <w:t>V</w:t>
      </w:r>
      <w:r>
        <w:t> paušální úhradě</w:t>
      </w:r>
      <w:r w:rsidRPr="00D70BBB">
        <w:t xml:space="preserve"> </w:t>
      </w:r>
      <w:r>
        <w:t>je</w:t>
      </w:r>
      <w:r w:rsidRPr="00D70BBB">
        <w:t xml:space="preserve"> </w:t>
      </w:r>
      <w:r>
        <w:t>zahrnut 1 výjezd</w:t>
      </w:r>
      <w:r w:rsidRPr="00D70BBB">
        <w:t>/</w:t>
      </w:r>
      <w:r>
        <w:t>týden</w:t>
      </w:r>
      <w:r w:rsidRPr="00D70BBB">
        <w:t xml:space="preserve">, </w:t>
      </w:r>
      <w:r w:rsidR="00EE6823" w:rsidRPr="00D70BBB">
        <w:t xml:space="preserve">další výjezdy jsou účtovány paušální částkou </w:t>
      </w:r>
      <w:r w:rsidR="00EE6823">
        <w:t>20</w:t>
      </w:r>
      <w:r w:rsidR="00EE6823" w:rsidRPr="00D70BBB">
        <w:t>0 Kč</w:t>
      </w:r>
      <w:r>
        <w:t>.</w:t>
      </w:r>
      <w:r w:rsidRPr="00100867">
        <w:t xml:space="preserve"> </w:t>
      </w:r>
    </w:p>
    <w:p w14:paraId="49A0AC27" w14:textId="04237A2F" w:rsidR="00136C11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D70BBB">
        <w:t>Hodinová sazba IT technika pro další vyžádané služby</w:t>
      </w:r>
      <w:r>
        <w:t>/ výjezdy ze strany zákazníka</w:t>
      </w:r>
      <w:r w:rsidRPr="00D70BBB">
        <w:t xml:space="preserve"> je </w:t>
      </w:r>
      <w:r w:rsidR="00EE14B7">
        <w:t>5</w:t>
      </w:r>
      <w:r w:rsidRPr="00D70BBB">
        <w:t>50 Kč/hodina.</w:t>
      </w:r>
      <w:r w:rsidRPr="001703F1">
        <w:t xml:space="preserve"> </w:t>
      </w:r>
    </w:p>
    <w:p w14:paraId="33F93713" w14:textId="77777777" w:rsidR="00136C11" w:rsidRPr="0037768A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7768A">
        <w:t xml:space="preserve">Plánovaná práce a zásahy </w:t>
      </w:r>
      <w:r w:rsidRPr="001703F1">
        <w:rPr>
          <w:b/>
        </w:rPr>
        <w:t>mimo pracovní dobu</w:t>
      </w:r>
      <w:r w:rsidRPr="0037768A">
        <w:t xml:space="preserve"> (na přání </w:t>
      </w:r>
      <w:r>
        <w:t>Objednatele</w:t>
      </w:r>
      <w:r w:rsidRPr="0037768A">
        <w:t xml:space="preserve">) je po oboustranné dohodě možná. Tato práce je zpoplatněna sazbou je </w:t>
      </w:r>
      <w:r w:rsidR="00EE6823">
        <w:t>6</w:t>
      </w:r>
      <w:r w:rsidRPr="0037768A">
        <w:t>50 Kč/hodinu.</w:t>
      </w:r>
    </w:p>
    <w:p w14:paraId="7AC2A4BF" w14:textId="77777777" w:rsidR="00136C11" w:rsidRPr="0037768A" w:rsidRDefault="00136C11" w:rsidP="00136C11"/>
    <w:p w14:paraId="18373338" w14:textId="59D3C49E" w:rsidR="00136C11" w:rsidRPr="004D085C" w:rsidRDefault="00136C11" w:rsidP="00136C11">
      <w:pPr>
        <w:rPr>
          <w:b/>
          <w:u w:val="single"/>
        </w:rPr>
      </w:pPr>
      <w:r w:rsidRPr="00EE6823">
        <w:rPr>
          <w:b/>
        </w:rPr>
        <w:t xml:space="preserve">Postup pro hlášení závad a požadavků – </w:t>
      </w:r>
      <w:r w:rsidRPr="00EE6823">
        <w:rPr>
          <w:b/>
          <w:u w:val="single"/>
        </w:rPr>
        <w:t xml:space="preserve">tel. </w:t>
      </w:r>
      <w:r w:rsidR="00A14456">
        <w:rPr>
          <w:b/>
          <w:u w:val="single"/>
        </w:rPr>
        <w:t>XXXXXXXXXXXX</w:t>
      </w:r>
    </w:p>
    <w:p w14:paraId="18B49A54" w14:textId="77777777" w:rsidR="00136C11" w:rsidRPr="0037768A" w:rsidRDefault="00136C11" w:rsidP="00136C11">
      <w:pPr>
        <w:jc w:val="both"/>
      </w:pPr>
      <w:r w:rsidRPr="0037768A">
        <w:rPr>
          <w:u w:val="single"/>
        </w:rPr>
        <w:t xml:space="preserve">V pracovní době </w:t>
      </w:r>
      <w:r>
        <w:rPr>
          <w:u w:val="single"/>
        </w:rPr>
        <w:t>8</w:t>
      </w:r>
      <w:r w:rsidRPr="0037768A">
        <w:rPr>
          <w:u w:val="single"/>
        </w:rPr>
        <w:t>.00 – 1</w:t>
      </w:r>
      <w:r>
        <w:rPr>
          <w:u w:val="single"/>
        </w:rPr>
        <w:t>6</w:t>
      </w:r>
      <w:r w:rsidRPr="0037768A">
        <w:rPr>
          <w:u w:val="single"/>
        </w:rPr>
        <w:t>.30 hodin</w:t>
      </w:r>
      <w:r w:rsidRPr="0037768A">
        <w:t xml:space="preserve"> hlásit prostřednictvím modulu </w:t>
      </w:r>
      <w:r>
        <w:t>Požadavky</w:t>
      </w:r>
      <w:r w:rsidRPr="0037768A">
        <w:t xml:space="preserve"> na </w:t>
      </w:r>
      <w:r>
        <w:t>webových stránkách</w:t>
      </w:r>
      <w:r w:rsidRPr="0037768A">
        <w:t xml:space="preserve"> nebo na telefonním čísle (v případě, že není dostupné nebo je obsazené, lze volat na další v pořadí): </w:t>
      </w:r>
    </w:p>
    <w:p w14:paraId="639137B8" w14:textId="3E407EC6" w:rsidR="00136C11" w:rsidRPr="00EE6823" w:rsidRDefault="00A14456" w:rsidP="00136C11">
      <w:pPr>
        <w:numPr>
          <w:ilvl w:val="2"/>
          <w:numId w:val="9"/>
        </w:numPr>
        <w:suppressAutoHyphens/>
        <w:spacing w:after="0" w:line="240" w:lineRule="auto"/>
      </w:pPr>
      <w:r>
        <w:rPr>
          <w:b/>
        </w:rPr>
        <w:t>XXXXXXXX</w:t>
      </w:r>
      <w:r w:rsidR="00136C11" w:rsidRPr="00EE6823">
        <w:rPr>
          <w:b/>
        </w:rPr>
        <w:t xml:space="preserve"> – </w:t>
      </w:r>
      <w:r w:rsidR="00EE6823" w:rsidRPr="00EE6823">
        <w:rPr>
          <w:b/>
        </w:rPr>
        <w:t>technik</w:t>
      </w:r>
      <w:r w:rsidR="00136C11" w:rsidRPr="00EE6823">
        <w:rPr>
          <w:b/>
        </w:rPr>
        <w:t xml:space="preserve"> </w:t>
      </w:r>
    </w:p>
    <w:p w14:paraId="55137851" w14:textId="310EF7B7" w:rsidR="00136C11" w:rsidRPr="00EE6823" w:rsidRDefault="00A14456" w:rsidP="00136C11">
      <w:pPr>
        <w:numPr>
          <w:ilvl w:val="2"/>
          <w:numId w:val="9"/>
        </w:numPr>
        <w:suppressAutoHyphens/>
        <w:spacing w:after="0" w:line="240" w:lineRule="auto"/>
      </w:pPr>
      <w:r>
        <w:rPr>
          <w:b/>
        </w:rPr>
        <w:t>XXXXXXXX</w:t>
      </w:r>
      <w:r w:rsidR="00136C11" w:rsidRPr="00EE6823">
        <w:t xml:space="preserve"> – </w:t>
      </w:r>
      <w:r w:rsidR="00136C11" w:rsidRPr="00EE6823">
        <w:rPr>
          <w:b/>
        </w:rPr>
        <w:t>dispečink</w:t>
      </w:r>
    </w:p>
    <w:p w14:paraId="66FB9989" w14:textId="77777777" w:rsidR="00136C11" w:rsidRPr="00441E8F" w:rsidRDefault="00136C11" w:rsidP="00136C11">
      <w:pPr>
        <w:suppressAutoHyphens/>
        <w:spacing w:after="0" w:line="240" w:lineRule="auto"/>
        <w:ind w:left="5732"/>
      </w:pPr>
    </w:p>
    <w:p w14:paraId="5D3DFC00" w14:textId="22BCFEF9" w:rsidR="00136C11" w:rsidRPr="0037768A" w:rsidRDefault="00136C11" w:rsidP="00136C11">
      <w:pPr>
        <w:jc w:val="both"/>
      </w:pPr>
      <w:r w:rsidRPr="0037768A">
        <w:rPr>
          <w:u w:val="single"/>
        </w:rPr>
        <w:t>Mimo pracovní dobu, o víkendech a svátcích</w:t>
      </w:r>
      <w:r w:rsidRPr="0037768A">
        <w:t xml:space="preserve"> hlásit </w:t>
      </w:r>
      <w:r w:rsidRPr="0037768A">
        <w:rPr>
          <w:b/>
        </w:rPr>
        <w:t>výhradně</w:t>
      </w:r>
      <w:r w:rsidRPr="0037768A">
        <w:t xml:space="preserve"> na telefonním čísle: </w:t>
      </w:r>
      <w:r w:rsidR="00A14456">
        <w:rPr>
          <w:b/>
          <w:u w:val="single"/>
        </w:rPr>
        <w:t>XXXXXXXX</w:t>
      </w:r>
    </w:p>
    <w:p w14:paraId="2DF98709" w14:textId="77777777" w:rsidR="00136C11" w:rsidRPr="0037768A" w:rsidRDefault="00136C11" w:rsidP="00136C11">
      <w:pPr>
        <w:jc w:val="both"/>
      </w:pPr>
    </w:p>
    <w:p w14:paraId="58BE217C" w14:textId="77777777" w:rsidR="00136C11" w:rsidRPr="0037768A" w:rsidRDefault="00136C11" w:rsidP="00136C11">
      <w:pPr>
        <w:numPr>
          <w:ilvl w:val="0"/>
          <w:numId w:val="10"/>
        </w:numPr>
        <w:suppressAutoHyphens/>
        <w:spacing w:after="0" w:line="240" w:lineRule="auto"/>
      </w:pPr>
      <w:r w:rsidRPr="0037768A">
        <w:br w:type="page"/>
      </w:r>
    </w:p>
    <w:p w14:paraId="11177B40" w14:textId="77777777" w:rsidR="00136C11" w:rsidRPr="0037768A" w:rsidRDefault="00136C11" w:rsidP="00136C11">
      <w:pPr>
        <w:pStyle w:val="Nadpis1"/>
      </w:pPr>
      <w:r w:rsidRPr="0037768A">
        <w:lastRenderedPageBreak/>
        <w:t>Příloha č.2 - Pověření pracovníci a další kontakty</w:t>
      </w:r>
    </w:p>
    <w:bookmarkEnd w:id="14"/>
    <w:p w14:paraId="4CDFFAA0" w14:textId="77777777" w:rsidR="00136C11" w:rsidRPr="0037768A" w:rsidRDefault="00136C11" w:rsidP="00136C11"/>
    <w:p w14:paraId="479EA4B1" w14:textId="77777777" w:rsidR="00136C11" w:rsidRPr="0037768A" w:rsidRDefault="00136C11" w:rsidP="00136C11">
      <w:r w:rsidRPr="0037768A">
        <w:t xml:space="preserve">Pracovníci </w:t>
      </w:r>
      <w:r w:rsidRPr="0037768A">
        <w:rPr>
          <w:b/>
          <w:bCs/>
        </w:rPr>
        <w:t>Objednatele</w:t>
      </w:r>
      <w:r w:rsidRPr="0037768A">
        <w:t>:</w:t>
      </w:r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136C11" w:rsidRPr="0037768A" w14:paraId="721C2ABD" w14:textId="77777777" w:rsidTr="007253C7">
        <w:trPr>
          <w:trHeight w:val="327"/>
        </w:trPr>
        <w:tc>
          <w:tcPr>
            <w:tcW w:w="1771" w:type="dxa"/>
          </w:tcPr>
          <w:p w14:paraId="2C20E89A" w14:textId="77777777" w:rsidR="00136C11" w:rsidRPr="0037768A" w:rsidRDefault="00136C11" w:rsidP="007253C7">
            <w:r w:rsidRPr="0037768A">
              <w:t>Problematika</w:t>
            </w:r>
          </w:p>
        </w:tc>
        <w:tc>
          <w:tcPr>
            <w:tcW w:w="1701" w:type="dxa"/>
          </w:tcPr>
          <w:p w14:paraId="05882EAC" w14:textId="77777777" w:rsidR="00136C11" w:rsidRPr="0037768A" w:rsidRDefault="00136C11" w:rsidP="007253C7">
            <w:r w:rsidRPr="0037768A">
              <w:t>Jméno</w:t>
            </w:r>
          </w:p>
        </w:tc>
        <w:tc>
          <w:tcPr>
            <w:tcW w:w="1701" w:type="dxa"/>
          </w:tcPr>
          <w:p w14:paraId="54731DFA" w14:textId="77777777" w:rsidR="00136C11" w:rsidRPr="0037768A" w:rsidRDefault="00136C11" w:rsidP="007253C7">
            <w:r w:rsidRPr="0037768A">
              <w:t>Adresa</w:t>
            </w:r>
          </w:p>
        </w:tc>
        <w:tc>
          <w:tcPr>
            <w:tcW w:w="2552" w:type="dxa"/>
          </w:tcPr>
          <w:p w14:paraId="5F51E113" w14:textId="77777777" w:rsidR="00136C11" w:rsidRPr="0037768A" w:rsidRDefault="00136C11" w:rsidP="007253C7">
            <w:r w:rsidRPr="0037768A">
              <w:t>E-mail</w:t>
            </w:r>
          </w:p>
        </w:tc>
        <w:tc>
          <w:tcPr>
            <w:tcW w:w="1559" w:type="dxa"/>
          </w:tcPr>
          <w:p w14:paraId="63348D43" w14:textId="77777777" w:rsidR="00136C11" w:rsidRPr="0037768A" w:rsidRDefault="00136C11" w:rsidP="007253C7">
            <w:r w:rsidRPr="0037768A">
              <w:t>Telefon</w:t>
            </w:r>
          </w:p>
        </w:tc>
      </w:tr>
      <w:tr w:rsidR="00136C11" w:rsidRPr="0037768A" w14:paraId="0579F511" w14:textId="77777777" w:rsidTr="007253C7">
        <w:trPr>
          <w:trHeight w:val="327"/>
        </w:trPr>
        <w:tc>
          <w:tcPr>
            <w:tcW w:w="1771" w:type="dxa"/>
            <w:vAlign w:val="center"/>
          </w:tcPr>
          <w:p w14:paraId="3DA087FA" w14:textId="77777777" w:rsidR="00136C11" w:rsidRPr="0037768A" w:rsidRDefault="00136C11" w:rsidP="007253C7">
            <w:r w:rsidRPr="0037768A">
              <w:t>Podpisy a změny smluv</w:t>
            </w:r>
          </w:p>
        </w:tc>
        <w:tc>
          <w:tcPr>
            <w:tcW w:w="1701" w:type="dxa"/>
            <w:vAlign w:val="center"/>
          </w:tcPr>
          <w:p w14:paraId="528D4A46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1675213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43C452EE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DAE5EDC" w14:textId="77777777" w:rsidR="00136C11" w:rsidRPr="0037768A" w:rsidRDefault="00136C11" w:rsidP="007253C7"/>
        </w:tc>
      </w:tr>
      <w:tr w:rsidR="00136C11" w:rsidRPr="0037768A" w14:paraId="1B6EA4BB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32BB4A2B" w14:textId="77777777" w:rsidR="00136C11" w:rsidRPr="0037768A" w:rsidRDefault="00136C11" w:rsidP="007253C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14:paraId="561927EA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E1D231D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ED8C09D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3C621FE7" w14:textId="77777777" w:rsidR="00136C11" w:rsidRPr="0037768A" w:rsidRDefault="00136C11" w:rsidP="007253C7"/>
        </w:tc>
      </w:tr>
      <w:tr w:rsidR="00136C11" w:rsidRPr="0037768A" w14:paraId="19A287FC" w14:textId="77777777" w:rsidTr="007253C7">
        <w:trPr>
          <w:trHeight w:val="890"/>
        </w:trPr>
        <w:tc>
          <w:tcPr>
            <w:tcW w:w="1771" w:type="dxa"/>
            <w:vAlign w:val="center"/>
          </w:tcPr>
          <w:p w14:paraId="7EB25C2B" w14:textId="77777777" w:rsidR="00136C11" w:rsidRPr="0037768A" w:rsidRDefault="00136C11" w:rsidP="007253C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14:paraId="1B86CD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D8055DA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F6A5E77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0EB6E602" w14:textId="77777777" w:rsidR="00136C11" w:rsidRPr="0037768A" w:rsidRDefault="00136C11" w:rsidP="007253C7"/>
        </w:tc>
      </w:tr>
      <w:tr w:rsidR="00136C11" w:rsidRPr="0037768A" w14:paraId="2986DE81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0B479D4D" w14:textId="77777777" w:rsidR="00136C11" w:rsidRPr="0037768A" w:rsidRDefault="00136C11" w:rsidP="007253C7">
            <w:r w:rsidRPr="0037768A">
              <w:t>Osoby pověřené jednáním</w:t>
            </w:r>
          </w:p>
        </w:tc>
        <w:tc>
          <w:tcPr>
            <w:tcW w:w="1701" w:type="dxa"/>
            <w:vAlign w:val="center"/>
          </w:tcPr>
          <w:p w14:paraId="556A42C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6890A1C9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0F9B7F87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B7819E9" w14:textId="77777777" w:rsidR="00136C11" w:rsidRPr="0037768A" w:rsidRDefault="00136C11" w:rsidP="007253C7"/>
        </w:tc>
      </w:tr>
    </w:tbl>
    <w:p w14:paraId="3612D30E" w14:textId="77777777" w:rsidR="00136C11" w:rsidRDefault="00136C11" w:rsidP="00136C11"/>
    <w:p w14:paraId="0B3791E9" w14:textId="77777777" w:rsidR="00136C11" w:rsidRPr="0037768A" w:rsidRDefault="00136C11" w:rsidP="00136C11">
      <w:r w:rsidRPr="0037768A">
        <w:t xml:space="preserve">Pracovníci </w:t>
      </w:r>
      <w:r w:rsidRPr="00DE295C">
        <w:rPr>
          <w:b/>
        </w:rPr>
        <w:t>Poskytovatele</w:t>
      </w:r>
      <w:r w:rsidRPr="0037768A">
        <w:t>:</w:t>
      </w:r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136C11" w:rsidRPr="0037768A" w14:paraId="5A5EF044" w14:textId="77777777" w:rsidTr="007253C7">
        <w:trPr>
          <w:trHeight w:val="327"/>
        </w:trPr>
        <w:tc>
          <w:tcPr>
            <w:tcW w:w="1771" w:type="dxa"/>
          </w:tcPr>
          <w:p w14:paraId="6DE5589B" w14:textId="77777777" w:rsidR="00136C11" w:rsidRPr="0037768A" w:rsidRDefault="00136C11" w:rsidP="007253C7">
            <w:r w:rsidRPr="0037768A">
              <w:t>Problematika</w:t>
            </w:r>
          </w:p>
        </w:tc>
        <w:tc>
          <w:tcPr>
            <w:tcW w:w="1701" w:type="dxa"/>
          </w:tcPr>
          <w:p w14:paraId="12851EA8" w14:textId="77777777" w:rsidR="00136C11" w:rsidRPr="0037768A" w:rsidRDefault="00136C11" w:rsidP="007253C7">
            <w:r w:rsidRPr="0037768A">
              <w:t>Jméno</w:t>
            </w:r>
          </w:p>
        </w:tc>
        <w:tc>
          <w:tcPr>
            <w:tcW w:w="1701" w:type="dxa"/>
          </w:tcPr>
          <w:p w14:paraId="17F5DFB0" w14:textId="77777777" w:rsidR="00136C11" w:rsidRPr="0037768A" w:rsidRDefault="00136C11" w:rsidP="007253C7">
            <w:r w:rsidRPr="0037768A">
              <w:t>Adresa</w:t>
            </w:r>
          </w:p>
        </w:tc>
        <w:tc>
          <w:tcPr>
            <w:tcW w:w="2552" w:type="dxa"/>
          </w:tcPr>
          <w:p w14:paraId="4E930F72" w14:textId="77777777" w:rsidR="00136C11" w:rsidRPr="0037768A" w:rsidRDefault="00136C11" w:rsidP="007253C7">
            <w:r w:rsidRPr="0037768A">
              <w:t>E-mail</w:t>
            </w:r>
          </w:p>
        </w:tc>
        <w:tc>
          <w:tcPr>
            <w:tcW w:w="1559" w:type="dxa"/>
          </w:tcPr>
          <w:p w14:paraId="7AC45E34" w14:textId="77777777" w:rsidR="00136C11" w:rsidRPr="0037768A" w:rsidRDefault="00136C11" w:rsidP="007253C7">
            <w:r w:rsidRPr="0037768A">
              <w:t>Telefon</w:t>
            </w:r>
          </w:p>
        </w:tc>
      </w:tr>
      <w:tr w:rsidR="00136C11" w:rsidRPr="0037768A" w14:paraId="28D91BA7" w14:textId="77777777" w:rsidTr="007253C7">
        <w:trPr>
          <w:trHeight w:val="327"/>
        </w:trPr>
        <w:tc>
          <w:tcPr>
            <w:tcW w:w="1771" w:type="dxa"/>
            <w:vAlign w:val="center"/>
          </w:tcPr>
          <w:p w14:paraId="073458D1" w14:textId="77777777" w:rsidR="00136C11" w:rsidRPr="0037768A" w:rsidRDefault="00136C11" w:rsidP="007253C7">
            <w:r w:rsidRPr="0037768A">
              <w:t>Podpisy a změny smluv</w:t>
            </w:r>
            <w:r>
              <w:t>, fakturace</w:t>
            </w:r>
          </w:p>
        </w:tc>
        <w:tc>
          <w:tcPr>
            <w:tcW w:w="1701" w:type="dxa"/>
            <w:vAlign w:val="center"/>
          </w:tcPr>
          <w:p w14:paraId="7E4003EB" w14:textId="77777777" w:rsidR="00136C11" w:rsidRPr="0037768A" w:rsidRDefault="00136C11" w:rsidP="007253C7">
            <w:r>
              <w:t>Ing. Radek Motyčka</w:t>
            </w:r>
          </w:p>
        </w:tc>
        <w:tc>
          <w:tcPr>
            <w:tcW w:w="1701" w:type="dxa"/>
            <w:vAlign w:val="center"/>
          </w:tcPr>
          <w:p w14:paraId="78E33ED6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40EE8A4F" w14:textId="186F6EDA" w:rsidR="00136C11" w:rsidRPr="0037768A" w:rsidRDefault="00903956" w:rsidP="007253C7">
            <w:r>
              <w:t>XXXXXXXXXXXXXXXX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1A3CC833" w14:textId="74B2435B" w:rsidR="00136C11" w:rsidRPr="0037768A" w:rsidRDefault="00903956" w:rsidP="007253C7">
            <w:r>
              <w:t>XXXXXXXXXXX</w:t>
            </w:r>
          </w:p>
        </w:tc>
      </w:tr>
      <w:tr w:rsidR="00136C11" w:rsidRPr="0037768A" w14:paraId="2E72D16A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2C06A851" w14:textId="77777777" w:rsidR="00136C11" w:rsidRPr="0037768A" w:rsidRDefault="00136C11" w:rsidP="007253C7">
            <w:r>
              <w:t>IT technik</w:t>
            </w:r>
          </w:p>
        </w:tc>
        <w:tc>
          <w:tcPr>
            <w:tcW w:w="1701" w:type="dxa"/>
            <w:vAlign w:val="center"/>
          </w:tcPr>
          <w:p w14:paraId="1673EC51" w14:textId="6B9BB4A8" w:rsidR="00136C11" w:rsidRPr="0037768A" w:rsidRDefault="00903956" w:rsidP="007253C7">
            <w:r>
              <w:t>XXXXXXXXXXX</w:t>
            </w:r>
          </w:p>
        </w:tc>
        <w:tc>
          <w:tcPr>
            <w:tcW w:w="1701" w:type="dxa"/>
            <w:vAlign w:val="center"/>
          </w:tcPr>
          <w:p w14:paraId="783D9E70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6EF425AC" w14:textId="2CF8AD17" w:rsidR="00136C11" w:rsidRPr="0037768A" w:rsidRDefault="00903956" w:rsidP="007253C7">
            <w:r>
              <w:t>XXXXXXXXXXXXXXXX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27562269" w14:textId="79A25F32" w:rsidR="00136C11" w:rsidRPr="0037768A" w:rsidRDefault="00903956" w:rsidP="007253C7">
            <w:r>
              <w:t>XXXXXXXXXXX</w:t>
            </w:r>
          </w:p>
        </w:tc>
      </w:tr>
      <w:tr w:rsidR="00136C11" w:rsidRPr="0037768A" w14:paraId="6CE2F8D6" w14:textId="77777777" w:rsidTr="007253C7">
        <w:trPr>
          <w:trHeight w:val="890"/>
        </w:trPr>
        <w:tc>
          <w:tcPr>
            <w:tcW w:w="1771" w:type="dxa"/>
            <w:vAlign w:val="center"/>
          </w:tcPr>
          <w:p w14:paraId="05D89CFD" w14:textId="77777777" w:rsidR="00136C11" w:rsidRPr="0037768A" w:rsidRDefault="00136C11" w:rsidP="007253C7">
            <w:r>
              <w:t>IT technik</w:t>
            </w:r>
          </w:p>
        </w:tc>
        <w:tc>
          <w:tcPr>
            <w:tcW w:w="1701" w:type="dxa"/>
            <w:vAlign w:val="center"/>
          </w:tcPr>
          <w:p w14:paraId="620B42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64FCF8CB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7E160E1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7C4E8F78" w14:textId="77777777" w:rsidR="00136C11" w:rsidRPr="0037768A" w:rsidRDefault="00136C11" w:rsidP="007253C7"/>
        </w:tc>
      </w:tr>
      <w:tr w:rsidR="00136C11" w:rsidRPr="0037768A" w14:paraId="0BE1C925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5A710886" w14:textId="77777777" w:rsidR="00136C11" w:rsidRPr="0037768A" w:rsidRDefault="00136C11" w:rsidP="007253C7">
            <w:r>
              <w:t>Dispečink</w:t>
            </w:r>
          </w:p>
        </w:tc>
        <w:tc>
          <w:tcPr>
            <w:tcW w:w="1701" w:type="dxa"/>
            <w:vAlign w:val="center"/>
          </w:tcPr>
          <w:p w14:paraId="3D60F4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4B8A8A84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1CF0CCC9" w14:textId="5543A0B5" w:rsidR="00136C11" w:rsidRPr="0037768A" w:rsidRDefault="00903956" w:rsidP="007253C7">
            <w:r>
              <w:t>XXXXXXXXXXXXXXXX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CED04E6" w14:textId="3F393560" w:rsidR="00136C11" w:rsidRPr="0037768A" w:rsidRDefault="00903956" w:rsidP="007253C7">
            <w:r>
              <w:t>XXXXXXXXXXX</w:t>
            </w:r>
          </w:p>
        </w:tc>
      </w:tr>
    </w:tbl>
    <w:p w14:paraId="6FEE3EE5" w14:textId="77777777" w:rsidR="00136C11" w:rsidRDefault="00136C11"/>
    <w:sectPr w:rsidR="00136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FC0B" w14:textId="77777777" w:rsidR="006936BC" w:rsidRDefault="006936BC" w:rsidP="00136C11">
      <w:pPr>
        <w:spacing w:after="0" w:line="240" w:lineRule="auto"/>
      </w:pPr>
      <w:r>
        <w:separator/>
      </w:r>
    </w:p>
  </w:endnote>
  <w:endnote w:type="continuationSeparator" w:id="0">
    <w:p w14:paraId="5998F400" w14:textId="77777777" w:rsidR="006936BC" w:rsidRDefault="006936BC" w:rsidP="0013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3AC5" w14:textId="77777777" w:rsidR="00136C11" w:rsidRDefault="00136C11">
    <w:pPr>
      <w:pStyle w:val="Zpat"/>
    </w:pPr>
    <w:r>
      <w:t xml:space="preserve">IČ: 07787740, Sídlo: </w:t>
    </w:r>
    <w:r>
      <w:rPr>
        <w:rFonts w:ascii="Verdana" w:hAnsi="Verdana"/>
        <w:color w:val="333333"/>
        <w:sz w:val="18"/>
        <w:szCs w:val="18"/>
        <w:shd w:val="clear" w:color="auto" w:fill="FFFFFF"/>
      </w:rPr>
      <w:t>Maďarská 519/2, Drahovice, 360 01 Karlovy Vary</w:t>
    </w:r>
  </w:p>
  <w:p w14:paraId="1A5C74C8" w14:textId="77777777" w:rsidR="007E256A" w:rsidRDefault="007E256A" w:rsidP="007E256A">
    <w:pPr>
      <w:pStyle w:val="Zpat"/>
    </w:pPr>
    <w:r>
      <w:t>Neplátce DPH, s</w:t>
    </w:r>
    <w:r w:rsidR="00136C11">
      <w:t>polečnost vedená u Krajského soudu v Plzni C 37328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6477" w14:textId="77777777" w:rsidR="006936BC" w:rsidRDefault="006936BC" w:rsidP="00136C11">
      <w:pPr>
        <w:spacing w:after="0" w:line="240" w:lineRule="auto"/>
      </w:pPr>
      <w:r>
        <w:separator/>
      </w:r>
    </w:p>
  </w:footnote>
  <w:footnote w:type="continuationSeparator" w:id="0">
    <w:p w14:paraId="5509942D" w14:textId="77777777" w:rsidR="006936BC" w:rsidRDefault="006936BC" w:rsidP="0013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2F7E" w14:textId="77777777" w:rsidR="00136C11" w:rsidRDefault="00136C11">
    <w:pPr>
      <w:pStyle w:val="Zhlav"/>
    </w:pPr>
    <w:r>
      <w:rPr>
        <w:noProof/>
        <w:lang w:eastAsia="cs-CZ"/>
      </w:rPr>
      <w:drawing>
        <wp:inline distT="0" distB="0" distL="0" distR="0" wp14:anchorId="7FB6CBC1" wp14:editId="22B39836">
          <wp:extent cx="742950" cy="742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umsmall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3" cy="74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9D19D" w14:textId="77777777" w:rsidR="00136C11" w:rsidRDefault="00136C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FB4"/>
    <w:multiLevelType w:val="multilevel"/>
    <w:tmpl w:val="1DFE1BA0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645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B35D5"/>
    <w:multiLevelType w:val="hybridMultilevel"/>
    <w:tmpl w:val="F08238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B33A25"/>
    <w:multiLevelType w:val="hybridMultilevel"/>
    <w:tmpl w:val="C1B27FD4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5F4"/>
    <w:multiLevelType w:val="hybridMultilevel"/>
    <w:tmpl w:val="F1E8D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3AB"/>
    <w:multiLevelType w:val="hybridMultilevel"/>
    <w:tmpl w:val="35E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788C"/>
    <w:multiLevelType w:val="hybridMultilevel"/>
    <w:tmpl w:val="7B028BBA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1A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B61D16"/>
    <w:multiLevelType w:val="multilevel"/>
    <w:tmpl w:val="28A6F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BD39D5"/>
    <w:multiLevelType w:val="multilevel"/>
    <w:tmpl w:val="0C427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B73B8D"/>
    <w:multiLevelType w:val="hybridMultilevel"/>
    <w:tmpl w:val="A7D29D84"/>
    <w:lvl w:ilvl="0" w:tplc="0405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7E2CEAB2">
      <w:start w:val="1"/>
      <w:numFmt w:val="decimal"/>
      <w:lvlText w:val="%3."/>
      <w:lvlJc w:val="left"/>
      <w:pPr>
        <w:ind w:left="5732" w:hanging="360"/>
      </w:pPr>
      <w:rPr>
        <w:rFonts w:ascii="Calibri" w:hAnsi="Calibri" w:hint="default"/>
        <w:b w:val="0"/>
        <w:sz w:val="24"/>
        <w:szCs w:val="24"/>
      </w:rPr>
    </w:lvl>
    <w:lvl w:ilvl="3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11" w15:restartNumberingAfterBreak="0">
    <w:nsid w:val="6D994DE9"/>
    <w:multiLevelType w:val="hybridMultilevel"/>
    <w:tmpl w:val="76A6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818C6"/>
    <w:multiLevelType w:val="multilevel"/>
    <w:tmpl w:val="9D0A22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11"/>
    <w:rsid w:val="00136C11"/>
    <w:rsid w:val="00241ECF"/>
    <w:rsid w:val="002E29DD"/>
    <w:rsid w:val="002F2DF3"/>
    <w:rsid w:val="0034759C"/>
    <w:rsid w:val="00424B4C"/>
    <w:rsid w:val="00484FC5"/>
    <w:rsid w:val="004E7C47"/>
    <w:rsid w:val="00625F68"/>
    <w:rsid w:val="006936BC"/>
    <w:rsid w:val="006D3F14"/>
    <w:rsid w:val="007253C7"/>
    <w:rsid w:val="007C7B69"/>
    <w:rsid w:val="007E256A"/>
    <w:rsid w:val="00903956"/>
    <w:rsid w:val="009235B4"/>
    <w:rsid w:val="00994A88"/>
    <w:rsid w:val="00A14456"/>
    <w:rsid w:val="00A538D5"/>
    <w:rsid w:val="00A57FC7"/>
    <w:rsid w:val="00B4176A"/>
    <w:rsid w:val="00C27303"/>
    <w:rsid w:val="00C309C1"/>
    <w:rsid w:val="00DC5661"/>
    <w:rsid w:val="00EE14B7"/>
    <w:rsid w:val="00EE6823"/>
    <w:rsid w:val="00F559EA"/>
    <w:rsid w:val="00F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625A"/>
  <w15:chartTrackingRefBased/>
  <w15:docId w15:val="{0B86C291-A732-4A02-9076-9E7360D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4B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136C11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36F872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36C11"/>
    <w:pPr>
      <w:keepNext/>
      <w:numPr>
        <w:numId w:val="11"/>
      </w:numPr>
      <w:suppressAutoHyphens/>
      <w:spacing w:before="120" w:after="120" w:line="240" w:lineRule="auto"/>
      <w:ind w:left="426"/>
      <w:outlineLvl w:val="1"/>
    </w:pPr>
    <w:rPr>
      <w:rFonts w:ascii="Calibri Light" w:eastAsia="Times New Roman" w:hAnsi="Calibri Light" w:cs="Times New Roman"/>
      <w:b/>
      <w:bCs/>
      <w:color w:val="78B0D6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C11"/>
    <w:rPr>
      <w:rFonts w:ascii="Calibri Light" w:eastAsia="Times New Roman" w:hAnsi="Calibri Light" w:cs="Times New Roman"/>
      <w:b/>
      <w:color w:val="36F872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136C11"/>
    <w:rPr>
      <w:rFonts w:ascii="Calibri Light" w:eastAsia="Times New Roman" w:hAnsi="Calibri Light" w:cs="Times New Roman"/>
      <w:b/>
      <w:bCs/>
      <w:color w:val="78B0D6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3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C11"/>
  </w:style>
  <w:style w:type="paragraph" w:styleId="Zpat">
    <w:name w:val="footer"/>
    <w:basedOn w:val="Normln"/>
    <w:link w:val="ZpatChar"/>
    <w:uiPriority w:val="99"/>
    <w:unhideWhenUsed/>
    <w:rsid w:val="0013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C11"/>
  </w:style>
  <w:style w:type="paragraph" w:styleId="Textbubliny">
    <w:name w:val="Balloon Text"/>
    <w:basedOn w:val="Normln"/>
    <w:link w:val="TextbublinyChar"/>
    <w:uiPriority w:val="99"/>
    <w:semiHidden/>
    <w:unhideWhenUsed/>
    <w:rsid w:val="00EE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Loulová Lucie</cp:lastModifiedBy>
  <cp:revision>3</cp:revision>
  <cp:lastPrinted>2023-08-13T21:32:00Z</cp:lastPrinted>
  <dcterms:created xsi:type="dcterms:W3CDTF">2023-09-01T05:46:00Z</dcterms:created>
  <dcterms:modified xsi:type="dcterms:W3CDTF">2023-09-01T05:51:00Z</dcterms:modified>
</cp:coreProperties>
</file>