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SMLOUVA O DÍLO 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Univerzita Jana Evangelisty Purkyně v Ústí nad Labem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Pasteurova 3544/1, 400 96 Ústí nad Labem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IČ: 44555601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DIČ: CZ44555601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 xml:space="preserve">Bankovní spojení: Česká spořitelna, a.s., Ústí nad Labem, č. účtu: 100200392/0800 </w:t>
      </w:r>
    </w:p>
    <w:p>
      <w:pPr>
        <w:spacing w:after="0" w:line="240" w:lineRule="auto"/>
        <w:rPr>
          <w:rFonts w:hint="default" w:ascii="Arial" w:hAnsi="Arial" w:eastAsia="Times New Roman" w:cs="Arial"/>
          <w:color w:val="333333"/>
          <w:sz w:val="20"/>
          <w:szCs w:val="20"/>
          <w:lang w:val="cs-CZ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 xml:space="preserve">Zastoupená: </w:t>
      </w:r>
      <w:r>
        <w:rPr>
          <w:rFonts w:hint="default" w:ascii="Arial" w:hAnsi="Arial" w:eastAsia="Times New Roman"/>
          <w:color w:val="333333"/>
          <w:sz w:val="20"/>
          <w:szCs w:val="20"/>
        </w:rPr>
        <w:t>doc. RNDr. Michal Varady, Ph.D.</w:t>
      </w:r>
      <w:r>
        <w:rPr>
          <w:rFonts w:hint="default" w:ascii="Arial" w:hAnsi="Arial" w:eastAsia="Times New Roman"/>
          <w:color w:val="333333"/>
          <w:sz w:val="20"/>
          <w:szCs w:val="20"/>
          <w:lang w:val="cs-CZ"/>
        </w:rPr>
        <w:t>, děkan PřF UJEP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 xml:space="preserve">(dále je </w:t>
      </w:r>
      <w:r>
        <w:rPr>
          <w:rFonts w:ascii="Arial" w:hAnsi="Arial" w:eastAsia="Times New Roman" w:cs="Arial"/>
          <w:b/>
          <w:color w:val="333333"/>
          <w:sz w:val="20"/>
          <w:szCs w:val="20"/>
        </w:rPr>
        <w:t>„objednatel“</w:t>
      </w:r>
      <w:r>
        <w:rPr>
          <w:rFonts w:ascii="Arial" w:hAnsi="Arial" w:eastAsia="Times New Roman" w:cs="Arial"/>
          <w:color w:val="333333"/>
          <w:sz w:val="20"/>
          <w:szCs w:val="20"/>
        </w:rPr>
        <w:t>)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a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Petr Pelán Pelánbus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br w:type="textWrapping"/>
      </w:r>
      <w:r>
        <w:rPr>
          <w:rFonts w:ascii="Arial" w:hAnsi="Arial" w:eastAsia="Times New Roman" w:cs="Arial"/>
          <w:color w:val="333333"/>
          <w:sz w:val="20"/>
          <w:szCs w:val="20"/>
        </w:rPr>
        <w:t>IČ: 13332988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se sídlem Na Kohoutě 793/12, 40010  Ústí nad Labem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zastoupená Petrem Pelánem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(dále jen „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zhotovitel</w:t>
      </w:r>
      <w:r>
        <w:rPr>
          <w:rFonts w:ascii="Arial" w:hAnsi="Arial" w:eastAsia="Times New Roman" w:cs="Arial"/>
          <w:color w:val="333333"/>
          <w:sz w:val="20"/>
          <w:szCs w:val="20"/>
        </w:rPr>
        <w:t>“)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uzavírají níže uvedeného dne, měsíce a roku tuto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 xml:space="preserve">SMLOUVU O </w:t>
      </w:r>
      <w:r>
        <w:rPr>
          <w:rFonts w:ascii="Arial" w:hAnsi="Arial" w:eastAsia="Times New Roman" w:cs="Arial"/>
          <w:b/>
          <w:bCs/>
          <w:i/>
          <w:color w:val="333333"/>
          <w:sz w:val="20"/>
          <w:szCs w:val="20"/>
        </w:rPr>
        <w:t>zajištění dopravy</w:t>
      </w:r>
    </w:p>
    <w:p>
      <w:pPr>
        <w:spacing w:after="0" w:line="240" w:lineRule="auto"/>
        <w:jc w:val="center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dle § 2586 a násl. zákona č. 89/2012 Sb., občanský zákoník, ve znění pozdějších předpisů</w:t>
      </w:r>
      <w:r>
        <w:rPr>
          <w:rFonts w:ascii="Arial" w:hAnsi="Arial" w:eastAsia="Times New Roman" w:cs="Arial"/>
          <w:color w:val="333333"/>
          <w:sz w:val="20"/>
          <w:szCs w:val="20"/>
        </w:rPr>
        <w:br w:type="textWrapping"/>
      </w:r>
      <w:r>
        <w:rPr>
          <w:rFonts w:ascii="Arial" w:hAnsi="Arial" w:eastAsia="Times New Roman" w:cs="Arial"/>
          <w:color w:val="333333"/>
          <w:sz w:val="20"/>
          <w:szCs w:val="20"/>
        </w:rPr>
        <w:t>(dále jen „Smlouva“)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I. Předmět smlouvy</w:t>
      </w: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 xml:space="preserve">1. Předmětem této Smlouvy je závazek </w:t>
      </w:r>
      <w:r>
        <w:rPr>
          <w:rFonts w:ascii="Arial" w:hAnsi="Arial" w:eastAsia="Times New Roman" w:cs="Arial"/>
          <w:color w:val="333333"/>
          <w:sz w:val="20"/>
          <w:szCs w:val="20"/>
          <w:lang w:val="en-US"/>
        </w:rPr>
        <w:t xml:space="preserve">zajištění dopravy dle přílohy č. 1. 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>2. Objednatel se zavazuje uhradit zhotoviteli cenu dle čl. 3 této Smlouvy.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II. Čas a místo plnění</w:t>
      </w:r>
    </w:p>
    <w:p>
      <w:pPr>
        <w:spacing w:after="0" w:line="240" w:lineRule="auto"/>
        <w:jc w:val="both"/>
        <w:rPr>
          <w:rFonts w:ascii="Arial" w:hAnsi="Arial" w:eastAsia="Times New Roman" w:cs="Arial"/>
          <w:b/>
          <w:bCs/>
          <w:color w:val="333333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Místem plnění je trasa Česká republika </w:t>
      </w:r>
      <w:r>
        <w:rPr>
          <w:rFonts w:hint="default" w:ascii="Arial" w:hAnsi="Arial" w:cs="Arial"/>
          <w:sz w:val="20"/>
          <w:szCs w:val="20"/>
          <w:lang w:val="cs-CZ"/>
        </w:rPr>
        <w:t xml:space="preserve">(Ústí nad Labem)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hint="default" w:ascii="Arial" w:hAnsi="Arial" w:cs="Arial"/>
          <w:sz w:val="20"/>
          <w:szCs w:val="20"/>
          <w:lang w:val="cs-CZ"/>
        </w:rPr>
        <w:t xml:space="preserve">Lotyšsko (Riga) Estonsko (Tallinn, Pärnu) - Litva (Vilnius) - Česká republika (Ústí nad Labem) </w:t>
      </w:r>
      <w:r>
        <w:rPr>
          <w:rFonts w:ascii="Arial" w:hAnsi="Arial" w:cs="Arial"/>
          <w:sz w:val="20"/>
          <w:szCs w:val="20"/>
        </w:rPr>
        <w:t xml:space="preserve">a to v termínu od </w:t>
      </w:r>
      <w:r>
        <w:rPr>
          <w:rFonts w:hint="default" w:ascii="Arial" w:hAnsi="Arial" w:cs="Arial"/>
          <w:sz w:val="20"/>
          <w:szCs w:val="20"/>
          <w:lang w:val="cs-CZ"/>
        </w:rPr>
        <w:t>7</w:t>
      </w:r>
      <w:r>
        <w:rPr>
          <w:rFonts w:ascii="Arial" w:hAnsi="Arial" w:cs="Arial"/>
          <w:sz w:val="20"/>
          <w:szCs w:val="20"/>
        </w:rPr>
        <w:t>.9. do 1</w:t>
      </w:r>
      <w:r>
        <w:rPr>
          <w:rFonts w:hint="default" w:ascii="Arial" w:hAnsi="Arial" w:cs="Arial"/>
          <w:sz w:val="20"/>
          <w:szCs w:val="20"/>
          <w:lang w:val="cs-CZ"/>
        </w:rPr>
        <w:t>7</w:t>
      </w:r>
      <w:r>
        <w:rPr>
          <w:rFonts w:ascii="Arial" w:hAnsi="Arial" w:cs="Arial"/>
          <w:sz w:val="20"/>
          <w:szCs w:val="20"/>
        </w:rPr>
        <w:t>. 9. 202</w:t>
      </w:r>
      <w:r>
        <w:rPr>
          <w:rFonts w:hint="default" w:ascii="Arial" w:hAnsi="Arial" w:cs="Arial"/>
          <w:sz w:val="20"/>
          <w:szCs w:val="20"/>
          <w:lang w:val="cs-CZ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0"/>
          <w:szCs w:val="20"/>
        </w:rPr>
      </w:pP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color w:val="333333"/>
          <w:sz w:val="20"/>
          <w:szCs w:val="20"/>
        </w:rPr>
        <w:t>III. 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Cena a způsob placení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Times New Roman" w:cs="Arial"/>
          <w:color w:val="333333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Pro uvedené dílo se sjednává maximální cena ve smyslu vybrané cenové nabídky ve výši: 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Celkem bez DPH:                1</w:t>
      </w:r>
      <w:r>
        <w:rPr>
          <w:rFonts w:hint="default" w:ascii="Arial" w:hAnsi="Arial" w:cs="Arial"/>
          <w:bCs/>
          <w:sz w:val="20"/>
          <w:szCs w:val="20"/>
          <w:lang w:val="cs-CZ"/>
        </w:rPr>
        <w:t>9</w:t>
      </w:r>
      <w:r>
        <w:rPr>
          <w:rFonts w:ascii="Arial" w:hAnsi="Arial" w:cs="Arial"/>
          <w:bCs/>
          <w:sz w:val="20"/>
          <w:szCs w:val="20"/>
        </w:rPr>
        <w:t>0.000,--Kč</w:t>
      </w:r>
    </w:p>
    <w:p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0% DPH:                               </w:t>
      </w:r>
    </w:p>
    <w:p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Celkem s DPH:                     1</w:t>
      </w:r>
      <w:r>
        <w:rPr>
          <w:rFonts w:hint="default" w:ascii="Arial" w:hAnsi="Arial" w:cs="Arial"/>
          <w:bCs/>
          <w:sz w:val="20"/>
          <w:szCs w:val="20"/>
          <w:lang w:val="cs-CZ"/>
        </w:rPr>
        <w:t>9</w:t>
      </w:r>
      <w:r>
        <w:rPr>
          <w:rFonts w:ascii="Arial" w:hAnsi="Arial" w:cs="Arial"/>
          <w:bCs/>
          <w:sz w:val="20"/>
          <w:szCs w:val="20"/>
        </w:rPr>
        <w:t>0.000,-- Kč</w:t>
      </w:r>
    </w:p>
    <w:p>
      <w:pPr>
        <w:rPr>
          <w:rFonts w:ascii="Arial" w:hAnsi="Arial" w:cs="Arial"/>
          <w:bCs/>
          <w:sz w:val="20"/>
          <w:szCs w:val="20"/>
        </w:rPr>
      </w:pPr>
    </w:p>
    <w:p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Takto stanovená cena za dílo (bez DPH) zahrnuje všechny potřebné náklady na jeho řádné zhotovení a bude k ní připočtena daň z přidané hodnoty platná dle zákona o DPH v den uskutečnitelného zdanitelného plnění.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Uvedená cena má platnost do doby ukončení exkurze a je určena na základě cenové nabídky, ev. úplného položkového rozpočtu  – příloha č.1 této Smlouvy. Cenová nabídka, ev. úplný položkový rozpočet, jsou úplné a závazné. </w:t>
      </w:r>
      <w:r>
        <w:rPr>
          <w:rFonts w:ascii="Arial" w:hAnsi="Arial" w:eastAsia="Times New Roman" w:cs="Arial"/>
          <w:bCs/>
          <w:sz w:val="20"/>
          <w:szCs w:val="20"/>
        </w:rPr>
        <w:t xml:space="preserve">Cena za dílo bude objednatelem uhrazena na základě daňového dokladu (faktury) vystaveného zhotovitelem. Daňový doklad (faktura) musí obsahovat náležitosti daňového dokladu dle zákona č. 235/2004 Sb., o dani z přidané hodnoty, ve znění pozdějších předpisů </w:t>
      </w:r>
      <w:r>
        <w:rPr>
          <w:rFonts w:ascii="Arial" w:hAnsi="Arial" w:cs="Arial"/>
          <w:sz w:val="20"/>
          <w:szCs w:val="20"/>
        </w:rPr>
        <w:t>a název veřejné zakázky, které se daný daňový doklad týká</w:t>
      </w:r>
      <w:r>
        <w:rPr>
          <w:rFonts w:ascii="Arial" w:hAnsi="Arial" w:eastAsia="Times New Roman" w:cs="Arial"/>
          <w:bCs/>
          <w:sz w:val="20"/>
          <w:szCs w:val="20"/>
        </w:rPr>
        <w:t>. V případě, že daňový doklad (faktura) nebude mít odpovídající náležitosti, je objednatel oprávněn zaslat jej ve lhůtě splatnosti zpět zhotoviteli k doplnění, aniž se tak dostane do prodlení. V takovém případě počíná lhůta splatnosti běžet znovu od opětovného zaslání náležitě doplněného či opraveného daňového dokladu (faktury). Daňový doklad (faktura) musí být vystaven v české měně .Zhotovitel je oprávněn vystavit fakturu až po řádném předání díla objednateli. Faktura je splatná do 30 dnů ode dne jejího doručení objednateli na základě řádného protokolu o předání díla podepsaného oběma smluvními stranami, a to na bankovní účet zhotovitele, který je uveden v záhlaví této smlouvy. Za zaplacení ceny za dílo je považováno odeslání  ceny na účet zhotovitele uvedený v záhlaví této smlouvy.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</w:rPr>
      </w:pPr>
    </w:p>
    <w:p>
      <w:pPr>
        <w:spacing w:before="120" w:after="0" w:line="240" w:lineRule="auto"/>
        <w:jc w:val="center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  <w:lang w:val="en-US"/>
        </w:rPr>
        <w:t>I</w:t>
      </w:r>
      <w:r>
        <w:rPr>
          <w:rFonts w:ascii="Arial" w:hAnsi="Arial" w:eastAsia="Times New Roman" w:cs="Arial"/>
          <w:b/>
          <w:bCs/>
          <w:sz w:val="20"/>
          <w:szCs w:val="20"/>
        </w:rPr>
        <w:t>V. Další ujednání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>1. Vyskytnou-li se okolnosti, které jedné nebo oběma smluvním stranám částečně nebo úplně znemožní plnění jejich povinností podle Smlouvy, jsou se o tom strany povinny bez zbytečného prodlení informovat a společně podniknout kroky k překonání takových okolností. Nesplnění této povinnosti zakládá nárok na náhradu škody pro stranu, která se porušení smlouvy podle tohoto bodu nedopustila.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>2. Za vady předmětu smlouvy odpovídá zhotovitel v rozsahu stanoveném v § 2617 zákona č. 89/2012 Sb. občanský zákoník.</w:t>
      </w:r>
    </w:p>
    <w:p>
      <w:pPr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Arial" w:hAnsi="Arial" w:eastAsia="Times New Roman" w:cs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Times New Roman" w:cs="Arial"/>
          <w:b/>
          <w:bCs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</w:rPr>
        <w:t>VI. Závěrečná ustanovení</w:t>
      </w:r>
    </w:p>
    <w:p>
      <w:pPr>
        <w:tabs>
          <w:tab w:val="left" w:pos="2520"/>
        </w:tabs>
        <w:spacing w:before="12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Změny a doplnění této smlouvy jsou možné pouze v písemné podobě číslovanými dodatky a na základě vzájemné dohody obou smluvních stran. Smluvní strany se zavazují neprodleně sdělit druhé smluvní straně jakékoliv změny jejich adres nebo ostatních identifikačních údajů uvedených v záhlaví této smlouvy a změnu osob, zejména zástupců ve věcech technických. V případě porušení této povinnosti odpovídá smluvní strana za škodu tím způsobenou</w:t>
      </w:r>
    </w:p>
    <w:p>
      <w:pPr>
        <w:tabs>
          <w:tab w:val="left" w:pos="2520"/>
        </w:tabs>
        <w:spacing w:before="12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Případné spory vzniklé z této smlouvy a v souvislosti s ní budou smluvní strany řešit především vzájemnou dohodou, v případě soudního sporu bude podle českého práva rozhodovat místně příslušný český soud podle sídla objednatele. </w:t>
      </w:r>
    </w:p>
    <w:p>
      <w:pPr>
        <w:tabs>
          <w:tab w:val="left" w:pos="2520"/>
        </w:tabs>
        <w:spacing w:before="12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Tato smlouva se uzavírá ve čtyřech vyhotoveních, z nichž tři vyhotovení obdrží objednatel a jedno vyhotovení zhotovitel.</w:t>
      </w:r>
    </w:p>
    <w:p>
      <w:pPr>
        <w:tabs>
          <w:tab w:val="left" w:pos="2520"/>
        </w:tabs>
        <w:spacing w:before="12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Obě smluvní strany prohlašují, že si tuto smlouvu před podpisem přečetly, porozuměly jejímu obsahu, s obsahem souhlasí, a že je tato smlouva projevem jejich pravé a svobodné vůle, a že není uzavírána v tísni ani za nápadně nevýhodných podmínek. Na důkaz toho připojují své podpisy. </w:t>
      </w:r>
    </w:p>
    <w:p>
      <w:pPr>
        <w:tabs>
          <w:tab w:val="left" w:pos="2520"/>
        </w:tabs>
        <w:spacing w:before="12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Zhotovitel výslovně prohlašuje, že zveřejnění této smlouvy v souladu se zákonem o registru smluv není porušením jeho obchodního tajemství.</w:t>
      </w:r>
    </w:p>
    <w:p>
      <w:pPr>
        <w:spacing w:before="12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Tato smlouva nabývá platnosti a účinnosti dnem jejího uveřejnění v registru smluv.</w:t>
      </w:r>
    </w:p>
    <w:p>
      <w:pPr>
        <w:tabs>
          <w:tab w:val="left" w:pos="2520"/>
        </w:tabs>
        <w:spacing w:before="120" w:after="60" w:line="240" w:lineRule="auto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Smluvní strany berou na vědomí, že objednatel je ve smyslu § 2 odst. 1 písm. e) osobou, na níž se vztahuje povinnost uveřejnění smluv v registru smluv ve smyslu zákona č. 340/2015 Sb. v platném znění a berou tuto skutečnost na vědomí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objednatel do 15 dnů od uzavření smlouvy.</w:t>
      </w:r>
    </w:p>
    <w:p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</w:p>
    <w:p>
      <w:pPr>
        <w:tabs>
          <w:tab w:val="left" w:pos="284"/>
          <w:tab w:val="left" w:pos="720"/>
        </w:tabs>
        <w:spacing w:before="120" w:after="60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V Ústí nad Labem dne ......................                     </w:t>
      </w:r>
    </w:p>
    <w:p>
      <w:pPr>
        <w:spacing w:before="120" w:after="60"/>
        <w:rPr>
          <w:rFonts w:cs="Arial"/>
        </w:rPr>
      </w:pPr>
    </w:p>
    <w:p>
      <w:pPr>
        <w:spacing w:before="120"/>
        <w:rPr>
          <w:rFonts w:cs="Arial"/>
        </w:rPr>
      </w:pPr>
    </w:p>
    <w:p>
      <w:pPr>
        <w:spacing w:before="120"/>
        <w:rPr>
          <w:rFonts w:cs="Arial"/>
        </w:rPr>
      </w:pPr>
    </w:p>
    <w:p>
      <w:pPr>
        <w:spacing w:before="120"/>
        <w:rPr>
          <w:rFonts w:cs="Arial"/>
        </w:rPr>
      </w:pPr>
    </w:p>
    <w:p>
      <w:pPr>
        <w:spacing w:before="120"/>
        <w:rPr>
          <w:rFonts w:ascii="Arial" w:hAnsi="Arial" w:cs="Arial"/>
          <w:sz w:val="20"/>
          <w:szCs w:val="20"/>
        </w:rPr>
      </w:pPr>
      <w:r>
        <w:rPr>
          <w:rFonts w:cs="Arial"/>
        </w:rPr>
        <w:t>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....................................................</w:t>
      </w:r>
    </w:p>
    <w:p>
      <w:pPr>
        <w:spacing w:before="120"/>
        <w:ind w:firstLine="708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zhotovitel</w:t>
      </w:r>
    </w:p>
    <w:p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</w:p>
    <w:p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</w:p>
    <w:p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angal">
    <w:altName w:val="ESRI AMFM Electric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ans-serif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4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5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NotTrackMoves/>
  <w:documentProtection w:enforcement="0"/>
  <w:defaultTabStop w:val="708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42"/>
    <w:rsid w:val="00736942"/>
    <w:rsid w:val="2D0E638A"/>
    <w:rsid w:val="399E0AD0"/>
    <w:rsid w:val="65F77289"/>
    <w:rsid w:val="6BC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160" w:line="256" w:lineRule="auto"/>
    </w:pPr>
    <w:rPr>
      <w:rFonts w:ascii="Calibri" w:hAnsi="Calibri" w:eastAsia="Calibri" w:cs="Times New Roman"/>
      <w:sz w:val="22"/>
      <w:szCs w:val="22"/>
      <w:lang w:val="cs-CZ" w:eastAsia="ar-SA" w:bidi="ar-SA"/>
    </w:rPr>
  </w:style>
  <w:style w:type="paragraph" w:styleId="2">
    <w:name w:val="heading 1"/>
    <w:basedOn w:val="1"/>
    <w:next w:val="3"/>
    <w:qFormat/>
    <w:uiPriority w:val="0"/>
    <w:pPr>
      <w:numPr>
        <w:ilvl w:val="0"/>
        <w:numId w:val="1"/>
      </w:numPr>
      <w:spacing w:before="300" w:after="150" w:line="240" w:lineRule="auto"/>
      <w:outlineLvl w:val="0"/>
    </w:pPr>
    <w:rPr>
      <w:rFonts w:ascii="inherit" w:hAnsi="inherit" w:eastAsia="Times New Roman"/>
      <w:kern w:val="1"/>
      <w:sz w:val="54"/>
      <w:szCs w:val="54"/>
    </w:rPr>
  </w:style>
  <w:style w:type="paragraph" w:styleId="4">
    <w:name w:val="heading 2"/>
    <w:basedOn w:val="1"/>
    <w:next w:val="3"/>
    <w:qFormat/>
    <w:uiPriority w:val="0"/>
    <w:pPr>
      <w:numPr>
        <w:ilvl w:val="1"/>
        <w:numId w:val="1"/>
      </w:numPr>
      <w:spacing w:before="300" w:after="150" w:line="240" w:lineRule="auto"/>
      <w:outlineLvl w:val="1"/>
    </w:pPr>
    <w:rPr>
      <w:rFonts w:ascii="inherit" w:hAnsi="inherit" w:eastAsia="Times New Roman"/>
      <w:sz w:val="45"/>
      <w:szCs w:val="45"/>
    </w:rPr>
  </w:style>
  <w:style w:type="paragraph" w:styleId="5">
    <w:name w:val="heading 3"/>
    <w:basedOn w:val="1"/>
    <w:next w:val="3"/>
    <w:qFormat/>
    <w:uiPriority w:val="0"/>
    <w:pPr>
      <w:numPr>
        <w:ilvl w:val="2"/>
        <w:numId w:val="1"/>
      </w:numPr>
      <w:spacing w:before="300" w:after="150" w:line="240" w:lineRule="auto"/>
      <w:outlineLvl w:val="2"/>
    </w:pPr>
    <w:rPr>
      <w:rFonts w:ascii="inherit" w:hAnsi="inherit" w:eastAsia="Times New Roman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character" w:styleId="8">
    <w:name w:val="Emphasis"/>
    <w:basedOn w:val="9"/>
    <w:qFormat/>
    <w:uiPriority w:val="0"/>
    <w:rPr>
      <w:i/>
      <w:iCs/>
    </w:rPr>
  </w:style>
  <w:style w:type="character" w:customStyle="1" w:styleId="9">
    <w:name w:val="Default Paragraph Font1"/>
    <w:qFormat/>
    <w:uiPriority w:val="0"/>
  </w:style>
  <w:style w:type="character" w:styleId="10">
    <w:name w:val="Hyperlink"/>
    <w:basedOn w:val="9"/>
    <w:qFormat/>
    <w:uiPriority w:val="0"/>
    <w:rPr>
      <w:color w:val="428BCA"/>
      <w:u w:val="none"/>
    </w:rPr>
  </w:style>
  <w:style w:type="paragraph" w:styleId="11">
    <w:name w:val="List"/>
    <w:basedOn w:val="3"/>
    <w:qFormat/>
    <w:uiPriority w:val="0"/>
    <w:rPr>
      <w:rFonts w:cs="Mangal"/>
    </w:rPr>
  </w:style>
  <w:style w:type="character" w:styleId="12">
    <w:name w:val="Strong"/>
    <w:basedOn w:val="9"/>
    <w:qFormat/>
    <w:uiPriority w:val="0"/>
    <w:rPr>
      <w:b/>
      <w:bCs/>
    </w:rPr>
  </w:style>
  <w:style w:type="character" w:customStyle="1" w:styleId="13">
    <w:name w:val="Nadpis 1 Char"/>
    <w:basedOn w:val="9"/>
    <w:uiPriority w:val="0"/>
    <w:rPr>
      <w:rFonts w:ascii="inherit" w:hAnsi="inherit" w:eastAsia="Times New Roman" w:cs="Times New Roman"/>
      <w:kern w:val="1"/>
      <w:sz w:val="54"/>
      <w:szCs w:val="54"/>
    </w:rPr>
  </w:style>
  <w:style w:type="character" w:customStyle="1" w:styleId="14">
    <w:name w:val="Nadpis 2 Char"/>
    <w:basedOn w:val="9"/>
    <w:qFormat/>
    <w:uiPriority w:val="0"/>
    <w:rPr>
      <w:rFonts w:ascii="inherit" w:hAnsi="inherit" w:eastAsia="Times New Roman" w:cs="Times New Roman"/>
      <w:sz w:val="45"/>
      <w:szCs w:val="45"/>
    </w:rPr>
  </w:style>
  <w:style w:type="character" w:customStyle="1" w:styleId="15">
    <w:name w:val="Nadpis 3 Char"/>
    <w:basedOn w:val="9"/>
    <w:uiPriority w:val="0"/>
    <w:rPr>
      <w:rFonts w:ascii="inherit" w:hAnsi="inherit" w:eastAsia="Times New Roman" w:cs="Times New Roman"/>
      <w:sz w:val="36"/>
      <w:szCs w:val="36"/>
    </w:rPr>
  </w:style>
  <w:style w:type="character" w:customStyle="1" w:styleId="16">
    <w:name w:val="Text bubliny Char"/>
    <w:basedOn w:val="9"/>
    <w:uiPriority w:val="0"/>
    <w:rPr>
      <w:rFonts w:ascii="Segoe UI" w:hAnsi="Segoe UI" w:cs="Segoe UI"/>
      <w:sz w:val="18"/>
      <w:szCs w:val="18"/>
    </w:rPr>
  </w:style>
  <w:style w:type="character" w:customStyle="1" w:styleId="17">
    <w:name w:val="Comment Reference1"/>
    <w:basedOn w:val="9"/>
    <w:uiPriority w:val="0"/>
    <w:rPr>
      <w:sz w:val="16"/>
      <w:szCs w:val="16"/>
    </w:rPr>
  </w:style>
  <w:style w:type="character" w:customStyle="1" w:styleId="18">
    <w:name w:val="Text komentáře Char"/>
    <w:basedOn w:val="9"/>
    <w:uiPriority w:val="0"/>
    <w:rPr>
      <w:sz w:val="20"/>
      <w:szCs w:val="20"/>
    </w:rPr>
  </w:style>
  <w:style w:type="character" w:customStyle="1" w:styleId="19">
    <w:name w:val="Předmět komentáře Char"/>
    <w:basedOn w:val="18"/>
    <w:qFormat/>
    <w:uiPriority w:val="0"/>
    <w:rPr>
      <w:b/>
      <w:bCs/>
      <w:sz w:val="20"/>
      <w:szCs w:val="20"/>
    </w:rPr>
  </w:style>
  <w:style w:type="character" w:customStyle="1" w:styleId="20">
    <w:name w:val="z-Začátek formuláře Char"/>
    <w:basedOn w:val="9"/>
    <w:qFormat/>
    <w:uiPriority w:val="0"/>
    <w:rPr>
      <w:rFonts w:ascii="Arial" w:hAnsi="Arial" w:eastAsia="Times New Roman" w:cs="Arial"/>
      <w:vanish/>
      <w:sz w:val="16"/>
      <w:szCs w:val="16"/>
    </w:rPr>
  </w:style>
  <w:style w:type="character" w:customStyle="1" w:styleId="21">
    <w:name w:val="z-Konec formuláře Char"/>
    <w:basedOn w:val="9"/>
    <w:uiPriority w:val="0"/>
    <w:rPr>
      <w:rFonts w:ascii="Arial" w:hAnsi="Arial" w:eastAsia="Times New Roman" w:cs="Arial"/>
      <w:vanish/>
      <w:sz w:val="16"/>
      <w:szCs w:val="16"/>
    </w:rPr>
  </w:style>
  <w:style w:type="character" w:customStyle="1" w:styleId="22">
    <w:name w:val="most_and_least_read_posts_hits"/>
    <w:basedOn w:val="9"/>
    <w:uiPriority w:val="0"/>
  </w:style>
  <w:style w:type="paragraph" w:customStyle="1" w:styleId="23">
    <w:name w:val="Nadpis"/>
    <w:basedOn w:val="1"/>
    <w:next w:val="3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4">
    <w:name w:val="Popisek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Rejstřík"/>
    <w:basedOn w:val="1"/>
    <w:qFormat/>
    <w:uiPriority w:val="0"/>
    <w:pPr>
      <w:suppressLineNumbers/>
    </w:pPr>
    <w:rPr>
      <w:rFonts w:cs="Mangal"/>
    </w:rPr>
  </w:style>
  <w:style w:type="paragraph" w:customStyle="1" w:styleId="26">
    <w:name w:val="Balloon Text1"/>
    <w:basedOn w:val="1"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7">
    <w:name w:val="Comment Text1"/>
    <w:basedOn w:val="1"/>
    <w:qFormat/>
    <w:uiPriority w:val="0"/>
    <w:pPr>
      <w:spacing w:line="240" w:lineRule="auto"/>
    </w:pPr>
    <w:rPr>
      <w:sz w:val="20"/>
      <w:szCs w:val="20"/>
    </w:rPr>
  </w:style>
  <w:style w:type="paragraph" w:customStyle="1" w:styleId="28">
    <w:name w:val="Comment Subject1"/>
    <w:basedOn w:val="27"/>
    <w:next w:val="27"/>
    <w:qFormat/>
    <w:uiPriority w:val="0"/>
    <w:rPr>
      <w:b/>
      <w:bCs/>
    </w:rPr>
  </w:style>
  <w:style w:type="paragraph" w:customStyle="1" w:styleId="29">
    <w:name w:val="Normal (Web)1"/>
    <w:basedOn w:val="1"/>
    <w:qFormat/>
    <w:uiPriority w:val="0"/>
    <w:pPr>
      <w:spacing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30">
    <w:name w:val="cc_message"/>
    <w:basedOn w:val="1"/>
    <w:qFormat/>
    <w:uiPriority w:val="0"/>
    <w:pPr>
      <w:spacing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31">
    <w:name w:val="HTML Top of Form"/>
    <w:basedOn w:val="1"/>
    <w:next w:val="1"/>
    <w:qFormat/>
    <w:uiPriority w:val="0"/>
    <w:pPr>
      <w:pBdr>
        <w:bottom w:val="single" w:color="000000" w:sz="4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paragraph" w:customStyle="1" w:styleId="32">
    <w:name w:val="HTML Bottom of Form"/>
    <w:basedOn w:val="1"/>
    <w:next w:val="1"/>
    <w:qFormat/>
    <w:uiPriority w:val="0"/>
    <w:pPr>
      <w:pBdr>
        <w:top w:val="single" w:color="000000" w:sz="4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paragraph" w:customStyle="1" w:styleId="33">
    <w:name w:val="text-left1"/>
    <w:basedOn w:val="1"/>
    <w:qFormat/>
    <w:uiPriority w:val="0"/>
    <w:pPr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34">
    <w:name w:val="List Paragraph"/>
    <w:basedOn w:val="1"/>
    <w:qFormat/>
    <w:uiPriority w:val="0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800</Words>
  <Characters>4725</Characters>
  <Lines>39</Lines>
  <Paragraphs>11</Paragraphs>
  <TotalTime>452</TotalTime>
  <ScaleCrop>false</ScaleCrop>
  <LinksUpToDate>false</LinksUpToDate>
  <CharactersWithSpaces>5514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2022-08-11T07:59:00Z</dcterms:created>
  <dc:creator>kalhousoval</dc:creator>
  <cp:lastModifiedBy>Michaela Štěbetáková</cp:lastModifiedBy>
  <cp:lastPrinted>2023-08-15T06:09:32Z</cp:lastPrinted>
  <dcterms:modified xsi:type="dcterms:W3CDTF">2023-08-16T07:13:29Z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1470F3C30BF54B17802EBB08D8835D54</vt:lpwstr>
  </property>
  <property fmtid="{D5CDD505-2E9C-101B-9397-08002B2CF9AE}" pid="3" name="KSOProductBuildVer">
    <vt:lpwstr>1033-11.2.0.11537</vt:lpwstr>
  </property>
</Properties>
</file>