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FF13" w14:textId="5755EF75" w:rsidR="0030412C" w:rsidRPr="005E7E26" w:rsidRDefault="001D08DB" w:rsidP="001A480A">
      <w:pPr>
        <w:pStyle w:val="Bezmezer"/>
        <w:rPr>
          <w:b/>
          <w:bCs/>
        </w:rPr>
      </w:pPr>
      <w:r w:rsidRPr="005E7E26">
        <w:rPr>
          <w:b/>
          <w:bCs/>
        </w:rPr>
        <w:t>KB</w:t>
      </w:r>
    </w:p>
    <w:p w14:paraId="4E7E2CEA" w14:textId="10E7A628" w:rsidR="001D08DB" w:rsidRPr="005E7E26" w:rsidRDefault="001D08DB" w:rsidP="001A480A">
      <w:pPr>
        <w:pStyle w:val="Bezmezer"/>
        <w:rPr>
          <w:b/>
          <w:bCs/>
        </w:rPr>
      </w:pPr>
      <w:r w:rsidRPr="005E7E26">
        <w:rPr>
          <w:b/>
          <w:bCs/>
        </w:rPr>
        <w:t>SMLOUVA O TERMÍNOVANÉM ÚČTU S INDEXOVOU SAZBOU</w:t>
      </w:r>
    </w:p>
    <w:p w14:paraId="67C99DD9" w14:textId="77777777" w:rsidR="001D08DB" w:rsidRPr="005E7E26" w:rsidRDefault="001D08DB" w:rsidP="001A480A">
      <w:pPr>
        <w:pStyle w:val="Bezmezer"/>
        <w:rPr>
          <w:b/>
          <w:bCs/>
        </w:rPr>
      </w:pPr>
    </w:p>
    <w:p w14:paraId="08602940" w14:textId="77777777" w:rsidR="001D08DB" w:rsidRPr="005E7E26" w:rsidRDefault="001D08DB" w:rsidP="001A480A">
      <w:pPr>
        <w:pStyle w:val="Bezmezer"/>
        <w:rPr>
          <w:b/>
          <w:bCs/>
          <w:highlight w:val="lightGray"/>
        </w:rPr>
      </w:pPr>
      <w:r w:rsidRPr="005E7E26">
        <w:rPr>
          <w:b/>
          <w:bCs/>
          <w:highlight w:val="lightGray"/>
        </w:rPr>
        <w:t>Komerční banka, a.s.</w:t>
      </w:r>
    </w:p>
    <w:p w14:paraId="4B07D885" w14:textId="551B0373" w:rsidR="001D08DB" w:rsidRPr="005E7E26" w:rsidRDefault="001D08DB" w:rsidP="001A480A">
      <w:pPr>
        <w:pStyle w:val="Bezmezer"/>
        <w:rPr>
          <w:highlight w:val="lightGray"/>
        </w:rPr>
      </w:pPr>
      <w:r w:rsidRPr="005E7E26">
        <w:rPr>
          <w:highlight w:val="lightGray"/>
        </w:rPr>
        <w:t>se sídlem Na Příkopě 33 čp. 969, Praha 1, PSČ 114 07, IČO 45317054</w:t>
      </w:r>
    </w:p>
    <w:p w14:paraId="5E37D740" w14:textId="3078204F" w:rsidR="00984E60" w:rsidRPr="001A480A" w:rsidRDefault="00984E60" w:rsidP="001A480A">
      <w:pPr>
        <w:pStyle w:val="Bezmezer"/>
      </w:pPr>
      <w:r w:rsidRPr="005E7E26">
        <w:rPr>
          <w:highlight w:val="lightGray"/>
        </w:rPr>
        <w:t>zapsaná v obchodním rejstříku vedeném Městským soudem v Praze, oddíl B, vložka 1360</w:t>
      </w:r>
    </w:p>
    <w:p w14:paraId="383691D1" w14:textId="77777777" w:rsidR="00984E60" w:rsidRPr="001A480A" w:rsidRDefault="00984E60" w:rsidP="001A480A">
      <w:pPr>
        <w:pStyle w:val="Bezmezer"/>
      </w:pPr>
    </w:p>
    <w:p w14:paraId="24DE38F8" w14:textId="10B4F089" w:rsidR="00984E60" w:rsidRPr="005E7E26" w:rsidRDefault="00984E60" w:rsidP="001A480A">
      <w:pPr>
        <w:pStyle w:val="Bezmezer"/>
        <w:rPr>
          <w:b/>
          <w:bCs/>
          <w:highlight w:val="lightGray"/>
        </w:rPr>
      </w:pPr>
      <w:r w:rsidRPr="005E7E26">
        <w:rPr>
          <w:b/>
          <w:bCs/>
          <w:highlight w:val="lightGray"/>
        </w:rPr>
        <w:t>DTS Domažlice, příspěvková organizace</w:t>
      </w:r>
    </w:p>
    <w:p w14:paraId="298CB1A7" w14:textId="277874EB" w:rsidR="00984E60" w:rsidRPr="005E7E26" w:rsidRDefault="00984E60" w:rsidP="001A480A">
      <w:pPr>
        <w:pStyle w:val="Bezmezer"/>
        <w:rPr>
          <w:highlight w:val="lightGray"/>
        </w:rPr>
      </w:pPr>
      <w:r w:rsidRPr="005E7E26">
        <w:rPr>
          <w:highlight w:val="lightGray"/>
        </w:rPr>
        <w:t xml:space="preserve">Sídlo: </w:t>
      </w:r>
      <w:proofErr w:type="spellStart"/>
      <w:r w:rsidRPr="005E7E26">
        <w:rPr>
          <w:b/>
          <w:bCs/>
          <w:highlight w:val="lightGray"/>
        </w:rPr>
        <w:t>Chrastavická</w:t>
      </w:r>
      <w:proofErr w:type="spellEnd"/>
      <w:r w:rsidRPr="005E7E26">
        <w:rPr>
          <w:b/>
          <w:bCs/>
          <w:highlight w:val="lightGray"/>
        </w:rPr>
        <w:t xml:space="preserve"> 170, Domažlice, PSČ 344 01, ČR</w:t>
      </w:r>
    </w:p>
    <w:p w14:paraId="1425D75B" w14:textId="5637724C" w:rsidR="00984E60" w:rsidRPr="005E7E26" w:rsidRDefault="00984E60" w:rsidP="001A480A">
      <w:pPr>
        <w:pStyle w:val="Bezmezer"/>
        <w:rPr>
          <w:highlight w:val="lightGray"/>
        </w:rPr>
      </w:pPr>
      <w:r w:rsidRPr="005E7E26">
        <w:rPr>
          <w:highlight w:val="lightGray"/>
        </w:rPr>
        <w:t xml:space="preserve">IČO: </w:t>
      </w:r>
      <w:r w:rsidRPr="005E7E26">
        <w:rPr>
          <w:b/>
          <w:bCs/>
          <w:highlight w:val="lightGray"/>
        </w:rPr>
        <w:t>73733113</w:t>
      </w:r>
    </w:p>
    <w:p w14:paraId="3C59052E" w14:textId="68CABE7C" w:rsidR="00984E60" w:rsidRPr="005E7E26" w:rsidRDefault="00984E60" w:rsidP="001A480A">
      <w:pPr>
        <w:pStyle w:val="Bezmezer"/>
        <w:rPr>
          <w:b/>
          <w:bCs/>
        </w:rPr>
      </w:pPr>
      <w:r w:rsidRPr="005E7E26">
        <w:rPr>
          <w:highlight w:val="lightGray"/>
        </w:rPr>
        <w:t xml:space="preserve">Zápis v obchodním rejstříku či jiné evidenci: </w:t>
      </w:r>
      <w:r w:rsidRPr="005E7E26">
        <w:rPr>
          <w:b/>
          <w:bCs/>
          <w:highlight w:val="lightGray"/>
        </w:rPr>
        <w:t>Výpis z rejstříku ČR, číslo: ODDÍL PR, VLOŽKA 700, Česká republika, Krajský soud v Plzni</w:t>
      </w:r>
    </w:p>
    <w:p w14:paraId="48E20200" w14:textId="77777777" w:rsidR="00984E60" w:rsidRPr="001A480A" w:rsidRDefault="00984E60" w:rsidP="001A480A">
      <w:pPr>
        <w:pStyle w:val="Bezmezer"/>
      </w:pPr>
    </w:p>
    <w:p w14:paraId="598AE14E" w14:textId="0CAD1665" w:rsidR="00984E60" w:rsidRDefault="00984E60" w:rsidP="001A480A">
      <w:pPr>
        <w:pStyle w:val="Bezmezer"/>
      </w:pPr>
      <w:r w:rsidRPr="001A480A">
        <w:t xml:space="preserve">Velice si vážíme vašeho zájmu o produkty Komerční banky. Za účelem uspokojení vašich přání a potřeb uzavíráme </w:t>
      </w:r>
      <w:r w:rsidR="001A480A" w:rsidRPr="001A480A">
        <w:t>s vámi tuto smlouvu</w:t>
      </w:r>
      <w:r w:rsidR="001A480A">
        <w:t xml:space="preserve">, na </w:t>
      </w:r>
      <w:proofErr w:type="gramStart"/>
      <w:r w:rsidR="001A480A">
        <w:t>základě</w:t>
      </w:r>
      <w:proofErr w:type="gramEnd"/>
      <w:r w:rsidR="001A480A">
        <w:t xml:space="preserve"> které vám, jako našemu klientovi, poskytneme následující vkladový účet.</w:t>
      </w:r>
    </w:p>
    <w:p w14:paraId="3B355D05" w14:textId="77777777" w:rsidR="001A480A" w:rsidRDefault="001A480A" w:rsidP="001A480A">
      <w:pPr>
        <w:pStyle w:val="Bezmezer"/>
      </w:pPr>
    </w:p>
    <w:p w14:paraId="398F5660" w14:textId="6D5953B2" w:rsidR="001A480A" w:rsidRPr="00DC6561" w:rsidRDefault="001A480A" w:rsidP="001A480A">
      <w:pPr>
        <w:pStyle w:val="Bezmezer"/>
        <w:rPr>
          <w:color w:val="FFFFFF" w:themeColor="background1"/>
        </w:rPr>
      </w:pPr>
      <w:r w:rsidRPr="00DC6561">
        <w:rPr>
          <w:color w:val="FFFFFF" w:themeColor="background1"/>
          <w:highlight w:val="black"/>
        </w:rPr>
        <w:t>Termínovaný účet s indexovou sazbou</w:t>
      </w:r>
    </w:p>
    <w:p w14:paraId="1446F778" w14:textId="4D4B1124" w:rsidR="001A480A" w:rsidRPr="005E7E26" w:rsidRDefault="001A480A" w:rsidP="001A480A">
      <w:pPr>
        <w:pStyle w:val="Bezmezer"/>
        <w:rPr>
          <w:b/>
          <w:bCs/>
        </w:rPr>
      </w:pPr>
      <w:r w:rsidRPr="005E7E26">
        <w:rPr>
          <w:b/>
          <w:bCs/>
        </w:rPr>
        <w:t>Vkladový účet číslo</w:t>
      </w:r>
    </w:p>
    <w:p w14:paraId="710901F6" w14:textId="36E7AFA4" w:rsidR="001A480A" w:rsidRPr="005E7E26" w:rsidRDefault="001A480A" w:rsidP="001A480A">
      <w:pPr>
        <w:pStyle w:val="Bezmezer"/>
        <w:rPr>
          <w:b/>
          <w:bCs/>
        </w:rPr>
      </w:pPr>
      <w:r w:rsidRPr="005E7E26">
        <w:rPr>
          <w:b/>
          <w:bCs/>
        </w:rPr>
        <w:t>Výše a měna vkladu na účtu</w:t>
      </w:r>
    </w:p>
    <w:p w14:paraId="2E97EFF4" w14:textId="77777777" w:rsidR="001A480A" w:rsidRPr="005E7E26" w:rsidRDefault="001A480A" w:rsidP="001A480A">
      <w:pPr>
        <w:pStyle w:val="Bezmezer"/>
        <w:rPr>
          <w:b/>
          <w:bCs/>
        </w:rPr>
      </w:pPr>
      <w:r w:rsidRPr="005E7E26">
        <w:rPr>
          <w:b/>
          <w:bCs/>
        </w:rPr>
        <w:t>Minimální počáteční vklad a minimální</w:t>
      </w:r>
    </w:p>
    <w:p w14:paraId="3B64240F" w14:textId="3F64226B" w:rsidR="001A480A" w:rsidRDefault="001A480A" w:rsidP="001A480A">
      <w:pPr>
        <w:pStyle w:val="Bezmezer"/>
      </w:pPr>
      <w:r w:rsidRPr="005E7E26">
        <w:rPr>
          <w:b/>
          <w:bCs/>
        </w:rPr>
        <w:tab/>
      </w:r>
      <w:r w:rsidRPr="005E7E26">
        <w:rPr>
          <w:b/>
          <w:bCs/>
        </w:rPr>
        <w:tab/>
      </w:r>
      <w:r w:rsidRPr="005E7E26">
        <w:rPr>
          <w:b/>
          <w:bCs/>
        </w:rPr>
        <w:tab/>
        <w:t xml:space="preserve">            zůstatek</w:t>
      </w:r>
      <w:r>
        <w:tab/>
        <w:t xml:space="preserve">1 000 000 Kč nebo 50 000 EUR </w:t>
      </w:r>
    </w:p>
    <w:p w14:paraId="285683AD" w14:textId="1C9F9B92" w:rsidR="001A480A" w:rsidRDefault="001A480A" w:rsidP="001A480A">
      <w:pPr>
        <w:pStyle w:val="Bezmezer"/>
      </w:pPr>
      <w:r w:rsidRPr="005E7E26">
        <w:rPr>
          <w:b/>
          <w:bCs/>
        </w:rPr>
        <w:t xml:space="preserve">Doba vkladu </w:t>
      </w:r>
      <w:r w:rsidRPr="005E7E26">
        <w:rPr>
          <w:b/>
          <w:bCs/>
        </w:rPr>
        <w:tab/>
      </w:r>
      <w:r>
        <w:tab/>
      </w:r>
      <w:r>
        <w:tab/>
      </w:r>
      <w:r>
        <w:tab/>
        <w:t>automatická obnova, 3 měsíce, první doba vkladu od 1.8.2023 do 1.11.2023</w:t>
      </w:r>
    </w:p>
    <w:p w14:paraId="1141D8C2" w14:textId="60758D3B" w:rsidR="001A480A" w:rsidRDefault="001A480A" w:rsidP="001A480A">
      <w:pPr>
        <w:pStyle w:val="Bezmezer"/>
      </w:pPr>
      <w:r w:rsidRPr="005E7E26">
        <w:rPr>
          <w:b/>
          <w:bCs/>
        </w:rPr>
        <w:t>Konstrukce úrokové sazby</w:t>
      </w:r>
      <w:r w:rsidRPr="005E7E26">
        <w:rPr>
          <w:b/>
          <w:bCs/>
        </w:rPr>
        <w:tab/>
      </w:r>
      <w:r>
        <w:tab/>
        <w:t xml:space="preserve">Indexová sazba PRIBOR 3 měsíce minus 1,00 % </w:t>
      </w:r>
      <w:proofErr w:type="spellStart"/>
      <w:r>
        <w:t>p.a</w:t>
      </w:r>
      <w:proofErr w:type="spellEnd"/>
      <w:r>
        <w:t>.</w:t>
      </w:r>
    </w:p>
    <w:p w14:paraId="679CB7CF" w14:textId="409BCBF6" w:rsidR="001A480A" w:rsidRPr="001A480A" w:rsidRDefault="001A480A" w:rsidP="00CA36D9">
      <w:pPr>
        <w:pStyle w:val="Bezmezer"/>
        <w:ind w:left="3540"/>
      </w:pPr>
      <w:r>
        <w:t xml:space="preserve">Indexová sazba odpovídá sazbě kótované jako </w:t>
      </w:r>
      <w:proofErr w:type="spellStart"/>
      <w:r>
        <w:t>fixing</w:t>
      </w:r>
      <w:proofErr w:type="spellEnd"/>
      <w:r>
        <w:t xml:space="preserve"> </w:t>
      </w:r>
      <w:r w:rsidR="00CA36D9">
        <w:t>úrokových sazeb na trhu mezibankovních depozit dva Obchodní dny bezprostředně předcházející dni vkladu nebo dni aktualizace in</w:t>
      </w:r>
      <w:r w:rsidR="000F4336">
        <w:t xml:space="preserve">dexové úrokové sazby. Výše indexových sazeb jsou publikovány např. na webových stránkách ČNB nebo </w:t>
      </w:r>
      <w:proofErr w:type="spellStart"/>
      <w:r w:rsidR="000F4336">
        <w:t>Reuter</w:t>
      </w:r>
      <w:proofErr w:type="spellEnd"/>
      <w:r w:rsidR="000F4336">
        <w:t xml:space="preserve"> Monitor Money </w:t>
      </w:r>
      <w:proofErr w:type="spellStart"/>
      <w:r w:rsidR="000F4336">
        <w:t>Rates</w:t>
      </w:r>
      <w:proofErr w:type="spellEnd"/>
      <w:r w:rsidR="000F4336">
        <w:t xml:space="preserve"> Service. </w:t>
      </w:r>
    </w:p>
    <w:p w14:paraId="02BC100F" w14:textId="402AB57C" w:rsidR="001D08DB" w:rsidRPr="001A480A" w:rsidRDefault="000F4336" w:rsidP="000F4336">
      <w:pPr>
        <w:pStyle w:val="Bezmezer"/>
        <w:ind w:left="3540"/>
      </w:pPr>
      <w:r>
        <w:t>Bude-li indexová sazba nižší než sjednaná odchylka od této úrokové sazby, zůstatek na účtu nebudeme úročit.</w:t>
      </w:r>
      <w:r w:rsidR="00725B2E">
        <w:t xml:space="preserve"> </w:t>
      </w:r>
      <w:r>
        <w:t xml:space="preserve"> </w:t>
      </w:r>
    </w:p>
    <w:p w14:paraId="5DF7EFC8" w14:textId="60324188" w:rsidR="001D08DB" w:rsidRDefault="00C57F6C" w:rsidP="001D08DB">
      <w:pPr>
        <w:spacing w:after="0"/>
      </w:pPr>
      <w:r w:rsidRPr="005E7E26">
        <w:rPr>
          <w:b/>
          <w:bCs/>
        </w:rPr>
        <w:t>Způsob nakládání s úrokem</w:t>
      </w:r>
      <w:r>
        <w:tab/>
      </w:r>
      <w:r>
        <w:tab/>
        <w:t>připisování ke vkladu (kapitalizace)</w:t>
      </w:r>
    </w:p>
    <w:p w14:paraId="06CCAA02" w14:textId="07239B4A" w:rsidR="00C57F6C" w:rsidRDefault="00C57F6C" w:rsidP="001D08DB">
      <w:pPr>
        <w:spacing w:after="0"/>
      </w:pPr>
      <w:r w:rsidRPr="005E7E26">
        <w:rPr>
          <w:b/>
          <w:bCs/>
        </w:rPr>
        <w:t>Způsob předávání výpisů z účtu</w:t>
      </w:r>
      <w:r w:rsidRPr="005E7E26">
        <w:rPr>
          <w:b/>
          <w:bCs/>
        </w:rPr>
        <w:tab/>
      </w:r>
      <w:r>
        <w:t>elektronicky</w:t>
      </w:r>
    </w:p>
    <w:p w14:paraId="4B9B6DF7" w14:textId="04EB32B3" w:rsidR="00C57F6C" w:rsidRDefault="00C57F6C" w:rsidP="001D08DB">
      <w:pPr>
        <w:spacing w:after="0"/>
      </w:pPr>
      <w:r w:rsidRPr="005E7E26">
        <w:rPr>
          <w:b/>
          <w:bCs/>
        </w:rPr>
        <w:t>Četnost zasílání výpisů z účtu</w:t>
      </w:r>
      <w:r w:rsidRPr="005E7E26">
        <w:rPr>
          <w:b/>
          <w:bCs/>
        </w:rPr>
        <w:tab/>
      </w:r>
      <w:r>
        <w:tab/>
        <w:t>měsíčně</w:t>
      </w:r>
    </w:p>
    <w:p w14:paraId="25F6CAE6" w14:textId="3F57284A" w:rsidR="00C57F6C" w:rsidRDefault="00C57F6C" w:rsidP="001D08DB">
      <w:pPr>
        <w:spacing w:after="0"/>
      </w:pPr>
      <w:r w:rsidRPr="005E7E26">
        <w:rPr>
          <w:b/>
          <w:bCs/>
        </w:rPr>
        <w:t>Osoba oprávněná nakládat</w:t>
      </w:r>
      <w:r>
        <w:tab/>
      </w:r>
      <w:r>
        <w:tab/>
        <w:t>Oprávněná osoba dle těchto pravidel:</w:t>
      </w:r>
    </w:p>
    <w:p w14:paraId="74C5F281" w14:textId="45F2DA93" w:rsidR="00C57F6C" w:rsidRDefault="00C57F6C" w:rsidP="00592E3F">
      <w:pPr>
        <w:spacing w:after="0"/>
      </w:pPr>
      <w:r>
        <w:t xml:space="preserve">           </w:t>
      </w:r>
      <w:r w:rsidRPr="005E7E26">
        <w:rPr>
          <w:b/>
          <w:bCs/>
        </w:rPr>
        <w:t>s prostředky na účtu</w:t>
      </w:r>
      <w:r>
        <w:tab/>
      </w:r>
      <w:r>
        <w:tab/>
        <w:t>* jedna Oprávněná osoba samostatně,</w:t>
      </w:r>
      <w:r w:rsidR="00592E3F">
        <w:tab/>
      </w:r>
      <w:r w:rsidR="00592E3F">
        <w:tab/>
      </w:r>
      <w:r w:rsidR="00592E3F">
        <w:tab/>
      </w:r>
      <w:r w:rsidR="00592E3F">
        <w:tab/>
      </w:r>
      <w:r w:rsidR="00592E3F">
        <w:tab/>
      </w:r>
    </w:p>
    <w:p w14:paraId="4D02EE43" w14:textId="3429A02F" w:rsidR="00C57F6C" w:rsidRDefault="00592E3F" w:rsidP="00C57F6C">
      <w:pPr>
        <w:spacing w:after="0"/>
      </w:pPr>
      <w:r>
        <w:tab/>
      </w:r>
      <w:r>
        <w:tab/>
      </w:r>
      <w:r>
        <w:tab/>
      </w:r>
      <w:r>
        <w:tab/>
      </w:r>
      <w:r>
        <w:tab/>
        <w:t>* dvě Oprávněné osoby společně,</w:t>
      </w:r>
    </w:p>
    <w:p w14:paraId="74F0B819" w14:textId="54F20C29" w:rsidR="00592E3F" w:rsidRDefault="00592E3F" w:rsidP="00C57F6C">
      <w:pPr>
        <w:spacing w:after="0"/>
      </w:pPr>
      <w:r w:rsidRPr="005E7E26">
        <w:rPr>
          <w:b/>
          <w:bCs/>
        </w:rPr>
        <w:t>Kontaktní adresa</w:t>
      </w:r>
      <w:r w:rsidRPr="005E7E26">
        <w:rPr>
          <w:b/>
          <w:bCs/>
        </w:rPr>
        <w:tab/>
      </w:r>
      <w:r>
        <w:tab/>
      </w:r>
      <w:r>
        <w:tab/>
        <w:t>sídlo (sjednává se pro zasílání Zásilek dle VOP)</w:t>
      </w:r>
    </w:p>
    <w:p w14:paraId="1B5A3398" w14:textId="3951C51F" w:rsidR="00592E3F" w:rsidRDefault="00592E3F" w:rsidP="00C57F6C">
      <w:pPr>
        <w:spacing w:after="0"/>
      </w:pPr>
      <w:r w:rsidRPr="005E7E26">
        <w:rPr>
          <w:b/>
          <w:bCs/>
        </w:rPr>
        <w:t>Ostatní ujednání</w:t>
      </w:r>
      <w:r>
        <w:t xml:space="preserve"> </w:t>
      </w:r>
      <w:r>
        <w:tab/>
      </w:r>
      <w:r>
        <w:tab/>
      </w:r>
      <w:r>
        <w:tab/>
        <w:t>Sjednanou odchylku od indexové sazby jsme oprávněni kdykoli změnit,</w:t>
      </w:r>
    </w:p>
    <w:p w14:paraId="63AB49F6" w14:textId="07A2B929" w:rsidR="00592E3F" w:rsidRDefault="00592E3F" w:rsidP="00C57F6C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O změně odchylky od indexové sazby vás budeme informovat vždy minimálně </w:t>
      </w:r>
      <w:r>
        <w:tab/>
      </w:r>
      <w:r>
        <w:tab/>
      </w:r>
      <w:r>
        <w:tab/>
      </w:r>
      <w:r>
        <w:tab/>
      </w:r>
      <w:r>
        <w:tab/>
        <w:t>5 Obchodních dnů před její účinností. Novou výši odchylky vám sdělíme</w:t>
      </w:r>
    </w:p>
    <w:p w14:paraId="20AB5E0F" w14:textId="77777777" w:rsidR="00592E3F" w:rsidRDefault="00592E3F" w:rsidP="00592E3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dopisem zaslaným poštou na Kontaktní adresu nebo elektronicky na</w:t>
      </w:r>
    </w:p>
    <w:p w14:paraId="67E28A15" w14:textId="7603FC2E" w:rsidR="00592E3F" w:rsidRDefault="00592E3F" w:rsidP="00592E3F">
      <w:pPr>
        <w:spacing w:after="0"/>
        <w:ind w:left="2832" w:firstLine="708"/>
        <w:jc w:val="both"/>
      </w:pPr>
      <w:r>
        <w:t xml:space="preserve">e-mailovou adresu. </w:t>
      </w:r>
    </w:p>
    <w:p w14:paraId="7FDC7BE0" w14:textId="77777777" w:rsidR="00592E3F" w:rsidRDefault="00592E3F" w:rsidP="00592E3F">
      <w:pPr>
        <w:spacing w:after="0"/>
        <w:ind w:left="2832" w:firstLine="708"/>
        <w:jc w:val="both"/>
      </w:pPr>
    </w:p>
    <w:p w14:paraId="56650995" w14:textId="239577AE" w:rsidR="00592E3F" w:rsidRPr="00DC6561" w:rsidRDefault="00592E3F" w:rsidP="00592E3F">
      <w:pPr>
        <w:rPr>
          <w:color w:val="FFFFFF" w:themeColor="background1"/>
        </w:rPr>
      </w:pPr>
      <w:r w:rsidRPr="00DC6561">
        <w:rPr>
          <w:color w:val="FFFFFF" w:themeColor="background1"/>
          <w:highlight w:val="black"/>
        </w:rPr>
        <w:t>Společní ustanovení</w:t>
      </w:r>
    </w:p>
    <w:p w14:paraId="4BEAADB4" w14:textId="6E6C0EBF" w:rsidR="00592E3F" w:rsidRPr="005E7E26" w:rsidRDefault="00592E3F" w:rsidP="00592E3F">
      <w:pPr>
        <w:pStyle w:val="Bezmezer"/>
        <w:rPr>
          <w:b/>
          <w:bCs/>
        </w:rPr>
      </w:pPr>
      <w:r w:rsidRPr="005E7E26">
        <w:rPr>
          <w:b/>
          <w:bCs/>
        </w:rPr>
        <w:t>Nedílnou součástí této smlouvy jsou:</w:t>
      </w:r>
    </w:p>
    <w:p w14:paraId="0F68A752" w14:textId="4BF2CC65" w:rsidR="00592E3F" w:rsidRDefault="00592E3F" w:rsidP="00592E3F">
      <w:pPr>
        <w:pStyle w:val="Bezmezer"/>
        <w:numPr>
          <w:ilvl w:val="0"/>
          <w:numId w:val="11"/>
        </w:numPr>
      </w:pPr>
      <w:r>
        <w:t>Všeobecné obchodní podmínky banky (dále jen „VOP“),</w:t>
      </w:r>
    </w:p>
    <w:p w14:paraId="311774E8" w14:textId="277DE159" w:rsidR="00592E3F" w:rsidRDefault="00592E3F" w:rsidP="00592E3F">
      <w:pPr>
        <w:pStyle w:val="Bezmezer"/>
        <w:numPr>
          <w:ilvl w:val="0"/>
          <w:numId w:val="11"/>
        </w:numPr>
      </w:pPr>
      <w:r>
        <w:t>Podmínky vkladových účtů,</w:t>
      </w:r>
    </w:p>
    <w:p w14:paraId="23E3829A" w14:textId="42FA4DFE" w:rsidR="00592E3F" w:rsidRDefault="00592E3F" w:rsidP="00592E3F">
      <w:pPr>
        <w:pStyle w:val="Bezmezer"/>
        <w:numPr>
          <w:ilvl w:val="0"/>
          <w:numId w:val="11"/>
        </w:numPr>
      </w:pPr>
      <w:r>
        <w:t>Oznámení o provádění platebního styku,</w:t>
      </w:r>
    </w:p>
    <w:p w14:paraId="5E35F205" w14:textId="479354A4" w:rsidR="00592E3F" w:rsidRDefault="00592E3F" w:rsidP="00592E3F">
      <w:pPr>
        <w:pStyle w:val="Bezmezer"/>
        <w:numPr>
          <w:ilvl w:val="0"/>
          <w:numId w:val="11"/>
        </w:numPr>
      </w:pPr>
      <w:r>
        <w:t xml:space="preserve">Oznámení o minimálním počátečním vkladu a </w:t>
      </w:r>
      <w:r w:rsidR="005E7E26">
        <w:t>minimálním zůstatku,</w:t>
      </w:r>
    </w:p>
    <w:p w14:paraId="2960A9DF" w14:textId="3AAF52E5" w:rsidR="005E7E26" w:rsidRDefault="005E7E26" w:rsidP="00592E3F">
      <w:pPr>
        <w:pStyle w:val="Bezmezer"/>
        <w:numPr>
          <w:ilvl w:val="0"/>
          <w:numId w:val="11"/>
        </w:numPr>
      </w:pPr>
      <w:r>
        <w:t>Sazebník (v rozsahu relevantním k této smlouvě).</w:t>
      </w:r>
    </w:p>
    <w:p w14:paraId="2BC43117" w14:textId="77777777" w:rsidR="005E7E26" w:rsidRDefault="005E7E26" w:rsidP="005E7E26">
      <w:pPr>
        <w:pStyle w:val="Bezmezer"/>
      </w:pPr>
    </w:p>
    <w:p w14:paraId="1CEA4295" w14:textId="2249AB48" w:rsidR="005E7E26" w:rsidRDefault="005E7E26" w:rsidP="005E7E26">
      <w:pPr>
        <w:pStyle w:val="Bezmezer"/>
      </w:pPr>
      <w:r>
        <w:t>Komerční banka, a. s., se sídlem:</w:t>
      </w:r>
    </w:p>
    <w:p w14:paraId="56628137" w14:textId="1507E989" w:rsidR="005E7E26" w:rsidRDefault="005E7E26" w:rsidP="005E7E26">
      <w:pPr>
        <w:pStyle w:val="Bezmezer"/>
      </w:pPr>
      <w:r>
        <w:t>Praha 1, Na Příkopě 33 čp. 99, PSČ: 114 07, IČO: 45317054</w:t>
      </w:r>
    </w:p>
    <w:p w14:paraId="15F4C4C3" w14:textId="381F3CB1" w:rsidR="005E7E26" w:rsidRDefault="005E7E26" w:rsidP="005E7E26">
      <w:pPr>
        <w:pStyle w:val="Bezmezer"/>
      </w:pPr>
      <w:r>
        <w:t>Zapsaná v obchodním rejstříku vedeném Městským soudem v Praze, oddíl B, vložka 1360</w:t>
      </w:r>
    </w:p>
    <w:p w14:paraId="7DC5361B" w14:textId="77777777" w:rsidR="00592E3F" w:rsidRDefault="00592E3F" w:rsidP="00592E3F">
      <w:pPr>
        <w:jc w:val="both"/>
      </w:pPr>
    </w:p>
    <w:p w14:paraId="10FDDFB5" w14:textId="4A399BA7" w:rsidR="00592E3F" w:rsidRDefault="005E7E26" w:rsidP="00592E3F">
      <w:pPr>
        <w:jc w:val="both"/>
        <w:rPr>
          <w:b/>
          <w:bCs/>
          <w:sz w:val="28"/>
          <w:szCs w:val="28"/>
        </w:rPr>
      </w:pPr>
      <w:r w:rsidRPr="005E7E26">
        <w:rPr>
          <w:b/>
          <w:bCs/>
          <w:sz w:val="28"/>
          <w:szCs w:val="28"/>
        </w:rPr>
        <w:lastRenderedPageBreak/>
        <w:t>SMLOUVA O TERMÍNOVANÉM ÚČTU S INDEXOVOU SAZBOUTERM ACCOUNT WITH AN INDEX RATE</w:t>
      </w:r>
    </w:p>
    <w:p w14:paraId="164560FE" w14:textId="4CE93EBE" w:rsidR="005E7E26" w:rsidRPr="00DC6561" w:rsidRDefault="005E7E26" w:rsidP="005E7E26">
      <w:pPr>
        <w:pStyle w:val="Bezmezer"/>
        <w:rPr>
          <w:b/>
          <w:bCs/>
        </w:rPr>
      </w:pPr>
      <w:r w:rsidRPr="00DC6561">
        <w:rPr>
          <w:b/>
          <w:bCs/>
        </w:rPr>
        <w:t xml:space="preserve">Podpisem této smlouvy potvrzujete, že: </w:t>
      </w:r>
    </w:p>
    <w:p w14:paraId="1A7BB0CB" w14:textId="2174EA77" w:rsidR="005E7E26" w:rsidRDefault="003961C6" w:rsidP="005E7E26">
      <w:pPr>
        <w:pStyle w:val="Bezmezer"/>
        <w:numPr>
          <w:ilvl w:val="0"/>
          <w:numId w:val="12"/>
        </w:numPr>
      </w:pPr>
      <w:r>
        <w:t>j</w:t>
      </w:r>
      <w:r w:rsidR="005E7E26">
        <w:t xml:space="preserve">sme vás seznámili s obsahem a významem dokumentů, </w:t>
      </w:r>
      <w:r>
        <w:t>jež jsou součástí této smlouvy, a dalších dokumentů, na které se v nich odkazuje, a výslovně s jejich zněním souhlasíte,</w:t>
      </w:r>
    </w:p>
    <w:p w14:paraId="2A25261B" w14:textId="52E9188B" w:rsidR="003961C6" w:rsidRDefault="003961C6" w:rsidP="005E7E26">
      <w:pPr>
        <w:pStyle w:val="Bezmezer"/>
        <w:numPr>
          <w:ilvl w:val="0"/>
          <w:numId w:val="12"/>
        </w:numPr>
      </w:pPr>
      <w:r>
        <w:t>jsme vás upozornili na ustanovení, která odkazují na shora uvedené dokumenty stojící mimo vlastní text smlouvy a jejich význam vám byl dostatečně vysvětlen,</w:t>
      </w:r>
    </w:p>
    <w:p w14:paraId="33851F3A" w14:textId="4B364D3E" w:rsidR="003961C6" w:rsidRDefault="003961C6" w:rsidP="005E7E26">
      <w:pPr>
        <w:pStyle w:val="Bezmezer"/>
        <w:numPr>
          <w:ilvl w:val="0"/>
          <w:numId w:val="12"/>
        </w:numPr>
      </w:pPr>
      <w:r>
        <w:t xml:space="preserve">jsme vás před uzavřením smlouvy informovali o systému pojištění pohledávek z vkladů a o informačním přehledu, který je k dispozici na webových stránkách </w:t>
      </w:r>
      <w:hyperlink r:id="rId5" w:history="1">
        <w:r w:rsidRPr="00694425">
          <w:rPr>
            <w:rStyle w:val="Hypertextovodkaz"/>
          </w:rPr>
          <w:t>www.kb.cz/pojistenivkladu</w:t>
        </w:r>
      </w:hyperlink>
      <w:r>
        <w:t xml:space="preserve">, </w:t>
      </w:r>
    </w:p>
    <w:p w14:paraId="458484D6" w14:textId="75078247" w:rsidR="003961C6" w:rsidRDefault="003961C6" w:rsidP="005E7E26">
      <w:pPr>
        <w:pStyle w:val="Bezmezer"/>
        <w:numPr>
          <w:ilvl w:val="0"/>
          <w:numId w:val="12"/>
        </w:numPr>
      </w:pPr>
      <w:r>
        <w:t>v případě, že smlouvu uzavíráte elektronicky, jsou vám známy příslušné informace ke smlouvám o finančních službách uzavíraných na dálku,</w:t>
      </w:r>
    </w:p>
    <w:p w14:paraId="610E0F0E" w14:textId="12B9D9DE" w:rsidR="003961C6" w:rsidRDefault="003961C6" w:rsidP="005E7E26">
      <w:pPr>
        <w:pStyle w:val="Bezmezer"/>
        <w:numPr>
          <w:ilvl w:val="0"/>
          <w:numId w:val="12"/>
        </w:numPr>
      </w:pPr>
      <w:r>
        <w:t xml:space="preserve">berete na vědomí, že </w:t>
      </w:r>
      <w:r w:rsidR="00CD2219">
        <w:t>nejen smlouva, ale i všechny výše uvedené dokumenty jsou pro vás závazné, a že nesplnění povinností či podmínek v těchto dokumentech může mít stejné právní následky jako nesplnění povinností a podmínek vyplývajících ze smlouvy.</w:t>
      </w:r>
    </w:p>
    <w:p w14:paraId="44D6C563" w14:textId="77777777" w:rsidR="00CD2219" w:rsidRDefault="00CD2219" w:rsidP="00CD2219">
      <w:pPr>
        <w:pStyle w:val="Bezmezer"/>
      </w:pPr>
    </w:p>
    <w:p w14:paraId="1F41C474" w14:textId="7E5F303E" w:rsidR="00CD2219" w:rsidRPr="00DC6561" w:rsidRDefault="00CD2219" w:rsidP="00CD2219">
      <w:pPr>
        <w:pStyle w:val="Bezmezer"/>
        <w:rPr>
          <w:b/>
          <w:bCs/>
        </w:rPr>
      </w:pPr>
      <w:r w:rsidRPr="00DC6561">
        <w:rPr>
          <w:b/>
          <w:bCs/>
        </w:rPr>
        <w:t>Podpisem smlouvy:</w:t>
      </w:r>
    </w:p>
    <w:p w14:paraId="0E5F1ADC" w14:textId="69186D42" w:rsidR="00CD2219" w:rsidRDefault="00CD2219" w:rsidP="00CD2219">
      <w:pPr>
        <w:pStyle w:val="Bezmezer"/>
        <w:numPr>
          <w:ilvl w:val="0"/>
          <w:numId w:val="13"/>
        </w:numPr>
      </w:pPr>
      <w:r>
        <w:t>berete na vědomí, že jsme oprávněni nakládat s údaji podléhajícími bankovnímu tajemství způsobem dle článku 28 VOP,</w:t>
      </w:r>
    </w:p>
    <w:p w14:paraId="367EAF6C" w14:textId="149D498A" w:rsidR="00CD2219" w:rsidRDefault="00CD2219" w:rsidP="00CD2219">
      <w:pPr>
        <w:pStyle w:val="Bezmezer"/>
        <w:numPr>
          <w:ilvl w:val="0"/>
          <w:numId w:val="13"/>
        </w:numPr>
      </w:pPr>
      <w:r>
        <w:t>udělujete souhlas dle článku 28.3 VOP, jste-li právnickou osobou,</w:t>
      </w:r>
    </w:p>
    <w:p w14:paraId="2FCBA352" w14:textId="5142811C" w:rsidR="00CD2219" w:rsidRDefault="00CD2219" w:rsidP="00CD2219">
      <w:pPr>
        <w:pStyle w:val="Bezmezer"/>
        <w:numPr>
          <w:ilvl w:val="0"/>
          <w:numId w:val="13"/>
        </w:numPr>
      </w:pPr>
      <w:r>
        <w:t>udělujete souhlas s tím, že jsme oprávněni započítávat své pohledávky za vámi v rozsahu a způsobem stanoveným ve VOP.</w:t>
      </w:r>
    </w:p>
    <w:p w14:paraId="1E38A13B" w14:textId="77777777" w:rsidR="00CD2219" w:rsidRDefault="00CD2219" w:rsidP="00CD2219">
      <w:pPr>
        <w:pStyle w:val="Bezmezer"/>
      </w:pPr>
    </w:p>
    <w:p w14:paraId="4C3CCE0A" w14:textId="1E2C0C71" w:rsidR="00CD2219" w:rsidRDefault="00CD2219" w:rsidP="00CD2219">
      <w:pPr>
        <w:pStyle w:val="Bezmezer"/>
      </w:pPr>
      <w:r>
        <w:t xml:space="preserve">Na náš smluvní vztah dle této smlouvy se vylučuje uplatnění ustanovení </w:t>
      </w:r>
      <w:r>
        <w:rPr>
          <w:rFonts w:ascii="Arial" w:hAnsi="Arial" w:cs="Arial"/>
        </w:rPr>
        <w:t>§</w:t>
      </w:r>
      <w:r>
        <w:t xml:space="preserve"> 1799 a </w:t>
      </w:r>
      <w:r>
        <w:rPr>
          <w:rFonts w:ascii="Arial" w:hAnsi="Arial" w:cs="Arial"/>
        </w:rPr>
        <w:t>§</w:t>
      </w:r>
      <w:r>
        <w:t xml:space="preserve"> 1800 občanského zákoníku o adhezních smlouvách.</w:t>
      </w:r>
    </w:p>
    <w:p w14:paraId="04C6EE31" w14:textId="77777777" w:rsidR="00CD2219" w:rsidRDefault="00CD2219" w:rsidP="00CD2219">
      <w:pPr>
        <w:pStyle w:val="Bezmezer"/>
      </w:pPr>
    </w:p>
    <w:p w14:paraId="1C38A356" w14:textId="73089100" w:rsidR="00CD2219" w:rsidRDefault="00CD2219" w:rsidP="00CD2219">
      <w:pPr>
        <w:pStyle w:val="Bezmezer"/>
      </w:pPr>
      <w:r>
        <w:t>Pojmy s velkým počátečním písmenem mají v této smlouvě význam stanovený v tomto dokumentu a v dokumentech, jež jsou nedílnou součástí této smlouvy.</w:t>
      </w:r>
    </w:p>
    <w:p w14:paraId="2E94CCA9" w14:textId="77777777" w:rsidR="00CD2219" w:rsidRDefault="00CD2219" w:rsidP="00CD2219">
      <w:pPr>
        <w:pStyle w:val="Bezmezer"/>
      </w:pPr>
    </w:p>
    <w:p w14:paraId="3FFEE36A" w14:textId="378AA7F9" w:rsidR="00CD2219" w:rsidRPr="00DC6561" w:rsidRDefault="00CD2219" w:rsidP="00CD2219">
      <w:pPr>
        <w:pStyle w:val="Bezmezer"/>
        <w:rPr>
          <w:color w:val="FFFFFF" w:themeColor="background1"/>
        </w:rPr>
      </w:pPr>
      <w:r w:rsidRPr="00DC6561">
        <w:rPr>
          <w:color w:val="FFFFFF" w:themeColor="background1"/>
          <w:highlight w:val="black"/>
        </w:rPr>
        <w:t>Závěrečná ustanovení</w:t>
      </w:r>
      <w:r w:rsidRPr="00DC6561">
        <w:rPr>
          <w:color w:val="FFFFFF" w:themeColor="background1"/>
        </w:rPr>
        <w:t xml:space="preserve"> </w:t>
      </w:r>
    </w:p>
    <w:p w14:paraId="7CD30306" w14:textId="77777777" w:rsidR="00CD2219" w:rsidRDefault="00CD2219" w:rsidP="00CD2219">
      <w:pPr>
        <w:pStyle w:val="Bezmezer"/>
      </w:pPr>
    </w:p>
    <w:p w14:paraId="08166002" w14:textId="156C88FD" w:rsidR="00CD2219" w:rsidRDefault="00CD2219" w:rsidP="00CD2219">
      <w:pPr>
        <w:pStyle w:val="Bezmezer"/>
      </w:pPr>
      <w:r>
        <w:t>Smlouva nabývá platnosti a účinnosti dnem jejího uzavření.</w:t>
      </w:r>
    </w:p>
    <w:p w14:paraId="6E28AD92" w14:textId="77777777" w:rsidR="00CD2219" w:rsidRDefault="00CD2219" w:rsidP="00CD2219">
      <w:pPr>
        <w:pStyle w:val="Bezmezer"/>
      </w:pPr>
    </w:p>
    <w:p w14:paraId="3852E200" w14:textId="1D19F6E3" w:rsidR="00CD2219" w:rsidRDefault="00CD2219" w:rsidP="00CD2219">
      <w:pPr>
        <w:pStyle w:val="Bezmezer"/>
      </w:pPr>
      <w:r>
        <w:t>V Domažlicích dne 1.8.2023</w:t>
      </w:r>
    </w:p>
    <w:p w14:paraId="7B7E2BC0" w14:textId="42C1CC35" w:rsidR="00CD2219" w:rsidRPr="00DC6561" w:rsidRDefault="00CD2219" w:rsidP="00CD2219">
      <w:pPr>
        <w:pStyle w:val="Bezmezer"/>
        <w:rPr>
          <w:b/>
          <w:bCs/>
        </w:rPr>
      </w:pPr>
      <w:r w:rsidRPr="00DC6561">
        <w:rPr>
          <w:b/>
          <w:bCs/>
        </w:rPr>
        <w:t>Komerční banka, a.s.</w:t>
      </w:r>
    </w:p>
    <w:p w14:paraId="3ADB6600" w14:textId="77777777" w:rsidR="00CD2219" w:rsidRDefault="00CD2219" w:rsidP="00CD2219">
      <w:pPr>
        <w:pStyle w:val="Bezmezer"/>
      </w:pPr>
    </w:p>
    <w:p w14:paraId="22CCC733" w14:textId="2E7A815D" w:rsidR="00CD2219" w:rsidRDefault="00CD2219" w:rsidP="00CD2219">
      <w:pPr>
        <w:pStyle w:val="Bezmezer"/>
      </w:pPr>
      <w:r>
        <w:t>________________________</w:t>
      </w:r>
    </w:p>
    <w:p w14:paraId="1B72C1B0" w14:textId="561E900C" w:rsidR="00CD2219" w:rsidRDefault="00CD2219" w:rsidP="00CD2219">
      <w:pPr>
        <w:pStyle w:val="Bezmezer"/>
      </w:pPr>
      <w:r>
        <w:t>Vlastnoruční podpis</w:t>
      </w:r>
    </w:p>
    <w:p w14:paraId="3E78C4BD" w14:textId="4285465A" w:rsidR="00CD2219" w:rsidRDefault="00CD2219" w:rsidP="00CD2219">
      <w:pPr>
        <w:pStyle w:val="Bezmezer"/>
      </w:pPr>
      <w:r>
        <w:t>Jméno:</w:t>
      </w:r>
    </w:p>
    <w:p w14:paraId="330E0CDE" w14:textId="1EAFF474" w:rsidR="00CD2219" w:rsidRDefault="00CD2219" w:rsidP="00CD2219">
      <w:pPr>
        <w:pStyle w:val="Bezmezer"/>
      </w:pPr>
      <w:r>
        <w:t xml:space="preserve">Funkce: </w:t>
      </w:r>
      <w:r w:rsidRPr="00DC6561">
        <w:rPr>
          <w:b/>
          <w:bCs/>
        </w:rPr>
        <w:t>bankovní poradce TOP SB</w:t>
      </w:r>
    </w:p>
    <w:p w14:paraId="7A8890E4" w14:textId="77777777" w:rsidR="00CD2219" w:rsidRDefault="00CD2219" w:rsidP="00CD2219">
      <w:pPr>
        <w:pStyle w:val="Bezmezer"/>
      </w:pPr>
    </w:p>
    <w:p w14:paraId="71C882E9" w14:textId="5562D799" w:rsidR="00CD2219" w:rsidRDefault="00CD2219" w:rsidP="00CD2219">
      <w:pPr>
        <w:pStyle w:val="Bezmezer"/>
      </w:pPr>
      <w:r>
        <w:t>V Domažlicích dne 1.8.2023</w:t>
      </w:r>
    </w:p>
    <w:p w14:paraId="3512D9DB" w14:textId="20157472" w:rsidR="00CD2219" w:rsidRPr="00DC6561" w:rsidRDefault="00CD2219" w:rsidP="00CD2219">
      <w:pPr>
        <w:pStyle w:val="Bezmezer"/>
        <w:rPr>
          <w:b/>
          <w:bCs/>
        </w:rPr>
      </w:pPr>
      <w:r w:rsidRPr="00DC6561">
        <w:rPr>
          <w:b/>
          <w:bCs/>
        </w:rPr>
        <w:t>DTS Domažlice, příspěvková organizace</w:t>
      </w:r>
    </w:p>
    <w:p w14:paraId="75494BB2" w14:textId="77777777" w:rsidR="00CD2219" w:rsidRDefault="00CD2219" w:rsidP="00CD2219">
      <w:pPr>
        <w:pStyle w:val="Bezmezer"/>
      </w:pPr>
    </w:p>
    <w:p w14:paraId="0055E014" w14:textId="77777777" w:rsidR="00CD2219" w:rsidRDefault="00CD2219" w:rsidP="00CD2219">
      <w:pPr>
        <w:pStyle w:val="Bezmezer"/>
      </w:pPr>
    </w:p>
    <w:p w14:paraId="0BE54DEB" w14:textId="7C67F603" w:rsidR="00CD2219" w:rsidRDefault="00CD2219" w:rsidP="00CD2219">
      <w:pPr>
        <w:pStyle w:val="Bezmezer"/>
      </w:pPr>
      <w:r>
        <w:t>__________________________</w:t>
      </w:r>
    </w:p>
    <w:p w14:paraId="66E63502" w14:textId="351D6BA5" w:rsidR="00CD2219" w:rsidRDefault="00CD2219" w:rsidP="00CD2219">
      <w:pPr>
        <w:pStyle w:val="Bezmezer"/>
      </w:pPr>
      <w:r>
        <w:t>Vlastnoruční podpis</w:t>
      </w:r>
    </w:p>
    <w:p w14:paraId="4CD7F309" w14:textId="016BAE30" w:rsidR="00CD2219" w:rsidRDefault="00CD2219" w:rsidP="00CD2219">
      <w:pPr>
        <w:pStyle w:val="Bezmezer"/>
      </w:pPr>
      <w:r>
        <w:t xml:space="preserve">Jméno: </w:t>
      </w:r>
    </w:p>
    <w:p w14:paraId="549990CD" w14:textId="0AC6692A" w:rsidR="00CD2219" w:rsidRDefault="00CD2219" w:rsidP="00CD2219">
      <w:pPr>
        <w:pStyle w:val="Bezmezer"/>
      </w:pPr>
      <w:r>
        <w:t xml:space="preserve">Funkce: </w:t>
      </w:r>
      <w:r w:rsidRPr="00DC6561">
        <w:rPr>
          <w:b/>
          <w:bCs/>
        </w:rPr>
        <w:t>ředitel</w:t>
      </w:r>
    </w:p>
    <w:p w14:paraId="7547A016" w14:textId="77777777" w:rsidR="00CD2219" w:rsidRDefault="00CD2219" w:rsidP="00CD2219">
      <w:pPr>
        <w:pStyle w:val="Bezmezer"/>
      </w:pPr>
    </w:p>
    <w:p w14:paraId="11AE3DCD" w14:textId="77777777" w:rsidR="00CD2219" w:rsidRDefault="00CD2219" w:rsidP="00CD2219">
      <w:pPr>
        <w:pStyle w:val="Bezmezer"/>
      </w:pPr>
    </w:p>
    <w:p w14:paraId="7342C4DC" w14:textId="77777777" w:rsidR="00CD2219" w:rsidRDefault="00CD2219" w:rsidP="00CD2219">
      <w:pPr>
        <w:pStyle w:val="Bezmezer"/>
      </w:pPr>
    </w:p>
    <w:p w14:paraId="032CEE59" w14:textId="63872ED2" w:rsidR="00CD2219" w:rsidRDefault="00CD2219" w:rsidP="00CD2219">
      <w:pPr>
        <w:pStyle w:val="Bezmezer"/>
      </w:pPr>
      <w:r>
        <w:t>Komerční banka, a. s., se sídlem:</w:t>
      </w:r>
    </w:p>
    <w:p w14:paraId="6DC06F2C" w14:textId="77777777" w:rsidR="00CD2219" w:rsidRDefault="00CD2219" w:rsidP="00CD2219">
      <w:pPr>
        <w:pStyle w:val="Bezmezer"/>
      </w:pPr>
      <w:r>
        <w:t>Praha 1, Na Příkopě 33 čp. 99, PSČ: 114 07, IČO: 45317054</w:t>
      </w:r>
    </w:p>
    <w:p w14:paraId="0A75D696" w14:textId="77777777" w:rsidR="00CD2219" w:rsidRDefault="00CD2219" w:rsidP="00CD2219">
      <w:pPr>
        <w:pStyle w:val="Bezmezer"/>
      </w:pPr>
      <w:r>
        <w:t>Zapsaná v obchodním rejstříku vedeném Městským soudem v Praze, oddíl B, vložka 1360</w:t>
      </w:r>
    </w:p>
    <w:p w14:paraId="7111014D" w14:textId="77777777" w:rsidR="005E7E26" w:rsidRPr="005E7E26" w:rsidRDefault="005E7E26" w:rsidP="00592E3F">
      <w:pPr>
        <w:jc w:val="both"/>
      </w:pPr>
    </w:p>
    <w:sectPr w:rsidR="005E7E26" w:rsidRPr="005E7E26" w:rsidSect="001A48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F5F"/>
    <w:multiLevelType w:val="hybridMultilevel"/>
    <w:tmpl w:val="9CFE6332"/>
    <w:lvl w:ilvl="0" w:tplc="DA64C0BC">
      <w:numFmt w:val="bullet"/>
      <w:lvlText w:val=""/>
      <w:lvlJc w:val="left"/>
      <w:pPr>
        <w:ind w:left="400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1" w15:restartNumberingAfterBreak="0">
    <w:nsid w:val="0CD63211"/>
    <w:multiLevelType w:val="hybridMultilevel"/>
    <w:tmpl w:val="378A297A"/>
    <w:lvl w:ilvl="0" w:tplc="2A5C8622"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14D14C4C"/>
    <w:multiLevelType w:val="hybridMultilevel"/>
    <w:tmpl w:val="68480598"/>
    <w:lvl w:ilvl="0" w:tplc="D97E7A6E"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1AF85C8B"/>
    <w:multiLevelType w:val="hybridMultilevel"/>
    <w:tmpl w:val="731A0FC2"/>
    <w:lvl w:ilvl="0" w:tplc="BE7AFFF2"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6065DDD"/>
    <w:multiLevelType w:val="hybridMultilevel"/>
    <w:tmpl w:val="54F80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37120"/>
    <w:multiLevelType w:val="hybridMultilevel"/>
    <w:tmpl w:val="3E386958"/>
    <w:lvl w:ilvl="0" w:tplc="5C4EB1C4"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 w15:restartNumberingAfterBreak="0">
    <w:nsid w:val="375B5C8D"/>
    <w:multiLevelType w:val="hybridMultilevel"/>
    <w:tmpl w:val="C1C67050"/>
    <w:lvl w:ilvl="0" w:tplc="BE7AFF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56809"/>
    <w:multiLevelType w:val="hybridMultilevel"/>
    <w:tmpl w:val="BECE9112"/>
    <w:lvl w:ilvl="0" w:tplc="BE7AFFF2">
      <w:numFmt w:val="bullet"/>
      <w:lvlText w:val=""/>
      <w:lvlJc w:val="left"/>
      <w:pPr>
        <w:ind w:left="744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8" w15:restartNumberingAfterBreak="0">
    <w:nsid w:val="4BCF0DE0"/>
    <w:multiLevelType w:val="hybridMultilevel"/>
    <w:tmpl w:val="230E22A8"/>
    <w:lvl w:ilvl="0" w:tplc="8EE6AB10">
      <w:numFmt w:val="bullet"/>
      <w:lvlText w:val=""/>
      <w:lvlJc w:val="left"/>
      <w:pPr>
        <w:ind w:left="43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A9434F8"/>
    <w:multiLevelType w:val="hybridMultilevel"/>
    <w:tmpl w:val="BAEA2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B1B33"/>
    <w:multiLevelType w:val="hybridMultilevel"/>
    <w:tmpl w:val="9E444534"/>
    <w:lvl w:ilvl="0" w:tplc="6D3E85EE"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 w15:restartNumberingAfterBreak="0">
    <w:nsid w:val="64DE76C6"/>
    <w:multiLevelType w:val="hybridMultilevel"/>
    <w:tmpl w:val="066E2858"/>
    <w:lvl w:ilvl="0" w:tplc="39667500"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2" w15:restartNumberingAfterBreak="0">
    <w:nsid w:val="7C8428EC"/>
    <w:multiLevelType w:val="hybridMultilevel"/>
    <w:tmpl w:val="367C9E9A"/>
    <w:lvl w:ilvl="0" w:tplc="6BB6C5EA"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067190342">
    <w:abstractNumId w:val="1"/>
  </w:num>
  <w:num w:numId="2" w16cid:durableId="1898861433">
    <w:abstractNumId w:val="11"/>
  </w:num>
  <w:num w:numId="3" w16cid:durableId="116610256">
    <w:abstractNumId w:val="2"/>
  </w:num>
  <w:num w:numId="4" w16cid:durableId="547958497">
    <w:abstractNumId w:val="5"/>
  </w:num>
  <w:num w:numId="5" w16cid:durableId="1279994079">
    <w:abstractNumId w:val="10"/>
  </w:num>
  <w:num w:numId="6" w16cid:durableId="758064589">
    <w:abstractNumId w:val="0"/>
  </w:num>
  <w:num w:numId="7" w16cid:durableId="939607579">
    <w:abstractNumId w:val="12"/>
  </w:num>
  <w:num w:numId="8" w16cid:durableId="1855727887">
    <w:abstractNumId w:val="3"/>
  </w:num>
  <w:num w:numId="9" w16cid:durableId="2024280756">
    <w:abstractNumId w:val="7"/>
  </w:num>
  <w:num w:numId="10" w16cid:durableId="624119507">
    <w:abstractNumId w:val="8"/>
  </w:num>
  <w:num w:numId="11" w16cid:durableId="1755131352">
    <w:abstractNumId w:val="6"/>
  </w:num>
  <w:num w:numId="12" w16cid:durableId="169027868">
    <w:abstractNumId w:val="9"/>
  </w:num>
  <w:num w:numId="13" w16cid:durableId="244925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DB"/>
    <w:rsid w:val="000F4336"/>
    <w:rsid w:val="001A480A"/>
    <w:rsid w:val="001B6473"/>
    <w:rsid w:val="001D08DB"/>
    <w:rsid w:val="0030412C"/>
    <w:rsid w:val="003641C6"/>
    <w:rsid w:val="003961C6"/>
    <w:rsid w:val="00592E3F"/>
    <w:rsid w:val="005E7E26"/>
    <w:rsid w:val="00725B2E"/>
    <w:rsid w:val="00984E60"/>
    <w:rsid w:val="009E1B59"/>
    <w:rsid w:val="00C57F6C"/>
    <w:rsid w:val="00CA36D9"/>
    <w:rsid w:val="00CD2219"/>
    <w:rsid w:val="00DC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F09C"/>
  <w15:chartTrackingRefBased/>
  <w15:docId w15:val="{005868AB-BF4A-44A7-A95C-FEB2B2EA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480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57F6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61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6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b.cz/pojistenivkla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698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Odvodyová</dc:creator>
  <cp:keywords/>
  <dc:description/>
  <cp:lastModifiedBy>Irena Odvodyová</cp:lastModifiedBy>
  <cp:revision>8</cp:revision>
  <dcterms:created xsi:type="dcterms:W3CDTF">2023-08-08T06:26:00Z</dcterms:created>
  <dcterms:modified xsi:type="dcterms:W3CDTF">2023-08-31T08:31:00Z</dcterms:modified>
</cp:coreProperties>
</file>