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398" w:type="dxa"/>
        <w:tblLook w:val="04A0" w:firstRow="1" w:lastRow="0" w:firstColumn="1" w:lastColumn="0" w:noHBand="0" w:noVBand="1"/>
      </w:tblPr>
      <w:tblGrid>
        <w:gridCol w:w="2672"/>
      </w:tblGrid>
      <w:tr w:rsidR="00E22553" w:rsidTr="00E22553">
        <w:trPr>
          <w:trHeight w:val="702"/>
        </w:trPr>
        <w:tc>
          <w:tcPr>
            <w:tcW w:w="2890" w:type="dxa"/>
            <w:shd w:val="clear" w:color="auto" w:fill="auto"/>
          </w:tcPr>
          <w:p w:rsidR="00E22553" w:rsidRDefault="00E22553" w:rsidP="001C7B4A">
            <w:r w:rsidRPr="003C6A48">
              <w:rPr>
                <w:rFonts w:ascii="AlfaPID" w:hAnsi="AlfaPID"/>
                <w:sz w:val="64"/>
              </w:rPr>
              <w:t>*</w:t>
            </w:r>
            <w:bookmarkStart w:id="0" w:name="ssl_pid"/>
            <w:r w:rsidRPr="003C6A48">
              <w:rPr>
                <w:rFonts w:ascii="AlfaPID" w:hAnsi="AlfaPID"/>
                <w:sz w:val="64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MKCRX00KBHLN"/>
                  </w:textInput>
                </w:ffData>
              </w:fldChar>
            </w:r>
            <w:r w:rsidRPr="003C6A48">
              <w:rPr>
                <w:rFonts w:ascii="AlfaPID" w:hAnsi="AlfaPID"/>
                <w:sz w:val="64"/>
              </w:rPr>
              <w:instrText xml:space="preserve"> FORMTEXT </w:instrText>
            </w:r>
            <w:r w:rsidRPr="003C6A48">
              <w:rPr>
                <w:rFonts w:ascii="AlfaPID" w:hAnsi="AlfaPID"/>
                <w:sz w:val="64"/>
              </w:rPr>
            </w:r>
            <w:r w:rsidRPr="003C6A48">
              <w:rPr>
                <w:rFonts w:ascii="AlfaPID" w:hAnsi="AlfaPID"/>
                <w:sz w:val="64"/>
              </w:rPr>
              <w:fldChar w:fldCharType="separate"/>
            </w:r>
            <w:r w:rsidRPr="003C6A48">
              <w:rPr>
                <w:rFonts w:ascii="AlfaPID" w:hAnsi="AlfaPID"/>
                <w:noProof/>
                <w:sz w:val="64"/>
              </w:rPr>
              <w:t>MKCRX00KBHLN</w:t>
            </w:r>
            <w:r w:rsidRPr="003C6A48">
              <w:rPr>
                <w:rFonts w:ascii="AlfaPID" w:hAnsi="AlfaPID"/>
                <w:sz w:val="64"/>
              </w:rPr>
              <w:fldChar w:fldCharType="end"/>
            </w:r>
            <w:bookmarkEnd w:id="0"/>
            <w:r>
              <w:tab/>
            </w:r>
          </w:p>
        </w:tc>
      </w:tr>
    </w:tbl>
    <w:p w:rsidR="00E22553" w:rsidRDefault="00841245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j.: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begin">
          <w:ffData>
            <w:name w:val="ssl_cj"/>
            <w:enabled/>
            <w:calcOnExit w:val="0"/>
            <w:textInput>
              <w:default w:val="MK 42263/2023 OVV"/>
            </w:textInput>
          </w:ffData>
        </w:fldChar>
      </w:r>
      <w:bookmarkStart w:id="1" w:name="ssl_cj"/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FORMTEXT </w:instrText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separate"/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t>MK 42263/2023 OVV</w:t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bookmarkEnd w:id="1"/>
    </w:p>
    <w:p w:rsidR="005C3C70" w:rsidRDefault="005C3C70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C3C70" w:rsidRPr="004D74CF" w:rsidRDefault="004D74CF" w:rsidP="004D74CF">
      <w:pPr>
        <w:spacing w:after="0" w:line="240" w:lineRule="auto"/>
        <w:ind w:left="2124" w:firstLine="708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D74CF">
        <w:rPr>
          <w:rFonts w:ascii="Times New Roman" w:eastAsia="Times New Roman" w:hAnsi="Times New Roman"/>
          <w:b/>
          <w:sz w:val="24"/>
          <w:szCs w:val="24"/>
          <w:lang w:eastAsia="cs-CZ"/>
        </w:rPr>
        <w:t>Dodatek č. 1 ke smlouvě 4/2023 OVV</w:t>
      </w:r>
    </w:p>
    <w:p w:rsidR="005C3C70" w:rsidRDefault="005C3C70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D74CF" w:rsidRPr="00721132" w:rsidRDefault="004D74CF" w:rsidP="004D74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21132">
        <w:rPr>
          <w:rFonts w:ascii="Times New Roman" w:eastAsia="Times New Roman" w:hAnsi="Times New Roman"/>
          <w:b/>
          <w:sz w:val="24"/>
          <w:szCs w:val="24"/>
          <w:lang w:eastAsia="cs-CZ"/>
        </w:rPr>
        <w:t>o poskytnutí účelové podpory výzkumu a vývoje na řešení programového projektu uzavřený podle § 9 zákona č. 130/2002 Sb., o podpoře výzkumu, experimentálního vývoje a inovací z veřejných prostředků a o změně některých souvisejících zákonů (zákon o podpoře výzkumu a vývoje</w:t>
      </w:r>
      <w:r w:rsidRPr="00721132">
        <w:rPr>
          <w:rFonts w:ascii="Times New Roman" w:eastAsia="Times New Roman" w:hAnsi="Times New Roman"/>
          <w:b/>
          <w:sz w:val="24"/>
          <w:szCs w:val="20"/>
          <w:lang w:eastAsia="cs-CZ"/>
        </w:rPr>
        <w:t>, experimentálního vývoje a inovací</w:t>
      </w:r>
      <w:r w:rsidRPr="00721132"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</w:p>
    <w:p w:rsidR="005C3C70" w:rsidRDefault="005C3C70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C3C70" w:rsidRPr="00280AF9" w:rsidRDefault="005C3C70" w:rsidP="005C3C70">
      <w:pPr>
        <w:widowControl w:val="0"/>
        <w:spacing w:after="60"/>
        <w:rPr>
          <w:rFonts w:ascii="Times New Roman" w:hAnsi="Times New Roman"/>
          <w:b/>
          <w:sz w:val="24"/>
          <w:szCs w:val="24"/>
          <w:lang w:eastAsia="cs-CZ"/>
        </w:rPr>
      </w:pPr>
      <w:r w:rsidRPr="00280AF9">
        <w:rPr>
          <w:rFonts w:ascii="Times New Roman" w:hAnsi="Times New Roman"/>
          <w:b/>
          <w:sz w:val="24"/>
          <w:szCs w:val="24"/>
          <w:lang w:eastAsia="cs-CZ"/>
        </w:rPr>
        <w:t>Smluvní strany:</w:t>
      </w:r>
    </w:p>
    <w:p w:rsidR="005C3C70" w:rsidRPr="00280AF9" w:rsidRDefault="005C3C70" w:rsidP="005C3C70">
      <w:pPr>
        <w:widowControl w:val="0"/>
        <w:spacing w:after="60"/>
        <w:ind w:left="360" w:hanging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80AF9">
        <w:rPr>
          <w:rFonts w:ascii="Times New Roman" w:hAnsi="Times New Roman"/>
          <w:sz w:val="24"/>
          <w:szCs w:val="24"/>
          <w:lang w:eastAsia="cs-CZ"/>
        </w:rPr>
        <w:t>1.</w:t>
      </w:r>
      <w:r w:rsidRPr="00280AF9">
        <w:rPr>
          <w:rFonts w:ascii="Times New Roman" w:hAnsi="Times New Roman"/>
          <w:sz w:val="24"/>
          <w:szCs w:val="24"/>
          <w:lang w:eastAsia="cs-CZ"/>
        </w:rPr>
        <w:tab/>
        <w:t xml:space="preserve">Poskytovatel: </w:t>
      </w:r>
      <w:r w:rsidRPr="00280AF9">
        <w:rPr>
          <w:rFonts w:ascii="Times New Roman" w:hAnsi="Times New Roman"/>
          <w:b/>
          <w:sz w:val="24"/>
          <w:szCs w:val="24"/>
          <w:lang w:eastAsia="cs-CZ"/>
        </w:rPr>
        <w:t>Česká republika – Ministerstvo kultury</w:t>
      </w:r>
      <w:r w:rsidRPr="00280AF9">
        <w:rPr>
          <w:rFonts w:ascii="Times New Roman" w:hAnsi="Times New Roman"/>
          <w:sz w:val="24"/>
          <w:szCs w:val="24"/>
          <w:lang w:eastAsia="cs-CZ"/>
        </w:rPr>
        <w:t xml:space="preserve"> – organizační složka státu</w:t>
      </w:r>
    </w:p>
    <w:p w:rsidR="005C3C70" w:rsidRPr="00280AF9" w:rsidRDefault="005C3C70" w:rsidP="005C3C70">
      <w:pPr>
        <w:widowControl w:val="0"/>
        <w:spacing w:after="60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80AF9">
        <w:rPr>
          <w:rFonts w:ascii="Times New Roman" w:hAnsi="Times New Roman"/>
          <w:sz w:val="24"/>
          <w:szCs w:val="24"/>
          <w:lang w:eastAsia="cs-CZ"/>
        </w:rPr>
        <w:t>Adresa: Maltézské nám. 1, 118 11 Praha 1</w:t>
      </w:r>
    </w:p>
    <w:p w:rsidR="005C3C70" w:rsidRPr="00280AF9" w:rsidRDefault="005C3C70" w:rsidP="005C3C70">
      <w:pPr>
        <w:widowControl w:val="0"/>
        <w:spacing w:after="60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80AF9">
        <w:rPr>
          <w:rFonts w:ascii="Times New Roman" w:hAnsi="Times New Roman"/>
          <w:sz w:val="24"/>
          <w:szCs w:val="24"/>
          <w:lang w:eastAsia="cs-CZ"/>
        </w:rPr>
        <w:t>IČO: 00023671</w:t>
      </w:r>
    </w:p>
    <w:p w:rsidR="005C3C70" w:rsidRPr="00280AF9" w:rsidRDefault="005C3C70" w:rsidP="005C3C70">
      <w:pPr>
        <w:widowControl w:val="0"/>
        <w:spacing w:after="60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80AF9">
        <w:rPr>
          <w:rFonts w:ascii="Times New Roman" w:hAnsi="Times New Roman"/>
          <w:sz w:val="24"/>
          <w:szCs w:val="24"/>
          <w:lang w:eastAsia="cs-CZ"/>
        </w:rPr>
        <w:t xml:space="preserve">Zastoupen: </w:t>
      </w:r>
      <w:r w:rsidRPr="00280AF9">
        <w:rPr>
          <w:rFonts w:ascii="Times New Roman" w:hAnsi="Times New Roman"/>
          <w:b/>
          <w:sz w:val="24"/>
          <w:szCs w:val="24"/>
          <w:lang w:eastAsia="cs-CZ"/>
        </w:rPr>
        <w:t>Mgr. Martinem Baxou,</w:t>
      </w:r>
      <w:r w:rsidRPr="00280AF9">
        <w:rPr>
          <w:rFonts w:ascii="Times New Roman" w:hAnsi="Times New Roman"/>
          <w:sz w:val="24"/>
          <w:szCs w:val="24"/>
          <w:lang w:eastAsia="cs-CZ"/>
        </w:rPr>
        <w:t xml:space="preserve"> ministrem kultury</w:t>
      </w:r>
    </w:p>
    <w:p w:rsidR="005C3C70" w:rsidRPr="00280AF9" w:rsidRDefault="005C3C70" w:rsidP="005C3C70">
      <w:pPr>
        <w:widowControl w:val="0"/>
        <w:spacing w:after="60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80AF9">
        <w:rPr>
          <w:rFonts w:ascii="Times New Roman" w:hAnsi="Times New Roman"/>
          <w:sz w:val="24"/>
          <w:szCs w:val="24"/>
          <w:lang w:eastAsia="cs-CZ"/>
        </w:rPr>
        <w:t>(dále jen „poskytovatel“)</w:t>
      </w:r>
    </w:p>
    <w:p w:rsidR="005C3C70" w:rsidRPr="00280AF9" w:rsidRDefault="005C3C70" w:rsidP="005C3C70">
      <w:pPr>
        <w:widowControl w:val="0"/>
        <w:spacing w:after="6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C3C70" w:rsidRPr="00280AF9" w:rsidRDefault="005C3C70" w:rsidP="005C3C70">
      <w:pPr>
        <w:widowControl w:val="0"/>
        <w:spacing w:after="60"/>
        <w:ind w:left="360" w:hanging="360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280AF9">
        <w:rPr>
          <w:rFonts w:ascii="Times New Roman" w:hAnsi="Times New Roman"/>
          <w:sz w:val="24"/>
          <w:szCs w:val="24"/>
        </w:rPr>
        <w:t>2.</w:t>
      </w:r>
      <w:r w:rsidRPr="00280AF9">
        <w:rPr>
          <w:rFonts w:ascii="Times New Roman" w:hAnsi="Times New Roman"/>
          <w:sz w:val="24"/>
          <w:szCs w:val="24"/>
        </w:rPr>
        <w:tab/>
        <w:t xml:space="preserve">Příjemce: </w:t>
      </w:r>
      <w:r w:rsidRPr="00280AF9">
        <w:rPr>
          <w:rFonts w:ascii="Times New Roman" w:hAnsi="Times New Roman"/>
          <w:b/>
          <w:sz w:val="24"/>
        </w:rPr>
        <w:t>České vysoké učení technické v Praze</w:t>
      </w:r>
    </w:p>
    <w:p w:rsidR="005C3C70" w:rsidRPr="00280AF9" w:rsidRDefault="005C3C70" w:rsidP="005C3C70">
      <w:pPr>
        <w:tabs>
          <w:tab w:val="left" w:pos="1800"/>
        </w:tabs>
        <w:spacing w:after="60"/>
        <w:ind w:left="2160" w:hanging="180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80AF9">
        <w:rPr>
          <w:rFonts w:ascii="Times New Roman" w:eastAsia="Times New Roman" w:hAnsi="Times New Roman"/>
          <w:sz w:val="24"/>
          <w:szCs w:val="24"/>
          <w:lang w:eastAsia="cs-CZ"/>
        </w:rPr>
        <w:t>Právní forma: veřejná vysoká škola</w:t>
      </w:r>
    </w:p>
    <w:p w:rsidR="005C3C70" w:rsidRPr="00280AF9" w:rsidRDefault="005C3C70" w:rsidP="005C3C70">
      <w:pPr>
        <w:tabs>
          <w:tab w:val="left" w:pos="1800"/>
        </w:tabs>
        <w:spacing w:after="60"/>
        <w:ind w:left="2160" w:hanging="1800"/>
        <w:jc w:val="both"/>
        <w:rPr>
          <w:rFonts w:ascii="Verdana" w:eastAsia="Times New Roman" w:hAnsi="Verdana"/>
          <w:sz w:val="20"/>
          <w:szCs w:val="24"/>
          <w:lang w:eastAsia="cs-CZ"/>
        </w:rPr>
      </w:pPr>
      <w:r w:rsidRPr="00280AF9">
        <w:rPr>
          <w:rFonts w:ascii="Times New Roman" w:eastAsia="Times New Roman" w:hAnsi="Times New Roman"/>
          <w:sz w:val="24"/>
          <w:szCs w:val="24"/>
          <w:lang w:eastAsia="cs-CZ"/>
        </w:rPr>
        <w:t xml:space="preserve">Adresa: </w:t>
      </w:r>
      <w:r w:rsidRPr="00280AF9">
        <w:rPr>
          <w:rFonts w:ascii="Times New Roman" w:eastAsia="Times New Roman" w:hAnsi="Times New Roman"/>
          <w:sz w:val="24"/>
          <w:szCs w:val="20"/>
          <w:lang w:eastAsia="cs-CZ"/>
        </w:rPr>
        <w:t>Jugoslávských partyzánů 1580/3, 16000 Praha 6 – Dejvice</w:t>
      </w:r>
    </w:p>
    <w:p w:rsidR="005C3C70" w:rsidRPr="00280AF9" w:rsidRDefault="005C3C70" w:rsidP="005C3C70">
      <w:pPr>
        <w:spacing w:after="60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80AF9">
        <w:rPr>
          <w:rFonts w:ascii="Times New Roman" w:eastAsia="Times New Roman" w:hAnsi="Times New Roman"/>
          <w:sz w:val="24"/>
          <w:szCs w:val="24"/>
          <w:lang w:eastAsia="cs-CZ"/>
        </w:rPr>
        <w:t xml:space="preserve">IČO: </w:t>
      </w:r>
      <w:r w:rsidRPr="00280AF9">
        <w:rPr>
          <w:rFonts w:ascii="Times New Roman" w:eastAsia="Times New Roman" w:hAnsi="Times New Roman"/>
          <w:noProof/>
          <w:sz w:val="24"/>
          <w:szCs w:val="20"/>
          <w:lang w:eastAsia="cs-CZ"/>
        </w:rPr>
        <w:t>68407700</w:t>
      </w:r>
    </w:p>
    <w:p w:rsidR="005C3C70" w:rsidRPr="00280AF9" w:rsidRDefault="005C3C70" w:rsidP="005C3C70">
      <w:pPr>
        <w:spacing w:after="60"/>
        <w:ind w:left="1800" w:hanging="1440"/>
        <w:jc w:val="both"/>
        <w:rPr>
          <w:rFonts w:ascii="Times New Roman" w:hAnsi="Times New Roman"/>
          <w:b/>
          <w:sz w:val="24"/>
        </w:rPr>
      </w:pPr>
      <w:r w:rsidRPr="00280AF9">
        <w:rPr>
          <w:rFonts w:ascii="Times New Roman" w:hAnsi="Times New Roman"/>
          <w:sz w:val="24"/>
          <w:szCs w:val="24"/>
        </w:rPr>
        <w:t xml:space="preserve">Zastoupen: </w:t>
      </w:r>
      <w:r w:rsidRPr="00280AF9">
        <w:rPr>
          <w:rFonts w:ascii="Times New Roman" w:hAnsi="Times New Roman"/>
          <w:b/>
          <w:sz w:val="24"/>
        </w:rPr>
        <w:t xml:space="preserve">doc. RNDr. Vojtěchem Petráčkem, CSc., </w:t>
      </w:r>
      <w:r w:rsidRPr="00280AF9">
        <w:rPr>
          <w:rFonts w:ascii="Times New Roman" w:hAnsi="Times New Roman"/>
          <w:sz w:val="24"/>
        </w:rPr>
        <w:t>rektorem</w:t>
      </w:r>
    </w:p>
    <w:p w:rsidR="005C3C70" w:rsidRPr="00280AF9" w:rsidRDefault="005C3C70" w:rsidP="005C3C70">
      <w:pPr>
        <w:spacing w:after="60"/>
        <w:ind w:firstLine="360"/>
        <w:jc w:val="both"/>
        <w:rPr>
          <w:rFonts w:ascii="Times New Roman" w:hAnsi="Times New Roman"/>
          <w:sz w:val="24"/>
          <w:szCs w:val="24"/>
        </w:rPr>
      </w:pPr>
      <w:r w:rsidRPr="00280AF9">
        <w:rPr>
          <w:rFonts w:ascii="Times New Roman" w:hAnsi="Times New Roman"/>
          <w:sz w:val="24"/>
          <w:szCs w:val="24"/>
        </w:rPr>
        <w:t>(dále jen „příjemce“)</w:t>
      </w:r>
    </w:p>
    <w:p w:rsidR="004D74CF" w:rsidRPr="00721132" w:rsidRDefault="004D74CF" w:rsidP="004D74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4D74CF" w:rsidRPr="00721132" w:rsidRDefault="004D74CF" w:rsidP="004D74CF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21132">
        <w:rPr>
          <w:rFonts w:ascii="Times New Roman" w:eastAsia="Times New Roman" w:hAnsi="Times New Roman"/>
          <w:b/>
          <w:sz w:val="24"/>
          <w:szCs w:val="24"/>
          <w:lang w:eastAsia="cs-CZ"/>
        </w:rPr>
        <w:t>Čl. I.</w:t>
      </w:r>
    </w:p>
    <w:p w:rsidR="004D74CF" w:rsidRDefault="004D74CF" w:rsidP="004D74C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D74CF" w:rsidRDefault="004D74CF" w:rsidP="004D74C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21132">
        <w:rPr>
          <w:rFonts w:ascii="Times New Roman" w:eastAsiaTheme="minorHAnsi" w:hAnsi="Times New Roman"/>
          <w:sz w:val="24"/>
          <w:szCs w:val="24"/>
        </w:rPr>
        <w:t xml:space="preserve">Smluvní strany uzavřely smlouvu č. </w:t>
      </w:r>
      <w:r>
        <w:rPr>
          <w:rFonts w:ascii="Times New Roman" w:eastAsiaTheme="minorHAnsi" w:hAnsi="Times New Roman"/>
          <w:sz w:val="24"/>
          <w:szCs w:val="24"/>
        </w:rPr>
        <w:t>4</w:t>
      </w:r>
      <w:r w:rsidRPr="00721132">
        <w:rPr>
          <w:rFonts w:ascii="Times New Roman" w:eastAsiaTheme="minorHAnsi" w:hAnsi="Times New Roman"/>
          <w:sz w:val="24"/>
          <w:szCs w:val="24"/>
        </w:rPr>
        <w:t>/</w:t>
      </w:r>
      <w:r>
        <w:rPr>
          <w:rFonts w:ascii="Times New Roman" w:eastAsiaTheme="minorHAnsi" w:hAnsi="Times New Roman"/>
          <w:sz w:val="24"/>
          <w:szCs w:val="24"/>
        </w:rPr>
        <w:t>2023</w:t>
      </w:r>
      <w:r w:rsidRPr="00721132">
        <w:rPr>
          <w:rFonts w:ascii="Times New Roman" w:eastAsiaTheme="minorHAnsi" w:hAnsi="Times New Roman"/>
          <w:sz w:val="24"/>
          <w:szCs w:val="24"/>
        </w:rPr>
        <w:t xml:space="preserve">/OVV (dále jen </w:t>
      </w:r>
      <w:r>
        <w:rPr>
          <w:rFonts w:ascii="Times New Roman" w:eastAsiaTheme="minorHAnsi" w:hAnsi="Times New Roman"/>
          <w:sz w:val="24"/>
          <w:szCs w:val="24"/>
        </w:rPr>
        <w:t>„</w:t>
      </w:r>
      <w:r w:rsidRPr="00721132">
        <w:rPr>
          <w:rFonts w:ascii="Times New Roman" w:eastAsiaTheme="minorHAnsi" w:hAnsi="Times New Roman"/>
          <w:sz w:val="24"/>
          <w:szCs w:val="24"/>
        </w:rPr>
        <w:t>smlouva</w:t>
      </w:r>
      <w:r>
        <w:rPr>
          <w:rFonts w:ascii="Times New Roman" w:eastAsiaTheme="minorHAnsi" w:hAnsi="Times New Roman"/>
          <w:sz w:val="24"/>
          <w:szCs w:val="24"/>
        </w:rPr>
        <w:t>“</w:t>
      </w:r>
      <w:r w:rsidRPr="00721132">
        <w:rPr>
          <w:rFonts w:ascii="Times New Roman" w:eastAsiaTheme="minorHAnsi" w:hAnsi="Times New Roman"/>
          <w:sz w:val="24"/>
          <w:szCs w:val="24"/>
        </w:rPr>
        <w:t>), jejímž předmětem je poskytnutí účelové podpory z Programu aplikovaného výzkumu a vývoje národní a kulturní identity (NAKI I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Pr="00721132">
        <w:rPr>
          <w:rFonts w:ascii="Times New Roman" w:eastAsiaTheme="minorHAnsi" w:hAnsi="Times New Roman"/>
          <w:sz w:val="24"/>
          <w:szCs w:val="24"/>
        </w:rPr>
        <w:t>I)</w:t>
      </w:r>
      <w:r w:rsidRPr="00721132">
        <w:rPr>
          <w:rFonts w:ascii="Times New Roman" w:eastAsiaTheme="minorHAnsi" w:hAnsi="Times New Roman"/>
          <w:bCs/>
          <w:iCs/>
          <w:sz w:val="24"/>
          <w:szCs w:val="24"/>
        </w:rPr>
        <w:t xml:space="preserve"> – kód programu D</w:t>
      </w:r>
      <w:r>
        <w:rPr>
          <w:rFonts w:ascii="Times New Roman" w:eastAsiaTheme="minorHAnsi" w:hAnsi="Times New Roman"/>
          <w:bCs/>
          <w:iCs/>
          <w:sz w:val="24"/>
          <w:szCs w:val="24"/>
        </w:rPr>
        <w:t>H</w:t>
      </w:r>
      <w:r w:rsidRPr="00721132">
        <w:rPr>
          <w:rFonts w:ascii="Times New Roman" w:eastAsiaTheme="minorHAnsi" w:hAnsi="Times New Roman"/>
          <w:bCs/>
          <w:iCs/>
          <w:sz w:val="24"/>
          <w:szCs w:val="24"/>
        </w:rPr>
        <w:t xml:space="preserve"> – </w:t>
      </w:r>
      <w:r w:rsidRPr="00721132">
        <w:rPr>
          <w:rFonts w:ascii="Times New Roman" w:eastAsiaTheme="minorHAnsi" w:hAnsi="Times New Roman"/>
          <w:sz w:val="24"/>
          <w:szCs w:val="24"/>
        </w:rPr>
        <w:t>formou dotace z výdajů státního rozpočtu na výzkum, experimentální vývoj a inovace dle zákona č. 130/2002 Sb., o podpoře výzkumu, experimentálního vývoje a inovací z veřejných prostředků (</w:t>
      </w:r>
      <w:r w:rsidRPr="004D74CF">
        <w:rPr>
          <w:rFonts w:ascii="Times New Roman" w:eastAsiaTheme="minorHAnsi" w:hAnsi="Times New Roman"/>
          <w:sz w:val="24"/>
          <w:szCs w:val="24"/>
        </w:rPr>
        <w:t xml:space="preserve">zákon o podpoře výzkumu a vývoje) (dále jen „podpora“) příjemci na řešení projektu </w:t>
      </w:r>
      <w:r w:rsidRPr="004D74CF">
        <w:rPr>
          <w:rFonts w:ascii="Times New Roman" w:eastAsiaTheme="minorHAnsi" w:hAnsi="Times New Roman"/>
          <w:b/>
          <w:sz w:val="24"/>
          <w:szCs w:val="24"/>
        </w:rPr>
        <w:t>„</w:t>
      </w:r>
      <w:proofErr w:type="spellStart"/>
      <w:r w:rsidRPr="004D74CF">
        <w:rPr>
          <w:rFonts w:ascii="Times New Roman" w:eastAsiaTheme="minorHAnsi" w:hAnsi="Times New Roman"/>
          <w:b/>
          <w:sz w:val="24"/>
          <w:szCs w:val="24"/>
        </w:rPr>
        <w:t>Stavoprojekt</w:t>
      </w:r>
      <w:proofErr w:type="spellEnd"/>
      <w:r w:rsidRPr="004D74CF">
        <w:rPr>
          <w:rFonts w:ascii="Times New Roman" w:eastAsiaTheme="minorHAnsi" w:hAnsi="Times New Roman"/>
          <w:b/>
          <w:sz w:val="24"/>
          <w:szCs w:val="24"/>
        </w:rPr>
        <w:t xml:space="preserve"> 1948-1953.</w:t>
      </w:r>
      <w:r w:rsidR="001303A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74CF">
        <w:rPr>
          <w:rFonts w:ascii="Times New Roman" w:eastAsiaTheme="minorHAnsi" w:hAnsi="Times New Roman"/>
          <w:b/>
          <w:sz w:val="24"/>
          <w:szCs w:val="24"/>
        </w:rPr>
        <w:t xml:space="preserve">Kolektivizace projekční činnosti a její otisk v paměti české krajiny a měst“ </w:t>
      </w:r>
      <w:r w:rsidRPr="004D74CF">
        <w:rPr>
          <w:rFonts w:ascii="Times New Roman" w:eastAsiaTheme="minorHAnsi" w:hAnsi="Times New Roman"/>
          <w:sz w:val="24"/>
          <w:szCs w:val="24"/>
        </w:rPr>
        <w:t xml:space="preserve">identifikační kód projektu: </w:t>
      </w:r>
      <w:r w:rsidRPr="004D74CF">
        <w:rPr>
          <w:rFonts w:ascii="Times New Roman" w:eastAsiaTheme="minorHAnsi" w:hAnsi="Times New Roman"/>
          <w:b/>
          <w:bCs/>
          <w:sz w:val="24"/>
          <w:szCs w:val="24"/>
        </w:rPr>
        <w:t>DH23P03OVV0</w:t>
      </w:r>
      <w:r>
        <w:rPr>
          <w:rFonts w:ascii="Times New Roman" w:eastAsiaTheme="minorHAnsi" w:hAnsi="Times New Roman"/>
          <w:b/>
          <w:bCs/>
          <w:sz w:val="24"/>
          <w:szCs w:val="24"/>
        </w:rPr>
        <w:t>04</w:t>
      </w:r>
      <w:r w:rsidRPr="004D74CF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4D74CF">
        <w:rPr>
          <w:rFonts w:ascii="Times New Roman" w:eastAsiaTheme="minorHAnsi" w:hAnsi="Times New Roman"/>
          <w:sz w:val="24"/>
          <w:szCs w:val="24"/>
        </w:rPr>
        <w:t>(dále jen „projekt“).</w:t>
      </w:r>
    </w:p>
    <w:p w:rsidR="005C3C70" w:rsidRPr="00280AF9" w:rsidRDefault="005C3C70" w:rsidP="005C3C70">
      <w:pPr>
        <w:spacing w:after="60"/>
        <w:ind w:left="1620" w:firstLine="180"/>
        <w:jc w:val="both"/>
        <w:rPr>
          <w:rFonts w:ascii="Times New Roman" w:hAnsi="Times New Roman"/>
          <w:sz w:val="24"/>
          <w:szCs w:val="24"/>
        </w:rPr>
      </w:pPr>
    </w:p>
    <w:p w:rsidR="005C3C70" w:rsidRPr="004D74CF" w:rsidRDefault="004D74CF" w:rsidP="004D74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D74CF">
        <w:rPr>
          <w:rFonts w:ascii="Times New Roman" w:eastAsia="Times New Roman" w:hAnsi="Times New Roman"/>
          <w:b/>
          <w:sz w:val="24"/>
          <w:szCs w:val="24"/>
          <w:lang w:eastAsia="cs-CZ"/>
        </w:rPr>
        <w:t>Čl. II.</w:t>
      </w:r>
    </w:p>
    <w:p w:rsidR="005C3C70" w:rsidRDefault="005C3C70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D74CF" w:rsidRDefault="004D74CF" w:rsidP="004D74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46931">
        <w:rPr>
          <w:rFonts w:ascii="Times New Roman" w:eastAsia="Times New Roman" w:hAnsi="Times New Roman"/>
          <w:sz w:val="24"/>
          <w:szCs w:val="24"/>
          <w:lang w:eastAsia="cs-CZ"/>
        </w:rPr>
        <w:t>Smluvní strany se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C46931">
        <w:rPr>
          <w:rFonts w:ascii="Times New Roman" w:eastAsia="Times New Roman" w:hAnsi="Times New Roman"/>
          <w:sz w:val="24"/>
          <w:szCs w:val="24"/>
          <w:lang w:eastAsia="cs-CZ"/>
        </w:rPr>
        <w:t xml:space="preserve">dohodly na změně smlouvy, </w:t>
      </w:r>
      <w:r w:rsidRPr="00C46931">
        <w:rPr>
          <w:rFonts w:ascii="Times New Roman" w:eastAsiaTheme="minorHAnsi" w:hAnsi="Times New Roman"/>
          <w:sz w:val="24"/>
          <w:szCs w:val="24"/>
          <w:u w:val="single"/>
          <w:lang w:eastAsia="cs-CZ"/>
        </w:rPr>
        <w:t>Příloha č. 1</w:t>
      </w:r>
      <w:r w:rsidRPr="00C46931">
        <w:rPr>
          <w:rFonts w:ascii="Times New Roman" w:eastAsiaTheme="minorHAnsi" w:hAnsi="Times New Roman"/>
          <w:sz w:val="24"/>
          <w:szCs w:val="24"/>
          <w:lang w:eastAsia="cs-CZ"/>
        </w:rPr>
        <w:t xml:space="preserve"> – </w:t>
      </w:r>
      <w:r w:rsidRPr="007B6554">
        <w:rPr>
          <w:rFonts w:ascii="Times New Roman" w:hAnsi="Times New Roman"/>
          <w:sz w:val="24"/>
          <w:szCs w:val="24"/>
          <w:lang w:eastAsia="cs-CZ"/>
        </w:rPr>
        <w:t>Návrh projektu programu NAKI III (Projekt)</w:t>
      </w:r>
      <w:r>
        <w:rPr>
          <w:rFonts w:ascii="Times New Roman" w:hAnsi="Times New Roman"/>
          <w:sz w:val="24"/>
          <w:szCs w:val="24"/>
          <w:lang w:eastAsia="cs-CZ"/>
        </w:rPr>
        <w:t xml:space="preserve"> (dále jen „návrh projektu“)</w:t>
      </w:r>
      <w:r w:rsidR="002908F8">
        <w:rPr>
          <w:rFonts w:ascii="Times New Roman" w:hAnsi="Times New Roman"/>
          <w:sz w:val="24"/>
          <w:szCs w:val="24"/>
          <w:lang w:eastAsia="cs-CZ"/>
        </w:rPr>
        <w:t>.</w:t>
      </w:r>
    </w:p>
    <w:p w:rsidR="00372738" w:rsidRDefault="00372738" w:rsidP="004D74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372738" w:rsidRPr="00372738" w:rsidRDefault="00372738" w:rsidP="004D74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372738" w:rsidRPr="00372738" w:rsidRDefault="00372738" w:rsidP="00372738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372738">
        <w:rPr>
          <w:rFonts w:ascii="Times New Roman" w:hAnsi="Times New Roman"/>
          <w:sz w:val="24"/>
          <w:szCs w:val="24"/>
        </w:rPr>
        <w:t>Návrh Projektu, kapitola B. III. Popis projektu, části 5.1.1. a 6.</w:t>
      </w:r>
    </w:p>
    <w:p w:rsidR="00372738" w:rsidRPr="00372738" w:rsidRDefault="00372738" w:rsidP="00372738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372738">
        <w:rPr>
          <w:rFonts w:ascii="Times New Roman" w:hAnsi="Times New Roman"/>
          <w:b/>
          <w:sz w:val="24"/>
          <w:szCs w:val="24"/>
        </w:rPr>
        <w:lastRenderedPageBreak/>
        <w:t xml:space="preserve">Původní znění </w:t>
      </w:r>
    </w:p>
    <w:p w:rsidR="00372738" w:rsidRPr="00372738" w:rsidRDefault="00372738" w:rsidP="00372738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372738">
        <w:rPr>
          <w:rFonts w:ascii="Times New Roman" w:hAnsi="Times New Roman"/>
          <w:b/>
          <w:bCs/>
          <w:iCs/>
          <w:sz w:val="24"/>
          <w:szCs w:val="24"/>
        </w:rPr>
        <w:t>5.1.1.</w:t>
      </w:r>
      <w:r w:rsidRPr="00372738">
        <w:rPr>
          <w:rFonts w:ascii="Times New Roman" w:hAnsi="Times New Roman"/>
          <w:b/>
          <w:bCs/>
          <w:iCs/>
          <w:sz w:val="24"/>
          <w:szCs w:val="24"/>
        </w:rPr>
        <w:tab/>
        <w:t xml:space="preserve">Aplikační výsledky druhu </w:t>
      </w:r>
      <w:proofErr w:type="spellStart"/>
      <w:r w:rsidRPr="00372738">
        <w:rPr>
          <w:rFonts w:ascii="Times New Roman" w:hAnsi="Times New Roman"/>
          <w:b/>
          <w:bCs/>
          <w:sz w:val="24"/>
          <w:szCs w:val="24"/>
        </w:rPr>
        <w:t>F</w:t>
      </w:r>
      <w:r w:rsidRPr="00372738">
        <w:rPr>
          <w:rFonts w:ascii="Times New Roman" w:hAnsi="Times New Roman"/>
          <w:b/>
          <w:bCs/>
          <w:sz w:val="24"/>
          <w:szCs w:val="24"/>
          <w:vertAlign w:val="subscript"/>
        </w:rPr>
        <w:t>uzit</w:t>
      </w:r>
      <w:proofErr w:type="spellEnd"/>
      <w:r w:rsidRPr="00372738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372738">
        <w:rPr>
          <w:rFonts w:ascii="Times New Roman" w:hAnsi="Times New Roman"/>
          <w:b/>
          <w:bCs/>
          <w:sz w:val="24"/>
          <w:szCs w:val="24"/>
        </w:rPr>
        <w:t>F</w:t>
      </w:r>
      <w:r w:rsidRPr="00372738">
        <w:rPr>
          <w:rFonts w:ascii="Times New Roman" w:hAnsi="Times New Roman"/>
          <w:b/>
          <w:bCs/>
          <w:sz w:val="24"/>
          <w:szCs w:val="24"/>
          <w:vertAlign w:val="subscript"/>
        </w:rPr>
        <w:t>prum</w:t>
      </w:r>
      <w:proofErr w:type="spellEnd"/>
      <w:r w:rsidRPr="00372738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372738">
        <w:rPr>
          <w:rFonts w:ascii="Times New Roman" w:hAnsi="Times New Roman"/>
          <w:b/>
          <w:bCs/>
          <w:sz w:val="24"/>
          <w:szCs w:val="24"/>
        </w:rPr>
        <w:t>G</w:t>
      </w:r>
      <w:r w:rsidRPr="00372738">
        <w:rPr>
          <w:rFonts w:ascii="Times New Roman" w:hAnsi="Times New Roman"/>
          <w:b/>
          <w:bCs/>
          <w:sz w:val="24"/>
          <w:szCs w:val="24"/>
          <w:vertAlign w:val="subscript"/>
        </w:rPr>
        <w:t>prot</w:t>
      </w:r>
      <w:proofErr w:type="spellEnd"/>
      <w:r w:rsidRPr="00372738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372738">
        <w:rPr>
          <w:rFonts w:ascii="Times New Roman" w:hAnsi="Times New Roman"/>
          <w:b/>
          <w:bCs/>
          <w:sz w:val="24"/>
          <w:szCs w:val="24"/>
        </w:rPr>
        <w:t>G</w:t>
      </w:r>
      <w:r w:rsidRPr="00372738">
        <w:rPr>
          <w:rFonts w:ascii="Times New Roman" w:hAnsi="Times New Roman"/>
          <w:b/>
          <w:bCs/>
          <w:sz w:val="24"/>
          <w:szCs w:val="24"/>
          <w:vertAlign w:val="subscript"/>
        </w:rPr>
        <w:t>funk</w:t>
      </w:r>
      <w:proofErr w:type="spellEnd"/>
      <w:r w:rsidRPr="00372738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372738">
        <w:rPr>
          <w:rFonts w:ascii="Times New Roman" w:hAnsi="Times New Roman"/>
          <w:b/>
          <w:bCs/>
          <w:sz w:val="24"/>
          <w:szCs w:val="24"/>
        </w:rPr>
        <w:t>N</w:t>
      </w:r>
      <w:r w:rsidRPr="00372738">
        <w:rPr>
          <w:rFonts w:ascii="Times New Roman" w:hAnsi="Times New Roman"/>
          <w:b/>
          <w:bCs/>
          <w:sz w:val="24"/>
          <w:szCs w:val="24"/>
          <w:vertAlign w:val="subscript"/>
        </w:rPr>
        <w:t>metS</w:t>
      </w:r>
      <w:proofErr w:type="spellEnd"/>
      <w:r w:rsidRPr="00372738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372738">
        <w:rPr>
          <w:rFonts w:ascii="Times New Roman" w:hAnsi="Times New Roman"/>
          <w:b/>
          <w:bCs/>
          <w:sz w:val="24"/>
          <w:szCs w:val="24"/>
        </w:rPr>
        <w:t>N</w:t>
      </w:r>
      <w:r w:rsidRPr="00372738">
        <w:rPr>
          <w:rFonts w:ascii="Times New Roman" w:hAnsi="Times New Roman"/>
          <w:b/>
          <w:bCs/>
          <w:sz w:val="24"/>
          <w:szCs w:val="24"/>
          <w:vertAlign w:val="subscript"/>
        </w:rPr>
        <w:t>metC</w:t>
      </w:r>
      <w:proofErr w:type="spellEnd"/>
      <w:r w:rsidRPr="00372738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372738">
        <w:rPr>
          <w:rFonts w:ascii="Times New Roman" w:hAnsi="Times New Roman"/>
          <w:b/>
          <w:bCs/>
          <w:sz w:val="24"/>
          <w:szCs w:val="24"/>
        </w:rPr>
        <w:t>N</w:t>
      </w:r>
      <w:r w:rsidRPr="00372738">
        <w:rPr>
          <w:rFonts w:ascii="Times New Roman" w:hAnsi="Times New Roman"/>
          <w:b/>
          <w:bCs/>
          <w:sz w:val="24"/>
          <w:szCs w:val="24"/>
          <w:vertAlign w:val="subscript"/>
        </w:rPr>
        <w:t>pam</w:t>
      </w:r>
      <w:proofErr w:type="spellEnd"/>
      <w:r w:rsidRPr="00372738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372738">
        <w:rPr>
          <w:rFonts w:ascii="Times New Roman" w:hAnsi="Times New Roman"/>
          <w:b/>
          <w:bCs/>
          <w:sz w:val="24"/>
          <w:szCs w:val="24"/>
        </w:rPr>
        <w:t>Ni</w:t>
      </w:r>
      <w:r w:rsidRPr="00372738">
        <w:rPr>
          <w:rFonts w:ascii="Times New Roman" w:hAnsi="Times New Roman"/>
          <w:b/>
          <w:bCs/>
          <w:sz w:val="24"/>
          <w:szCs w:val="24"/>
          <w:vertAlign w:val="subscript"/>
        </w:rPr>
        <w:t>map</w:t>
      </w:r>
      <w:proofErr w:type="spellEnd"/>
      <w:r w:rsidRPr="00372738">
        <w:rPr>
          <w:rFonts w:ascii="Times New Roman" w:hAnsi="Times New Roman"/>
          <w:b/>
          <w:bCs/>
          <w:sz w:val="24"/>
          <w:szCs w:val="24"/>
        </w:rPr>
        <w:t xml:space="preserve">, P, R, S, </w:t>
      </w:r>
      <w:proofErr w:type="spellStart"/>
      <w:r w:rsidRPr="00372738">
        <w:rPr>
          <w:rFonts w:ascii="Times New Roman" w:hAnsi="Times New Roman"/>
          <w:b/>
          <w:bCs/>
          <w:sz w:val="24"/>
          <w:szCs w:val="24"/>
        </w:rPr>
        <w:t>Z</w:t>
      </w:r>
      <w:r w:rsidRPr="00372738">
        <w:rPr>
          <w:rFonts w:ascii="Times New Roman" w:hAnsi="Times New Roman"/>
          <w:b/>
          <w:bCs/>
          <w:sz w:val="24"/>
          <w:szCs w:val="24"/>
          <w:vertAlign w:val="subscript"/>
        </w:rPr>
        <w:t>polop</w:t>
      </w:r>
      <w:proofErr w:type="spellEnd"/>
      <w:r w:rsidRPr="00372738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372738">
        <w:rPr>
          <w:rFonts w:ascii="Times New Roman" w:hAnsi="Times New Roman"/>
          <w:b/>
          <w:bCs/>
          <w:sz w:val="24"/>
          <w:szCs w:val="24"/>
        </w:rPr>
        <w:t>Z</w:t>
      </w:r>
      <w:r w:rsidRPr="00372738">
        <w:rPr>
          <w:rFonts w:ascii="Times New Roman" w:hAnsi="Times New Roman"/>
          <w:b/>
          <w:bCs/>
          <w:sz w:val="24"/>
          <w:szCs w:val="24"/>
          <w:vertAlign w:val="subscript"/>
        </w:rPr>
        <w:t>tech</w:t>
      </w:r>
      <w:proofErr w:type="spellEnd"/>
      <w:r w:rsidRPr="00372738">
        <w:rPr>
          <w:rFonts w:ascii="Times New Roman" w:hAnsi="Times New Roman"/>
          <w:b/>
          <w:bCs/>
          <w:iCs/>
          <w:sz w:val="24"/>
          <w:szCs w:val="24"/>
        </w:rPr>
        <w:t xml:space="preserve"> – p</w:t>
      </w:r>
      <w:r w:rsidRPr="00372738">
        <w:rPr>
          <w:rFonts w:ascii="Times New Roman" w:hAnsi="Times New Roman"/>
          <w:b/>
          <w:sz w:val="24"/>
          <w:szCs w:val="24"/>
        </w:rPr>
        <w:t>ůvodní znění:</w:t>
      </w:r>
    </w:p>
    <w:p w:rsidR="00372738" w:rsidRPr="00372738" w:rsidRDefault="00372738" w:rsidP="00372738">
      <w:pPr>
        <w:pStyle w:val="Odstavecseseznamem"/>
      </w:pP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5"/>
        <w:gridCol w:w="3559"/>
      </w:tblGrid>
      <w:tr w:rsidR="00372738" w:rsidRPr="00372738" w:rsidTr="00665795">
        <w:tc>
          <w:tcPr>
            <w:tcW w:w="5465" w:type="dxa"/>
            <w:shd w:val="clear" w:color="auto" w:fill="E6E6E6"/>
          </w:tcPr>
          <w:p w:rsidR="00372738" w:rsidRPr="00372738" w:rsidRDefault="00372738" w:rsidP="00665795">
            <w:pPr>
              <w:pStyle w:val="Zkladntextodsazen1"/>
              <w:spacing w:before="60" w:after="0" w:line="276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372738">
              <w:rPr>
                <w:sz w:val="24"/>
                <w:szCs w:val="24"/>
              </w:rPr>
              <w:t>písmeno označující druh aplikačního výsledku</w:t>
            </w:r>
          </w:p>
        </w:tc>
        <w:tc>
          <w:tcPr>
            <w:tcW w:w="3559" w:type="dxa"/>
          </w:tcPr>
          <w:p w:rsidR="00372738" w:rsidRPr="00372738" w:rsidRDefault="00372738" w:rsidP="00665795">
            <w:pPr>
              <w:pStyle w:val="Zkladntextodsazen1"/>
              <w:spacing w:before="60" w:after="0" w:line="276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372738">
              <w:rPr>
                <w:b/>
                <w:bCs/>
                <w:sz w:val="24"/>
                <w:szCs w:val="24"/>
              </w:rPr>
              <w:t>S</w:t>
            </w:r>
          </w:p>
        </w:tc>
      </w:tr>
      <w:tr w:rsidR="00372738" w:rsidRPr="00372738" w:rsidTr="00665795">
        <w:tc>
          <w:tcPr>
            <w:tcW w:w="5465" w:type="dxa"/>
            <w:shd w:val="clear" w:color="auto" w:fill="E6E6E6"/>
          </w:tcPr>
          <w:p w:rsidR="00372738" w:rsidRPr="00372738" w:rsidRDefault="00372738" w:rsidP="00665795">
            <w:pPr>
              <w:pStyle w:val="Zkladntextodsazen1"/>
              <w:spacing w:before="60" w:after="0" w:line="276" w:lineRule="auto"/>
              <w:ind w:left="0"/>
              <w:jc w:val="both"/>
              <w:rPr>
                <w:bCs/>
                <w:i/>
                <w:sz w:val="24"/>
                <w:szCs w:val="24"/>
              </w:rPr>
            </w:pPr>
            <w:r w:rsidRPr="00372738">
              <w:rPr>
                <w:sz w:val="24"/>
                <w:szCs w:val="24"/>
              </w:rPr>
              <w:t>předpokládaný název</w:t>
            </w:r>
            <w:r w:rsidRPr="00372738">
              <w:rPr>
                <w:bCs/>
                <w:sz w:val="24"/>
                <w:szCs w:val="24"/>
              </w:rPr>
              <w:t xml:space="preserve"> </w:t>
            </w:r>
            <w:r w:rsidRPr="00372738">
              <w:rPr>
                <w:sz w:val="24"/>
                <w:szCs w:val="24"/>
              </w:rPr>
              <w:t>aplikačního výsledku</w:t>
            </w:r>
          </w:p>
        </w:tc>
        <w:tc>
          <w:tcPr>
            <w:tcW w:w="3559" w:type="dxa"/>
          </w:tcPr>
          <w:p w:rsidR="00372738" w:rsidRPr="00372738" w:rsidRDefault="00372738" w:rsidP="00665795">
            <w:pPr>
              <w:pStyle w:val="Zkladntextodsazen1"/>
              <w:spacing w:before="60" w:after="0" w:line="276" w:lineRule="auto"/>
              <w:ind w:left="695" w:hanging="695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372738">
              <w:rPr>
                <w:b/>
                <w:bCs/>
                <w:sz w:val="24"/>
                <w:szCs w:val="24"/>
              </w:rPr>
              <w:t>Stavoprojekt</w:t>
            </w:r>
            <w:proofErr w:type="spellEnd"/>
            <w:r w:rsidRPr="00372738">
              <w:rPr>
                <w:b/>
                <w:bCs/>
                <w:sz w:val="24"/>
                <w:szCs w:val="24"/>
              </w:rPr>
              <w:t xml:space="preserve"> / projekty a tvůrci</w:t>
            </w:r>
          </w:p>
        </w:tc>
      </w:tr>
      <w:tr w:rsidR="00372738" w:rsidRPr="00372738" w:rsidTr="00665795">
        <w:tc>
          <w:tcPr>
            <w:tcW w:w="5465" w:type="dxa"/>
            <w:shd w:val="clear" w:color="auto" w:fill="E6E6E6"/>
          </w:tcPr>
          <w:p w:rsidR="00372738" w:rsidRPr="00372738" w:rsidRDefault="00372738" w:rsidP="00665795">
            <w:pPr>
              <w:pStyle w:val="Zkladntextodsazen1"/>
              <w:spacing w:before="60"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372738">
              <w:rPr>
                <w:bCs/>
                <w:sz w:val="24"/>
                <w:szCs w:val="24"/>
              </w:rPr>
              <w:t xml:space="preserve">krátká charakteristika </w:t>
            </w:r>
            <w:r w:rsidRPr="00372738">
              <w:rPr>
                <w:sz w:val="24"/>
                <w:szCs w:val="24"/>
              </w:rPr>
              <w:t xml:space="preserve">aplikačního </w:t>
            </w:r>
            <w:r w:rsidRPr="00372738">
              <w:rPr>
                <w:bCs/>
                <w:sz w:val="24"/>
                <w:szCs w:val="24"/>
              </w:rPr>
              <w:t>výsledku</w:t>
            </w:r>
          </w:p>
        </w:tc>
        <w:tc>
          <w:tcPr>
            <w:tcW w:w="3559" w:type="dxa"/>
          </w:tcPr>
          <w:p w:rsidR="00372738" w:rsidRPr="00372738" w:rsidRDefault="00372738" w:rsidP="00665795">
            <w:pPr>
              <w:pStyle w:val="Zkladntextodsazen1"/>
              <w:spacing w:before="60" w:after="0" w:line="276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372738">
              <w:rPr>
                <w:bCs/>
                <w:sz w:val="24"/>
                <w:szCs w:val="24"/>
              </w:rPr>
              <w:t xml:space="preserve">Interaktivní, internetová databáze projektů a tvůrců </w:t>
            </w:r>
            <w:proofErr w:type="spellStart"/>
            <w:r w:rsidRPr="00372738">
              <w:rPr>
                <w:bCs/>
                <w:sz w:val="24"/>
                <w:szCs w:val="24"/>
              </w:rPr>
              <w:t>Stavoprojektu</w:t>
            </w:r>
            <w:proofErr w:type="spellEnd"/>
            <w:r w:rsidRPr="00372738">
              <w:rPr>
                <w:bCs/>
                <w:sz w:val="24"/>
                <w:szCs w:val="24"/>
              </w:rPr>
              <w:t xml:space="preserve">, syntetizující poznatky z archivního a plošného průzkumu. Nabídne možnost strukturovaně studovat, vyhledávat a třídit. Postihne působnost </w:t>
            </w:r>
            <w:proofErr w:type="spellStart"/>
            <w:r w:rsidRPr="00372738">
              <w:rPr>
                <w:bCs/>
                <w:sz w:val="24"/>
                <w:szCs w:val="24"/>
              </w:rPr>
              <w:t>Stavoprojektu</w:t>
            </w:r>
            <w:proofErr w:type="spellEnd"/>
            <w:r w:rsidRPr="00372738">
              <w:rPr>
                <w:bCs/>
                <w:sz w:val="24"/>
                <w:szCs w:val="24"/>
              </w:rPr>
              <w:t xml:space="preserve"> na území celé ČR. Reprezentuje v evropském měřítku unikátní plošnou, veřejně přístupnou výpověď o činnosti kolektivizované, socialistické projekční instituce po 2. sv. v.</w:t>
            </w:r>
          </w:p>
          <w:p w:rsidR="00372738" w:rsidRPr="00372738" w:rsidRDefault="00372738" w:rsidP="00665795">
            <w:pPr>
              <w:pStyle w:val="Zkladntextodsazen1"/>
              <w:spacing w:before="60" w:after="0" w:line="276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372738">
              <w:rPr>
                <w:bCs/>
                <w:sz w:val="24"/>
                <w:szCs w:val="24"/>
              </w:rPr>
              <w:t xml:space="preserve">Garanti: Petr Vorlík, Jan Zikmund, Klára Ullmannová, Lucia </w:t>
            </w:r>
            <w:proofErr w:type="spellStart"/>
            <w:r w:rsidRPr="00372738">
              <w:rPr>
                <w:bCs/>
                <w:sz w:val="24"/>
                <w:szCs w:val="24"/>
              </w:rPr>
              <w:t>Mlynčeková</w:t>
            </w:r>
            <w:proofErr w:type="spellEnd"/>
            <w:r w:rsidRPr="00372738">
              <w:rPr>
                <w:bCs/>
                <w:sz w:val="24"/>
                <w:szCs w:val="24"/>
              </w:rPr>
              <w:t>, Šárka Steinová.</w:t>
            </w:r>
          </w:p>
        </w:tc>
      </w:tr>
      <w:tr w:rsidR="00372738" w:rsidRPr="00372738" w:rsidTr="00665795">
        <w:tc>
          <w:tcPr>
            <w:tcW w:w="5465" w:type="dxa"/>
            <w:shd w:val="clear" w:color="auto" w:fill="E6E6E6"/>
          </w:tcPr>
          <w:p w:rsidR="00372738" w:rsidRPr="00372738" w:rsidRDefault="00372738" w:rsidP="00665795">
            <w:pPr>
              <w:pStyle w:val="Zkladntextodsazen1"/>
              <w:spacing w:before="60" w:after="0"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372738">
              <w:rPr>
                <w:sz w:val="24"/>
                <w:szCs w:val="24"/>
              </w:rPr>
              <w:t>předpokládaný rok uplatnění aplikačního výsledku</w:t>
            </w:r>
            <w:r w:rsidRPr="0037273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59" w:type="dxa"/>
          </w:tcPr>
          <w:p w:rsidR="00372738" w:rsidRPr="00372738" w:rsidRDefault="00372738" w:rsidP="00665795">
            <w:pPr>
              <w:pStyle w:val="Zkladntextodsazen1"/>
              <w:spacing w:before="60" w:after="0" w:line="276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372738">
              <w:rPr>
                <w:b/>
                <w:bCs/>
                <w:sz w:val="24"/>
                <w:szCs w:val="24"/>
              </w:rPr>
              <w:t>2026</w:t>
            </w:r>
          </w:p>
        </w:tc>
      </w:tr>
      <w:tr w:rsidR="00372738" w:rsidRPr="00372738" w:rsidTr="00665795">
        <w:tc>
          <w:tcPr>
            <w:tcW w:w="5465" w:type="dxa"/>
            <w:shd w:val="clear" w:color="auto" w:fill="E6E6E6"/>
          </w:tcPr>
          <w:p w:rsidR="00372738" w:rsidRPr="00372738" w:rsidRDefault="00372738" w:rsidP="00665795">
            <w:pPr>
              <w:pStyle w:val="Zkladntextodsazen1"/>
              <w:spacing w:before="60" w:after="0" w:line="276" w:lineRule="auto"/>
              <w:ind w:left="0"/>
              <w:jc w:val="both"/>
              <w:rPr>
                <w:bCs/>
                <w:i/>
                <w:sz w:val="24"/>
                <w:szCs w:val="24"/>
              </w:rPr>
            </w:pPr>
            <w:r w:rsidRPr="00372738">
              <w:rPr>
                <w:bCs/>
                <w:sz w:val="24"/>
                <w:szCs w:val="24"/>
              </w:rPr>
              <w:t xml:space="preserve">předpokládaní </w:t>
            </w:r>
            <w:r w:rsidRPr="00372738">
              <w:rPr>
                <w:sz w:val="24"/>
                <w:szCs w:val="24"/>
              </w:rPr>
              <w:t>budoucí uživatelé aplikačního výsledku (nelze uvést obecně např. odborná veřejnost)</w:t>
            </w:r>
          </w:p>
        </w:tc>
        <w:tc>
          <w:tcPr>
            <w:tcW w:w="3559" w:type="dxa"/>
          </w:tcPr>
          <w:p w:rsidR="00372738" w:rsidRPr="00372738" w:rsidRDefault="00372738" w:rsidP="00665795">
            <w:pPr>
              <w:pStyle w:val="Zkladntextodsazen1"/>
              <w:spacing w:before="60" w:after="0" w:line="276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372738">
              <w:rPr>
                <w:sz w:val="24"/>
                <w:szCs w:val="24"/>
              </w:rPr>
              <w:t xml:space="preserve">Bude sloužit pro plošné vyhodnocování českého architektonického dědictví převážně z let 1948–1953. Předpokládanými cílovým uživateli budou zejména odborníci z řad historiků, památkářů a historiků architektury a umění (Národní památkový ústav – viz </w:t>
            </w:r>
            <w:proofErr w:type="spellStart"/>
            <w:r w:rsidRPr="00372738">
              <w:rPr>
                <w:sz w:val="24"/>
                <w:szCs w:val="24"/>
              </w:rPr>
              <w:t>letter</w:t>
            </w:r>
            <w:proofErr w:type="spellEnd"/>
            <w:r w:rsidRPr="00372738">
              <w:rPr>
                <w:sz w:val="24"/>
                <w:szCs w:val="24"/>
              </w:rPr>
              <w:t xml:space="preserve"> </w:t>
            </w:r>
            <w:proofErr w:type="spellStart"/>
            <w:r w:rsidRPr="00372738">
              <w:rPr>
                <w:sz w:val="24"/>
                <w:szCs w:val="24"/>
              </w:rPr>
              <w:t>of</w:t>
            </w:r>
            <w:proofErr w:type="spellEnd"/>
            <w:r w:rsidRPr="00372738">
              <w:rPr>
                <w:sz w:val="24"/>
                <w:szCs w:val="24"/>
              </w:rPr>
              <w:t xml:space="preserve"> </w:t>
            </w:r>
            <w:proofErr w:type="spellStart"/>
            <w:r w:rsidRPr="00372738">
              <w:rPr>
                <w:sz w:val="24"/>
                <w:szCs w:val="24"/>
              </w:rPr>
              <w:t>interest</w:t>
            </w:r>
            <w:proofErr w:type="spellEnd"/>
            <w:r w:rsidRPr="00372738">
              <w:rPr>
                <w:sz w:val="24"/>
                <w:szCs w:val="24"/>
              </w:rPr>
              <w:t xml:space="preserve"> v Příloze 09, Akademie věd – viz </w:t>
            </w:r>
            <w:proofErr w:type="spellStart"/>
            <w:r w:rsidRPr="00372738">
              <w:rPr>
                <w:sz w:val="24"/>
                <w:szCs w:val="24"/>
              </w:rPr>
              <w:t>letter</w:t>
            </w:r>
            <w:proofErr w:type="spellEnd"/>
            <w:r w:rsidRPr="00372738">
              <w:rPr>
                <w:sz w:val="24"/>
                <w:szCs w:val="24"/>
              </w:rPr>
              <w:t xml:space="preserve"> </w:t>
            </w:r>
            <w:proofErr w:type="spellStart"/>
            <w:r w:rsidRPr="00372738">
              <w:rPr>
                <w:sz w:val="24"/>
                <w:szCs w:val="24"/>
              </w:rPr>
              <w:t>of</w:t>
            </w:r>
            <w:proofErr w:type="spellEnd"/>
            <w:r w:rsidRPr="00372738">
              <w:rPr>
                <w:sz w:val="24"/>
                <w:szCs w:val="24"/>
              </w:rPr>
              <w:t xml:space="preserve"> </w:t>
            </w:r>
            <w:proofErr w:type="spellStart"/>
            <w:r w:rsidRPr="00372738">
              <w:rPr>
                <w:sz w:val="24"/>
                <w:szCs w:val="24"/>
              </w:rPr>
              <w:t>interest</w:t>
            </w:r>
            <w:proofErr w:type="spellEnd"/>
            <w:r w:rsidRPr="00372738">
              <w:rPr>
                <w:sz w:val="24"/>
                <w:szCs w:val="24"/>
              </w:rPr>
              <w:t xml:space="preserve"> v Příloze 09, ČVUT, UK, mezinárodní odborná komunita ad.), instituce státní správy (rozhodovací procesy) a v neposlední řadě nezávislí badatelé, studenti vysokých škol, média a laická veřejnost.</w:t>
            </w:r>
          </w:p>
        </w:tc>
      </w:tr>
    </w:tbl>
    <w:p w:rsidR="00372738" w:rsidRPr="00372738" w:rsidRDefault="00372738" w:rsidP="00372738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372738" w:rsidRPr="00372738" w:rsidRDefault="00372738" w:rsidP="00372738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372738" w:rsidRPr="00372738" w:rsidRDefault="00372738" w:rsidP="00372738">
      <w:pPr>
        <w:pStyle w:val="Zkladntext31"/>
        <w:keepNext/>
        <w:numPr>
          <w:ilvl w:val="0"/>
          <w:numId w:val="3"/>
        </w:numPr>
        <w:spacing w:before="60" w:line="276" w:lineRule="auto"/>
        <w:ind w:left="426" w:hanging="357"/>
        <w:rPr>
          <w:bCs/>
          <w:sz w:val="24"/>
          <w:szCs w:val="24"/>
        </w:rPr>
      </w:pPr>
      <w:r w:rsidRPr="00372738">
        <w:rPr>
          <w:b/>
          <w:bCs/>
          <w:sz w:val="24"/>
          <w:szCs w:val="24"/>
        </w:rPr>
        <w:t>Vstupy – vybavenost pracovišť – původní znění: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2"/>
      </w:tblGrid>
      <w:tr w:rsidR="00372738" w:rsidRPr="00372738" w:rsidTr="00665795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738" w:rsidRPr="00372738" w:rsidRDefault="00372738" w:rsidP="00665795">
            <w:pPr>
              <w:pStyle w:val="Zkladntext3"/>
              <w:spacing w:before="60" w:after="0" w:line="276" w:lineRule="auto"/>
              <w:rPr>
                <w:noProof/>
                <w:sz w:val="24"/>
                <w:szCs w:val="24"/>
              </w:rPr>
            </w:pPr>
            <w:r w:rsidRPr="00372738">
              <w:rPr>
                <w:noProof/>
                <w:sz w:val="24"/>
                <w:szCs w:val="24"/>
              </w:rPr>
              <w:t>Řešitelské pracoviště (ú15113) je vybaveno standardním zařízením pro pedagogickou činnost a velmi úsporný výzkum (stolní pc, tiskárny). Díky předchozímu projektu NAKI II se podařilo pracoviště před 5 lety částečně dovybavit i pro podrobnější výzkumné činnosti (notebooky, scannery, fotoaparáty, přenosné HDD), toto zařízení však mezitím zestárlo za hranu životnosti a pro nový projekt je nutné jej zásadně inovovat. Bonusem je rovněž přibližně před 15 lety pořízený a dosud funkční velkoplošný scanner v archivu ČVUT.</w:t>
            </w:r>
          </w:p>
          <w:p w:rsidR="00372738" w:rsidRPr="00372738" w:rsidRDefault="00372738" w:rsidP="00665795">
            <w:pPr>
              <w:pStyle w:val="Zkladntext3"/>
              <w:spacing w:before="60" w:after="0" w:line="276" w:lineRule="auto"/>
              <w:rPr>
                <w:noProof/>
                <w:sz w:val="24"/>
                <w:szCs w:val="24"/>
              </w:rPr>
            </w:pPr>
            <w:r w:rsidRPr="00372738">
              <w:rPr>
                <w:noProof/>
                <w:sz w:val="24"/>
                <w:szCs w:val="24"/>
              </w:rPr>
              <w:t>Rozšíření řešitelského kolektivu a dlouhodobá udržitelnost pracovního prostředí ale nezbytně vyžadují další vybavení (opět standardní středně výkonné notebooky, scannery, fotoaparáty, externí HDD), převážně pro práci v archivu, v terénu při studiu staveb in-situ a v neposlední řadě i při sycení databáze a přípravě publikací (nejenom textů, ale i při zpracování rozsáhlého obrazového materiálu).</w:t>
            </w:r>
          </w:p>
          <w:p w:rsidR="00372738" w:rsidRPr="00372738" w:rsidRDefault="00372738" w:rsidP="00665795">
            <w:pPr>
              <w:pStyle w:val="Zkladntext3"/>
              <w:spacing w:before="60" w:after="0" w:line="276" w:lineRule="auto"/>
              <w:rPr>
                <w:noProof/>
                <w:sz w:val="24"/>
                <w:szCs w:val="24"/>
              </w:rPr>
            </w:pPr>
            <w:r w:rsidRPr="00372738">
              <w:rPr>
                <w:noProof/>
                <w:sz w:val="24"/>
                <w:szCs w:val="24"/>
              </w:rPr>
              <w:t xml:space="preserve">Pro archivaci a metodickou organizaci práce bude nutno zřídit nový databázový systém, který však může částečně koncepčně navázat na zkušenosti s realizací podobných systémů (interaktivní specializované mapy </w:t>
            </w:r>
            <w:r w:rsidRPr="00372738">
              <w:rPr>
                <w:i/>
                <w:noProof/>
                <w:sz w:val="24"/>
                <w:szCs w:val="24"/>
              </w:rPr>
              <w:t>Industriální topografie ČR</w:t>
            </w:r>
            <w:r w:rsidRPr="00372738">
              <w:rPr>
                <w:noProof/>
                <w:sz w:val="24"/>
                <w:szCs w:val="24"/>
              </w:rPr>
              <w:t xml:space="preserve">, </w:t>
            </w:r>
            <w:r w:rsidRPr="00372738">
              <w:rPr>
                <w:i/>
                <w:noProof/>
                <w:sz w:val="24"/>
                <w:szCs w:val="24"/>
              </w:rPr>
              <w:t>Architektura osmdesátých let</w:t>
            </w:r>
            <w:r w:rsidRPr="00372738">
              <w:rPr>
                <w:noProof/>
                <w:sz w:val="24"/>
                <w:szCs w:val="24"/>
              </w:rPr>
              <w:t>), ovšem samozřejmě s nevyhnutelným vznikem zcela nové softwarové infrastruktury, protože kořeny starších systémů pochází z let 2002, resp. 2012 a 2018.</w:t>
            </w:r>
          </w:p>
          <w:p w:rsidR="00372738" w:rsidRPr="00372738" w:rsidRDefault="00372738" w:rsidP="00665795">
            <w:pPr>
              <w:pStyle w:val="Zkladntext3"/>
              <w:spacing w:before="60" w:after="0" w:line="276" w:lineRule="auto"/>
              <w:rPr>
                <w:sz w:val="24"/>
                <w:szCs w:val="24"/>
              </w:rPr>
            </w:pPr>
            <w:r w:rsidRPr="00372738">
              <w:rPr>
                <w:noProof/>
                <w:sz w:val="24"/>
                <w:szCs w:val="24"/>
              </w:rPr>
              <w:t>Klíčovou roli sehrává v projektu spolupráce s Národním archivem (budoucí přístupnost fondu schválena v přiloženém dokumentu – viz Příloha 08). Při plošném průzkumu budou řešitelé a spolupracovníci ale také výhodně zhodnocovat již navázané kontakty a spolupráce v regionech (regionální pracoviště archivů a Národního památkového ústavu). Cenným zdrojem informací bude rovněž archiv ČVUT (absolventi) a dlouhodobě budovaný fond knihovny ústavu 15113 (již mnoho let důsledně utvářený a doplňovaný tématy tuzemské i zahraniční poválečné architektury a obecných dějin, zatím však se značnými mezerami pro období let čtyřicátých a padesátých).</w:t>
            </w:r>
          </w:p>
        </w:tc>
      </w:tr>
    </w:tbl>
    <w:p w:rsidR="00372738" w:rsidRPr="00372738" w:rsidRDefault="00372738" w:rsidP="00372738">
      <w:pPr>
        <w:spacing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72738" w:rsidRPr="00372738" w:rsidRDefault="00372738" w:rsidP="00372738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372738">
        <w:rPr>
          <w:rFonts w:ascii="Times New Roman" w:hAnsi="Times New Roman"/>
          <w:b/>
          <w:sz w:val="24"/>
          <w:szCs w:val="24"/>
        </w:rPr>
        <w:t>Nové znění</w:t>
      </w:r>
    </w:p>
    <w:p w:rsidR="00372738" w:rsidRPr="00372738" w:rsidRDefault="00372738" w:rsidP="00372738">
      <w:pPr>
        <w:pStyle w:val="Zkladntextodsazen1"/>
        <w:spacing w:before="120" w:after="0" w:line="276" w:lineRule="auto"/>
        <w:ind w:left="709" w:hanging="709"/>
        <w:jc w:val="both"/>
        <w:rPr>
          <w:b/>
          <w:bCs/>
          <w:iCs/>
          <w:sz w:val="24"/>
          <w:szCs w:val="24"/>
        </w:rPr>
      </w:pPr>
      <w:r w:rsidRPr="00372738">
        <w:rPr>
          <w:b/>
          <w:bCs/>
          <w:iCs/>
          <w:sz w:val="24"/>
          <w:szCs w:val="24"/>
        </w:rPr>
        <w:t>5.1.1.</w:t>
      </w:r>
      <w:r w:rsidRPr="00372738">
        <w:rPr>
          <w:b/>
          <w:bCs/>
          <w:iCs/>
          <w:sz w:val="24"/>
          <w:szCs w:val="24"/>
        </w:rPr>
        <w:tab/>
        <w:t xml:space="preserve">Aplikační výsledky druhu </w:t>
      </w:r>
      <w:proofErr w:type="spellStart"/>
      <w:r w:rsidRPr="00372738">
        <w:rPr>
          <w:b/>
          <w:bCs/>
          <w:sz w:val="24"/>
          <w:szCs w:val="24"/>
        </w:rPr>
        <w:t>F</w:t>
      </w:r>
      <w:r w:rsidRPr="00372738">
        <w:rPr>
          <w:b/>
          <w:bCs/>
          <w:sz w:val="24"/>
          <w:szCs w:val="24"/>
          <w:vertAlign w:val="subscript"/>
        </w:rPr>
        <w:t>uzit</w:t>
      </w:r>
      <w:proofErr w:type="spellEnd"/>
      <w:r w:rsidRPr="00372738">
        <w:rPr>
          <w:b/>
          <w:bCs/>
          <w:sz w:val="24"/>
          <w:szCs w:val="24"/>
        </w:rPr>
        <w:t xml:space="preserve">, </w:t>
      </w:r>
      <w:proofErr w:type="spellStart"/>
      <w:r w:rsidRPr="00372738">
        <w:rPr>
          <w:b/>
          <w:bCs/>
          <w:sz w:val="24"/>
          <w:szCs w:val="24"/>
        </w:rPr>
        <w:t>F</w:t>
      </w:r>
      <w:r w:rsidRPr="00372738">
        <w:rPr>
          <w:b/>
          <w:bCs/>
          <w:sz w:val="24"/>
          <w:szCs w:val="24"/>
          <w:vertAlign w:val="subscript"/>
        </w:rPr>
        <w:t>prum</w:t>
      </w:r>
      <w:proofErr w:type="spellEnd"/>
      <w:r w:rsidRPr="00372738">
        <w:rPr>
          <w:b/>
          <w:bCs/>
          <w:sz w:val="24"/>
          <w:szCs w:val="24"/>
        </w:rPr>
        <w:t xml:space="preserve">, </w:t>
      </w:r>
      <w:proofErr w:type="spellStart"/>
      <w:r w:rsidRPr="00372738">
        <w:rPr>
          <w:b/>
          <w:bCs/>
          <w:sz w:val="24"/>
          <w:szCs w:val="24"/>
        </w:rPr>
        <w:t>G</w:t>
      </w:r>
      <w:r w:rsidRPr="00372738">
        <w:rPr>
          <w:b/>
          <w:bCs/>
          <w:sz w:val="24"/>
          <w:szCs w:val="24"/>
          <w:vertAlign w:val="subscript"/>
        </w:rPr>
        <w:t>prot</w:t>
      </w:r>
      <w:proofErr w:type="spellEnd"/>
      <w:r w:rsidRPr="00372738">
        <w:rPr>
          <w:b/>
          <w:bCs/>
          <w:sz w:val="24"/>
          <w:szCs w:val="24"/>
        </w:rPr>
        <w:t xml:space="preserve">, </w:t>
      </w:r>
      <w:proofErr w:type="spellStart"/>
      <w:r w:rsidRPr="00372738">
        <w:rPr>
          <w:b/>
          <w:bCs/>
          <w:sz w:val="24"/>
          <w:szCs w:val="24"/>
        </w:rPr>
        <w:t>G</w:t>
      </w:r>
      <w:r w:rsidRPr="00372738">
        <w:rPr>
          <w:b/>
          <w:bCs/>
          <w:sz w:val="24"/>
          <w:szCs w:val="24"/>
          <w:vertAlign w:val="subscript"/>
        </w:rPr>
        <w:t>funk</w:t>
      </w:r>
      <w:proofErr w:type="spellEnd"/>
      <w:r w:rsidRPr="00372738">
        <w:rPr>
          <w:b/>
          <w:bCs/>
          <w:sz w:val="24"/>
          <w:szCs w:val="24"/>
        </w:rPr>
        <w:t xml:space="preserve">, </w:t>
      </w:r>
      <w:proofErr w:type="spellStart"/>
      <w:r w:rsidRPr="00372738">
        <w:rPr>
          <w:b/>
          <w:bCs/>
          <w:sz w:val="24"/>
          <w:szCs w:val="24"/>
        </w:rPr>
        <w:t>N</w:t>
      </w:r>
      <w:r w:rsidRPr="00372738">
        <w:rPr>
          <w:b/>
          <w:bCs/>
          <w:sz w:val="24"/>
          <w:szCs w:val="24"/>
          <w:vertAlign w:val="subscript"/>
        </w:rPr>
        <w:t>metS</w:t>
      </w:r>
      <w:proofErr w:type="spellEnd"/>
      <w:r w:rsidRPr="00372738">
        <w:rPr>
          <w:b/>
          <w:bCs/>
          <w:sz w:val="24"/>
          <w:szCs w:val="24"/>
        </w:rPr>
        <w:t xml:space="preserve">, </w:t>
      </w:r>
      <w:proofErr w:type="spellStart"/>
      <w:r w:rsidRPr="00372738">
        <w:rPr>
          <w:b/>
          <w:bCs/>
          <w:sz w:val="24"/>
          <w:szCs w:val="24"/>
        </w:rPr>
        <w:t>N</w:t>
      </w:r>
      <w:r w:rsidRPr="00372738">
        <w:rPr>
          <w:b/>
          <w:bCs/>
          <w:sz w:val="24"/>
          <w:szCs w:val="24"/>
          <w:vertAlign w:val="subscript"/>
        </w:rPr>
        <w:t>metC</w:t>
      </w:r>
      <w:proofErr w:type="spellEnd"/>
      <w:r w:rsidRPr="00372738">
        <w:rPr>
          <w:b/>
          <w:bCs/>
          <w:sz w:val="24"/>
          <w:szCs w:val="24"/>
        </w:rPr>
        <w:t xml:space="preserve">, </w:t>
      </w:r>
      <w:proofErr w:type="spellStart"/>
      <w:r w:rsidRPr="00372738">
        <w:rPr>
          <w:b/>
          <w:bCs/>
          <w:sz w:val="24"/>
          <w:szCs w:val="24"/>
        </w:rPr>
        <w:t>N</w:t>
      </w:r>
      <w:r w:rsidRPr="00372738">
        <w:rPr>
          <w:b/>
          <w:bCs/>
          <w:sz w:val="24"/>
          <w:szCs w:val="24"/>
          <w:vertAlign w:val="subscript"/>
        </w:rPr>
        <w:t>pam</w:t>
      </w:r>
      <w:proofErr w:type="spellEnd"/>
      <w:r w:rsidRPr="00372738">
        <w:rPr>
          <w:b/>
          <w:bCs/>
          <w:sz w:val="24"/>
          <w:szCs w:val="24"/>
        </w:rPr>
        <w:t xml:space="preserve">, </w:t>
      </w:r>
      <w:proofErr w:type="spellStart"/>
      <w:r w:rsidRPr="00372738">
        <w:rPr>
          <w:b/>
          <w:bCs/>
          <w:sz w:val="24"/>
          <w:szCs w:val="24"/>
        </w:rPr>
        <w:t>Ni</w:t>
      </w:r>
      <w:r w:rsidRPr="00372738">
        <w:rPr>
          <w:b/>
          <w:bCs/>
          <w:sz w:val="24"/>
          <w:szCs w:val="24"/>
          <w:vertAlign w:val="subscript"/>
        </w:rPr>
        <w:t>map</w:t>
      </w:r>
      <w:proofErr w:type="spellEnd"/>
      <w:r w:rsidRPr="00372738">
        <w:rPr>
          <w:b/>
          <w:bCs/>
          <w:sz w:val="24"/>
          <w:szCs w:val="24"/>
        </w:rPr>
        <w:t xml:space="preserve">, P, R, S, </w:t>
      </w:r>
      <w:proofErr w:type="spellStart"/>
      <w:r w:rsidRPr="00372738">
        <w:rPr>
          <w:b/>
          <w:bCs/>
          <w:sz w:val="24"/>
          <w:szCs w:val="24"/>
        </w:rPr>
        <w:t>Z</w:t>
      </w:r>
      <w:r w:rsidRPr="00372738">
        <w:rPr>
          <w:b/>
          <w:bCs/>
          <w:sz w:val="24"/>
          <w:szCs w:val="24"/>
          <w:vertAlign w:val="subscript"/>
        </w:rPr>
        <w:t>polop</w:t>
      </w:r>
      <w:proofErr w:type="spellEnd"/>
      <w:r w:rsidRPr="00372738">
        <w:rPr>
          <w:b/>
          <w:bCs/>
          <w:sz w:val="24"/>
          <w:szCs w:val="24"/>
        </w:rPr>
        <w:t xml:space="preserve">, </w:t>
      </w:r>
      <w:proofErr w:type="spellStart"/>
      <w:r w:rsidRPr="00372738">
        <w:rPr>
          <w:b/>
          <w:bCs/>
          <w:sz w:val="24"/>
          <w:szCs w:val="24"/>
        </w:rPr>
        <w:t>Z</w:t>
      </w:r>
      <w:r w:rsidRPr="00372738">
        <w:rPr>
          <w:b/>
          <w:bCs/>
          <w:sz w:val="24"/>
          <w:szCs w:val="24"/>
          <w:vertAlign w:val="subscript"/>
        </w:rPr>
        <w:t>tech</w:t>
      </w:r>
      <w:proofErr w:type="spellEnd"/>
      <w:r w:rsidRPr="00372738">
        <w:rPr>
          <w:b/>
          <w:bCs/>
          <w:iCs/>
          <w:sz w:val="24"/>
          <w:szCs w:val="24"/>
        </w:rPr>
        <w:t xml:space="preserve"> – úprava v Dodatku 1:</w:t>
      </w:r>
    </w:p>
    <w:p w:rsidR="00372738" w:rsidRPr="00372738" w:rsidRDefault="00372738" w:rsidP="00372738">
      <w:pPr>
        <w:rPr>
          <w:rFonts w:ascii="Times New Roman" w:hAnsi="Times New Roman"/>
          <w:sz w:val="24"/>
          <w:szCs w:val="24"/>
        </w:rPr>
      </w:pPr>
    </w:p>
    <w:tbl>
      <w:tblPr>
        <w:tblW w:w="902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5"/>
        <w:gridCol w:w="3559"/>
      </w:tblGrid>
      <w:tr w:rsidR="00372738" w:rsidRPr="00372738" w:rsidTr="00665795">
        <w:tc>
          <w:tcPr>
            <w:tcW w:w="5465" w:type="dxa"/>
            <w:shd w:val="clear" w:color="auto" w:fill="E6E6E6"/>
          </w:tcPr>
          <w:p w:rsidR="00372738" w:rsidRPr="00372738" w:rsidRDefault="00372738" w:rsidP="00665795">
            <w:pPr>
              <w:pStyle w:val="Zkladntextodsazen1"/>
              <w:spacing w:before="60" w:after="0" w:line="276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372738">
              <w:rPr>
                <w:sz w:val="24"/>
                <w:szCs w:val="24"/>
              </w:rPr>
              <w:t>písmeno označující druh aplikačního výsledku</w:t>
            </w:r>
          </w:p>
        </w:tc>
        <w:tc>
          <w:tcPr>
            <w:tcW w:w="3559" w:type="dxa"/>
          </w:tcPr>
          <w:p w:rsidR="00372738" w:rsidRPr="00372738" w:rsidRDefault="00372738" w:rsidP="00665795">
            <w:pPr>
              <w:pStyle w:val="Zkladntextodsazen1"/>
              <w:spacing w:before="60" w:after="0" w:line="276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372738">
              <w:rPr>
                <w:b/>
                <w:bCs/>
                <w:sz w:val="24"/>
                <w:szCs w:val="24"/>
              </w:rPr>
              <w:t>S</w:t>
            </w:r>
          </w:p>
        </w:tc>
      </w:tr>
      <w:tr w:rsidR="00372738" w:rsidRPr="00372738" w:rsidTr="00665795">
        <w:tc>
          <w:tcPr>
            <w:tcW w:w="5465" w:type="dxa"/>
            <w:shd w:val="clear" w:color="auto" w:fill="E6E6E6"/>
          </w:tcPr>
          <w:p w:rsidR="00372738" w:rsidRPr="00372738" w:rsidRDefault="00372738" w:rsidP="00665795">
            <w:pPr>
              <w:pStyle w:val="Zkladntextodsazen1"/>
              <w:spacing w:before="60" w:after="0" w:line="276" w:lineRule="auto"/>
              <w:ind w:left="0"/>
              <w:jc w:val="both"/>
              <w:rPr>
                <w:bCs/>
                <w:i/>
                <w:sz w:val="24"/>
                <w:szCs w:val="24"/>
              </w:rPr>
            </w:pPr>
            <w:r w:rsidRPr="00372738">
              <w:rPr>
                <w:sz w:val="24"/>
                <w:szCs w:val="24"/>
              </w:rPr>
              <w:t>předpokládaný název</w:t>
            </w:r>
            <w:r w:rsidRPr="00372738">
              <w:rPr>
                <w:bCs/>
                <w:sz w:val="24"/>
                <w:szCs w:val="24"/>
              </w:rPr>
              <w:t xml:space="preserve"> </w:t>
            </w:r>
            <w:r w:rsidRPr="00372738">
              <w:rPr>
                <w:sz w:val="24"/>
                <w:szCs w:val="24"/>
              </w:rPr>
              <w:t>aplikačního výsledku</w:t>
            </w:r>
          </w:p>
        </w:tc>
        <w:tc>
          <w:tcPr>
            <w:tcW w:w="3559" w:type="dxa"/>
          </w:tcPr>
          <w:p w:rsidR="00372738" w:rsidRPr="00372738" w:rsidRDefault="00372738" w:rsidP="00665795">
            <w:pPr>
              <w:pStyle w:val="Zkladntextodsazen1"/>
              <w:spacing w:before="60" w:after="0" w:line="276" w:lineRule="auto"/>
              <w:ind w:left="695" w:hanging="695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372738">
              <w:rPr>
                <w:b/>
                <w:bCs/>
                <w:sz w:val="24"/>
                <w:szCs w:val="24"/>
              </w:rPr>
              <w:t>Stavoprojekt</w:t>
            </w:r>
            <w:proofErr w:type="spellEnd"/>
            <w:r w:rsidRPr="00372738">
              <w:rPr>
                <w:b/>
                <w:bCs/>
                <w:sz w:val="24"/>
                <w:szCs w:val="24"/>
              </w:rPr>
              <w:t xml:space="preserve"> / projekty a tvůrci</w:t>
            </w:r>
          </w:p>
        </w:tc>
      </w:tr>
      <w:tr w:rsidR="00372738" w:rsidRPr="00372738" w:rsidTr="00665795">
        <w:tc>
          <w:tcPr>
            <w:tcW w:w="5465" w:type="dxa"/>
            <w:shd w:val="clear" w:color="auto" w:fill="E6E6E6"/>
          </w:tcPr>
          <w:p w:rsidR="00372738" w:rsidRPr="00372738" w:rsidRDefault="00372738" w:rsidP="00665795">
            <w:pPr>
              <w:pStyle w:val="Zkladntextodsazen1"/>
              <w:spacing w:before="60"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372738">
              <w:rPr>
                <w:bCs/>
                <w:sz w:val="24"/>
                <w:szCs w:val="24"/>
              </w:rPr>
              <w:t xml:space="preserve">krátká charakteristika </w:t>
            </w:r>
            <w:r w:rsidRPr="00372738">
              <w:rPr>
                <w:sz w:val="24"/>
                <w:szCs w:val="24"/>
              </w:rPr>
              <w:t xml:space="preserve">aplikačního </w:t>
            </w:r>
            <w:r w:rsidRPr="00372738">
              <w:rPr>
                <w:bCs/>
                <w:sz w:val="24"/>
                <w:szCs w:val="24"/>
              </w:rPr>
              <w:t>výsledku</w:t>
            </w:r>
          </w:p>
        </w:tc>
        <w:tc>
          <w:tcPr>
            <w:tcW w:w="3559" w:type="dxa"/>
          </w:tcPr>
          <w:p w:rsidR="00372738" w:rsidRPr="00372738" w:rsidRDefault="00372738" w:rsidP="00665795">
            <w:pPr>
              <w:pStyle w:val="Zkladntextodsazen1"/>
              <w:spacing w:before="60" w:after="0" w:line="276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372738">
              <w:rPr>
                <w:bCs/>
                <w:sz w:val="24"/>
                <w:szCs w:val="24"/>
              </w:rPr>
              <w:t xml:space="preserve">Interaktivní, internetová databáze projektů a tvůrců </w:t>
            </w:r>
            <w:proofErr w:type="spellStart"/>
            <w:r w:rsidRPr="00372738">
              <w:rPr>
                <w:bCs/>
                <w:sz w:val="24"/>
                <w:szCs w:val="24"/>
              </w:rPr>
              <w:t>Stavoprojektu</w:t>
            </w:r>
            <w:proofErr w:type="spellEnd"/>
            <w:r w:rsidRPr="00372738">
              <w:rPr>
                <w:bCs/>
                <w:sz w:val="24"/>
                <w:szCs w:val="24"/>
              </w:rPr>
              <w:t xml:space="preserve">, syntetizující poznatky z archivního a plošného průzkumu. Nabídne možnost strukturovaně studovat, vyhledávat a třídit. Postihne působnost </w:t>
            </w:r>
            <w:proofErr w:type="spellStart"/>
            <w:r w:rsidRPr="00372738">
              <w:rPr>
                <w:bCs/>
                <w:sz w:val="24"/>
                <w:szCs w:val="24"/>
              </w:rPr>
              <w:t>Stavoprojektu</w:t>
            </w:r>
            <w:proofErr w:type="spellEnd"/>
            <w:r w:rsidRPr="00372738">
              <w:rPr>
                <w:bCs/>
                <w:sz w:val="24"/>
                <w:szCs w:val="24"/>
              </w:rPr>
              <w:t xml:space="preserve"> na území celé ČR. Reprezentuje v evropském měřítku unikátní </w:t>
            </w:r>
            <w:r w:rsidRPr="00372738">
              <w:rPr>
                <w:bCs/>
                <w:sz w:val="24"/>
                <w:szCs w:val="24"/>
              </w:rPr>
              <w:lastRenderedPageBreak/>
              <w:t xml:space="preserve">plošnou, veřejně přístupnou výpověď o činnosti kolektivizované, socialistické projekční instituce po 2. sv. v. </w:t>
            </w:r>
            <w:r w:rsidRPr="00372738">
              <w:rPr>
                <w:b/>
                <w:bCs/>
                <w:sz w:val="24"/>
                <w:szCs w:val="24"/>
              </w:rPr>
              <w:t>Databáze nabídne možnost studia nejen v českém jazyce, ale v redukované formě (uživatelské rozhraní a částečné překlady) i v angličtině a zprostředkuje tak poznatky zahraniční odborné komunitě a konfrontuje je s děním v zahraničí.</w:t>
            </w:r>
          </w:p>
          <w:p w:rsidR="00372738" w:rsidRPr="00372738" w:rsidRDefault="00372738" w:rsidP="00665795">
            <w:pPr>
              <w:pStyle w:val="Zkladntextodsazen1"/>
              <w:spacing w:before="60" w:after="0" w:line="276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372738">
              <w:rPr>
                <w:bCs/>
                <w:sz w:val="24"/>
                <w:szCs w:val="24"/>
              </w:rPr>
              <w:t xml:space="preserve">Garanti: Petr Vorlík, Jan Zikmund, Klára Ullmannová, Lucia </w:t>
            </w:r>
            <w:proofErr w:type="spellStart"/>
            <w:r w:rsidRPr="00372738">
              <w:rPr>
                <w:bCs/>
                <w:sz w:val="24"/>
                <w:szCs w:val="24"/>
              </w:rPr>
              <w:t>Mlynčeková</w:t>
            </w:r>
            <w:proofErr w:type="spellEnd"/>
            <w:r w:rsidRPr="00372738">
              <w:rPr>
                <w:bCs/>
                <w:sz w:val="24"/>
                <w:szCs w:val="24"/>
              </w:rPr>
              <w:t>, Šárka Steinová.</w:t>
            </w:r>
          </w:p>
        </w:tc>
      </w:tr>
      <w:tr w:rsidR="00372738" w:rsidRPr="00372738" w:rsidTr="00665795">
        <w:tc>
          <w:tcPr>
            <w:tcW w:w="5465" w:type="dxa"/>
            <w:shd w:val="clear" w:color="auto" w:fill="E6E6E6"/>
          </w:tcPr>
          <w:p w:rsidR="00372738" w:rsidRPr="00372738" w:rsidRDefault="00372738" w:rsidP="00665795">
            <w:pPr>
              <w:pStyle w:val="Zkladntextodsazen1"/>
              <w:spacing w:before="60" w:after="0"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372738">
              <w:rPr>
                <w:sz w:val="24"/>
                <w:szCs w:val="24"/>
              </w:rPr>
              <w:lastRenderedPageBreak/>
              <w:t>předpokládaný rok uplatnění aplikačního výsledku</w:t>
            </w:r>
            <w:r w:rsidRPr="0037273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59" w:type="dxa"/>
          </w:tcPr>
          <w:p w:rsidR="00372738" w:rsidRPr="00372738" w:rsidRDefault="00372738" w:rsidP="00665795">
            <w:pPr>
              <w:pStyle w:val="Zkladntextodsazen1"/>
              <w:spacing w:before="60" w:after="0" w:line="276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372738">
              <w:rPr>
                <w:b/>
                <w:bCs/>
                <w:sz w:val="24"/>
                <w:szCs w:val="24"/>
              </w:rPr>
              <w:t>2026</w:t>
            </w:r>
          </w:p>
        </w:tc>
      </w:tr>
      <w:tr w:rsidR="00372738" w:rsidRPr="00372738" w:rsidTr="00665795">
        <w:tc>
          <w:tcPr>
            <w:tcW w:w="5465" w:type="dxa"/>
            <w:shd w:val="clear" w:color="auto" w:fill="E6E6E6"/>
          </w:tcPr>
          <w:p w:rsidR="00372738" w:rsidRPr="00372738" w:rsidRDefault="00372738" w:rsidP="00665795">
            <w:pPr>
              <w:pStyle w:val="Zkladntextodsazen1"/>
              <w:spacing w:before="60" w:after="0" w:line="276" w:lineRule="auto"/>
              <w:ind w:left="0"/>
              <w:jc w:val="both"/>
              <w:rPr>
                <w:bCs/>
                <w:i/>
                <w:sz w:val="24"/>
                <w:szCs w:val="24"/>
              </w:rPr>
            </w:pPr>
            <w:r w:rsidRPr="00372738">
              <w:rPr>
                <w:bCs/>
                <w:sz w:val="24"/>
                <w:szCs w:val="24"/>
              </w:rPr>
              <w:t xml:space="preserve">předpokládaní </w:t>
            </w:r>
            <w:r w:rsidRPr="00372738">
              <w:rPr>
                <w:sz w:val="24"/>
                <w:szCs w:val="24"/>
              </w:rPr>
              <w:t>budoucí uživatelé aplikačního výsledku (nelze uvést obecně např. odborná veřejnost)</w:t>
            </w:r>
          </w:p>
        </w:tc>
        <w:tc>
          <w:tcPr>
            <w:tcW w:w="3559" w:type="dxa"/>
          </w:tcPr>
          <w:p w:rsidR="00372738" w:rsidRPr="00372738" w:rsidRDefault="00372738" w:rsidP="00665795">
            <w:pPr>
              <w:pStyle w:val="Zkladntextodsazen1"/>
              <w:spacing w:before="60" w:after="0" w:line="276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372738">
              <w:rPr>
                <w:sz w:val="24"/>
                <w:szCs w:val="24"/>
              </w:rPr>
              <w:t xml:space="preserve">Bude sloužit pro plošné vyhodnocování českého architektonického dědictví převážně z let 1948–1953. Předpokládanými cílovým uživateli budou zejména odborníci z řad historiků, památkářů a historiků architektury a umění (Národní památkový ústav – viz </w:t>
            </w:r>
            <w:proofErr w:type="spellStart"/>
            <w:r w:rsidRPr="00372738">
              <w:rPr>
                <w:sz w:val="24"/>
                <w:szCs w:val="24"/>
              </w:rPr>
              <w:t>letter</w:t>
            </w:r>
            <w:proofErr w:type="spellEnd"/>
            <w:r w:rsidRPr="00372738">
              <w:rPr>
                <w:sz w:val="24"/>
                <w:szCs w:val="24"/>
              </w:rPr>
              <w:t xml:space="preserve"> </w:t>
            </w:r>
            <w:proofErr w:type="spellStart"/>
            <w:r w:rsidRPr="00372738">
              <w:rPr>
                <w:sz w:val="24"/>
                <w:szCs w:val="24"/>
              </w:rPr>
              <w:t>of</w:t>
            </w:r>
            <w:proofErr w:type="spellEnd"/>
            <w:r w:rsidRPr="00372738">
              <w:rPr>
                <w:sz w:val="24"/>
                <w:szCs w:val="24"/>
              </w:rPr>
              <w:t xml:space="preserve"> </w:t>
            </w:r>
            <w:proofErr w:type="spellStart"/>
            <w:r w:rsidRPr="00372738">
              <w:rPr>
                <w:sz w:val="24"/>
                <w:szCs w:val="24"/>
              </w:rPr>
              <w:t>interest</w:t>
            </w:r>
            <w:proofErr w:type="spellEnd"/>
            <w:r w:rsidRPr="00372738">
              <w:rPr>
                <w:sz w:val="24"/>
                <w:szCs w:val="24"/>
              </w:rPr>
              <w:t xml:space="preserve"> v Příloze 09, Akademie věd – viz </w:t>
            </w:r>
            <w:proofErr w:type="spellStart"/>
            <w:r w:rsidRPr="00372738">
              <w:rPr>
                <w:sz w:val="24"/>
                <w:szCs w:val="24"/>
              </w:rPr>
              <w:t>letter</w:t>
            </w:r>
            <w:proofErr w:type="spellEnd"/>
            <w:r w:rsidRPr="00372738">
              <w:rPr>
                <w:sz w:val="24"/>
                <w:szCs w:val="24"/>
              </w:rPr>
              <w:t xml:space="preserve"> </w:t>
            </w:r>
            <w:proofErr w:type="spellStart"/>
            <w:r w:rsidRPr="00372738">
              <w:rPr>
                <w:sz w:val="24"/>
                <w:szCs w:val="24"/>
              </w:rPr>
              <w:t>of</w:t>
            </w:r>
            <w:proofErr w:type="spellEnd"/>
            <w:r w:rsidRPr="00372738">
              <w:rPr>
                <w:sz w:val="24"/>
                <w:szCs w:val="24"/>
              </w:rPr>
              <w:t xml:space="preserve"> </w:t>
            </w:r>
            <w:proofErr w:type="spellStart"/>
            <w:r w:rsidRPr="00372738">
              <w:rPr>
                <w:sz w:val="24"/>
                <w:szCs w:val="24"/>
              </w:rPr>
              <w:t>interest</w:t>
            </w:r>
            <w:proofErr w:type="spellEnd"/>
            <w:r w:rsidRPr="00372738">
              <w:rPr>
                <w:sz w:val="24"/>
                <w:szCs w:val="24"/>
              </w:rPr>
              <w:t xml:space="preserve"> v Příloze 09, ČVUT, UK, mezinárodní odborná komunita ad.), instituce státní správy (rozhodovací procesy) a v neposlední řadě nezávislí badatelé, studenti vysokých škol, média a laická veřejnost.</w:t>
            </w:r>
          </w:p>
        </w:tc>
      </w:tr>
    </w:tbl>
    <w:p w:rsidR="00372738" w:rsidRPr="00372738" w:rsidRDefault="00372738" w:rsidP="00372738">
      <w:pPr>
        <w:spacing w:line="288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72738" w:rsidRPr="00372738" w:rsidRDefault="00372738" w:rsidP="00372738">
      <w:pPr>
        <w:spacing w:line="288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72738" w:rsidRPr="00372738" w:rsidRDefault="00372738" w:rsidP="00372738">
      <w:pPr>
        <w:pStyle w:val="Zkladntext31"/>
        <w:keepNext/>
        <w:numPr>
          <w:ilvl w:val="0"/>
          <w:numId w:val="4"/>
        </w:numPr>
        <w:spacing w:before="60" w:line="276" w:lineRule="auto"/>
        <w:rPr>
          <w:bCs/>
          <w:sz w:val="24"/>
          <w:szCs w:val="24"/>
        </w:rPr>
      </w:pPr>
      <w:r w:rsidRPr="00372738">
        <w:rPr>
          <w:b/>
          <w:bCs/>
          <w:sz w:val="24"/>
          <w:szCs w:val="24"/>
        </w:rPr>
        <w:t xml:space="preserve">Vstupy – vybavenost pracovišť </w:t>
      </w:r>
      <w:r w:rsidRPr="00372738">
        <w:rPr>
          <w:b/>
          <w:bCs/>
          <w:iCs/>
          <w:sz w:val="24"/>
          <w:szCs w:val="24"/>
        </w:rPr>
        <w:t>– úprava v Dodatku 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2"/>
      </w:tblGrid>
      <w:tr w:rsidR="00372738" w:rsidRPr="00372738" w:rsidTr="00665795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738" w:rsidRPr="00372738" w:rsidRDefault="00372738" w:rsidP="00665795">
            <w:pPr>
              <w:pStyle w:val="Zkladntext3"/>
              <w:spacing w:before="60" w:after="0" w:line="276" w:lineRule="auto"/>
              <w:rPr>
                <w:noProof/>
                <w:sz w:val="24"/>
                <w:szCs w:val="24"/>
              </w:rPr>
            </w:pPr>
            <w:r w:rsidRPr="00372738">
              <w:rPr>
                <w:noProof/>
                <w:sz w:val="24"/>
                <w:szCs w:val="24"/>
              </w:rPr>
              <w:t>Řešitelské pracoviště (ú15113) je vybaveno standardním zařízením pro pedagogickou činnost a velmi úsporný výzkum (stolní pc, tiskárny). Díky předchozímu projektu NAKI II se podařilo pracoviště před 5 lety částečně dovybavit i pro podrobnější výzkumné činnosti (notebooky, scannery, fotoaparáty, přenosné HDD), toto zařízení však mezitím zestárlo za hranu životnosti a pro nový projekt je nutné jej zásadně inovovat. Bonusem je rovněž přibližně před 15 lety pořízený a dosud funkční velkoplošný scanner v archivu ČVUT.</w:t>
            </w:r>
          </w:p>
          <w:p w:rsidR="00372738" w:rsidRPr="00372738" w:rsidRDefault="00372738" w:rsidP="00665795">
            <w:pPr>
              <w:pStyle w:val="Zkladntext3"/>
              <w:spacing w:before="60" w:after="0" w:line="276" w:lineRule="auto"/>
              <w:rPr>
                <w:noProof/>
                <w:sz w:val="24"/>
                <w:szCs w:val="24"/>
              </w:rPr>
            </w:pPr>
            <w:r w:rsidRPr="00372738">
              <w:rPr>
                <w:noProof/>
                <w:sz w:val="24"/>
                <w:szCs w:val="24"/>
              </w:rPr>
              <w:lastRenderedPageBreak/>
              <w:t>Rozšíření řešitelského kolektivu a dlouhodobá udržitelnost pracovního prostředí ale nezbytně vyžadují další vybavení (opět standardní středně výkonné notebooky, scannery, fotoaparáty, externí HDD), převážně pro práci v archivu, v terénu při studiu staveb in-situ a v neposlední řadě i při sycení databáze a přípravě publikací (nejenom textů, ale i při zpracování rozsáhlého obrazového materiálu).</w:t>
            </w:r>
          </w:p>
          <w:p w:rsidR="00372738" w:rsidRPr="00372738" w:rsidRDefault="00372738" w:rsidP="00665795">
            <w:pPr>
              <w:pStyle w:val="Zkladntext3"/>
              <w:spacing w:before="60" w:after="0" w:line="276" w:lineRule="auto"/>
              <w:rPr>
                <w:b/>
                <w:noProof/>
                <w:color w:val="FF0000"/>
                <w:sz w:val="24"/>
                <w:szCs w:val="24"/>
              </w:rPr>
            </w:pPr>
            <w:r w:rsidRPr="00372738">
              <w:rPr>
                <w:noProof/>
                <w:sz w:val="24"/>
                <w:szCs w:val="24"/>
              </w:rPr>
              <w:t xml:space="preserve">Pro archivaci a metodickou organizaci práce bude nutno zřídit nový databázový systém, který však může částečně koncepčně navázat na zkušenosti s realizací podobných systémů (interaktivní specializované mapy </w:t>
            </w:r>
            <w:r w:rsidRPr="00372738">
              <w:rPr>
                <w:i/>
                <w:noProof/>
                <w:sz w:val="24"/>
                <w:szCs w:val="24"/>
              </w:rPr>
              <w:t>Industriální topografie ČR</w:t>
            </w:r>
            <w:r w:rsidRPr="00372738">
              <w:rPr>
                <w:noProof/>
                <w:sz w:val="24"/>
                <w:szCs w:val="24"/>
              </w:rPr>
              <w:t xml:space="preserve">, </w:t>
            </w:r>
            <w:r w:rsidRPr="00372738">
              <w:rPr>
                <w:i/>
                <w:noProof/>
                <w:sz w:val="24"/>
                <w:szCs w:val="24"/>
              </w:rPr>
              <w:t>Architektura osmdesátých let</w:t>
            </w:r>
            <w:r w:rsidRPr="00372738">
              <w:rPr>
                <w:noProof/>
                <w:sz w:val="24"/>
                <w:szCs w:val="24"/>
              </w:rPr>
              <w:t xml:space="preserve">), ovšem samozřejmě s nevyhnutelným vznikem zcela nové softwarové infrastruktury, protože kořeny starších systémů pochází z let 2002, resp. 2012 a 2018. </w:t>
            </w:r>
            <w:r w:rsidRPr="00372738">
              <w:rPr>
                <w:b/>
                <w:noProof/>
                <w:sz w:val="24"/>
                <w:szCs w:val="24"/>
              </w:rPr>
              <w:t>Vznik nové backendové databáze v rámci NAKI III však zároveň ovlivní funkčnost zastaralých backendů databází, na nichž jsou vystavěny specializované mapy projektů NAKI I a NAKI II (DG18P02OVV013, DG16P02H001, DF11P01OVV016). Budoucí udržování stávajících systémů a nového systému zároveň, tj. se zcela odlišnými technickými a uživatelskými parametry, je velmi komplikované, neefektivní a z dlouhodobého pohledu neudržitelné. Optimální variantou je po realizaci nového systému převedení stávajících dat z backendu minulých projektů do backendu nového projektu a úprava frontendů stávajících projektů na nové parametry - bez změny ministerstvem schválené nebo certifikované grafiky, funkčnosti a obsahu, pouze s novým, technicky aktuálním systémem správy dat v pozadí. Projekt zároveň usiluje o zprovoznění specializované databáze nejenom v češtině, ale v redukované formě i v anglické verzi (ovládání a částečný překlad), aby výsledky byly zpřístupněny i zahraniční odborné komunitě a byly konfrontovány se zahraničními poznatky a paralelním dobovým dění v zahraničí. Úprava bude vyžadovat i další náklady na grafické dopracování vzhledu.</w:t>
            </w:r>
          </w:p>
          <w:p w:rsidR="00372738" w:rsidRPr="00372738" w:rsidRDefault="00372738" w:rsidP="00665795">
            <w:pPr>
              <w:pStyle w:val="Zkladntext3"/>
              <w:spacing w:before="60" w:after="0" w:line="276" w:lineRule="auto"/>
              <w:rPr>
                <w:sz w:val="24"/>
                <w:szCs w:val="24"/>
              </w:rPr>
            </w:pPr>
            <w:r w:rsidRPr="00372738">
              <w:rPr>
                <w:noProof/>
                <w:sz w:val="24"/>
                <w:szCs w:val="24"/>
              </w:rPr>
              <w:t>Klíčovou roli sehrává v projektu spolupráce s Národním archivem (budoucí přístupnost fondu schválena v přiloženém dokumentu – viz Příloha 08). Při plošném průzkumu budou řešitelé a spolupracovníci ale také výhodně zhodnocovat již navázané kontakty a spolupráce v regionech (regionální pracoviště archivů a Národního památkového ústavu). Cenným zdrojem informací bude rovněž archiv ČVUT (absolventi) a dlouhodobě budovaný fond knihovny ústavu 15113 (již mnoho let důsledně utvářený a doplňovaný tématy tuzemské i zahraniční poválečné architektury a obecných dějin, zatím však se značnými mezerami pro období let čtyřicátých a padesátých).</w:t>
            </w:r>
          </w:p>
        </w:tc>
      </w:tr>
    </w:tbl>
    <w:p w:rsidR="004D74CF" w:rsidRPr="00C46931" w:rsidRDefault="004D74CF" w:rsidP="004D74CF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2908F8" w:rsidRDefault="002908F8" w:rsidP="004D74CF">
      <w:p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2908F8" w:rsidRPr="00C46931" w:rsidRDefault="002908F8" w:rsidP="002908F8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46931">
        <w:rPr>
          <w:rFonts w:ascii="Times New Roman" w:eastAsia="Times New Roman" w:hAnsi="Times New Roman"/>
          <w:b/>
          <w:sz w:val="24"/>
          <w:szCs w:val="24"/>
          <w:lang w:eastAsia="cs-CZ"/>
        </w:rPr>
        <w:t>Čl. III.</w:t>
      </w:r>
    </w:p>
    <w:p w:rsidR="002908F8" w:rsidRPr="00C46931" w:rsidRDefault="002908F8" w:rsidP="002908F8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2908F8" w:rsidRDefault="002908F8" w:rsidP="002908F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cs-CZ"/>
        </w:rPr>
      </w:pPr>
      <w:r w:rsidRPr="00C46931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se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dále </w:t>
      </w:r>
      <w:r w:rsidRPr="00C46931">
        <w:rPr>
          <w:rFonts w:ascii="Times New Roman" w:eastAsia="Times New Roman" w:hAnsi="Times New Roman"/>
          <w:sz w:val="24"/>
          <w:szCs w:val="24"/>
          <w:lang w:eastAsia="cs-CZ"/>
        </w:rPr>
        <w:t xml:space="preserve">dohodly na změně smlouvy, </w:t>
      </w:r>
      <w:r w:rsidRPr="00C46931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</w:t>
      </w:r>
      <w:r w:rsidRPr="00C46931">
        <w:rPr>
          <w:rFonts w:ascii="Times New Roman" w:hAnsi="Times New Roman"/>
          <w:sz w:val="24"/>
          <w:szCs w:val="24"/>
          <w:u w:val="single"/>
          <w:lang w:eastAsia="cs-CZ"/>
        </w:rPr>
        <w:t>říloha č. 2</w:t>
      </w:r>
      <w:r w:rsidRPr="00C46931">
        <w:rPr>
          <w:rFonts w:ascii="Times New Roman" w:hAnsi="Times New Roman"/>
          <w:sz w:val="24"/>
          <w:szCs w:val="24"/>
          <w:lang w:eastAsia="cs-CZ"/>
        </w:rPr>
        <w:t xml:space="preserve"> – Rozpočet projektu</w:t>
      </w:r>
      <w:r w:rsidR="00001969">
        <w:rPr>
          <w:rFonts w:ascii="Times New Roman" w:hAnsi="Times New Roman"/>
          <w:sz w:val="24"/>
          <w:szCs w:val="24"/>
          <w:lang w:eastAsia="cs-CZ"/>
        </w:rPr>
        <w:t>.</w:t>
      </w:r>
      <w:bookmarkStart w:id="2" w:name="_GoBack"/>
      <w:bookmarkEnd w:id="2"/>
    </w:p>
    <w:p w:rsidR="002908F8" w:rsidRDefault="002908F8" w:rsidP="002908F8">
      <w:p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2908F8" w:rsidRDefault="002908F8" w:rsidP="004D74CF">
      <w:p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4D74CF" w:rsidRPr="00C46931" w:rsidRDefault="004D74CF" w:rsidP="004D74CF">
      <w:p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C46931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Přehled změn v Příloze č. 2 – Rozpočet projektu </w:t>
      </w:r>
    </w:p>
    <w:p w:rsidR="004D74CF" w:rsidRPr="00C46931" w:rsidRDefault="004D74CF" w:rsidP="004D74CF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4D74CF" w:rsidRPr="00C46931" w:rsidRDefault="004D74CF" w:rsidP="004D74C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Příjemce</w:t>
      </w:r>
      <w:r w:rsidRPr="00C46931">
        <w:rPr>
          <w:rFonts w:ascii="Times New Roman" w:hAnsi="Times New Roman"/>
          <w:sz w:val="24"/>
          <w:szCs w:val="24"/>
          <w:u w:val="single"/>
          <w:lang w:eastAsia="cs-CZ"/>
        </w:rPr>
        <w:t xml:space="preserve">: 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>České vysoké učení technické v Praze</w:t>
      </w:r>
    </w:p>
    <w:p w:rsidR="004D74CF" w:rsidRPr="00C46931" w:rsidRDefault="004D74CF" w:rsidP="004D74CF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4D74CF" w:rsidRPr="002908F8" w:rsidRDefault="002908F8" w:rsidP="002908F8">
      <w:pPr>
        <w:pStyle w:val="Bezmez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  </w:t>
      </w:r>
      <w:r w:rsidR="004D74CF" w:rsidRPr="002908F8">
        <w:rPr>
          <w:rFonts w:ascii="Times New Roman" w:hAnsi="Times New Roman"/>
          <w:b/>
          <w:sz w:val="24"/>
          <w:szCs w:val="24"/>
          <w:lang w:eastAsia="cs-CZ"/>
        </w:rPr>
        <w:t xml:space="preserve">D </w:t>
      </w:r>
      <w:r w:rsidR="004D74CF" w:rsidRPr="002908F8">
        <w:rPr>
          <w:rFonts w:ascii="Times New Roman" w:hAnsi="Times New Roman"/>
          <w:b/>
          <w:sz w:val="24"/>
          <w:szCs w:val="24"/>
          <w:lang w:eastAsia="cs-CZ"/>
        </w:rPr>
        <w:tab/>
        <w:t>Náklady nebo výdaje na služby – rok</w:t>
      </w:r>
      <w:r w:rsidRPr="002908F8">
        <w:rPr>
          <w:rFonts w:ascii="Times New Roman" w:hAnsi="Times New Roman"/>
          <w:b/>
          <w:sz w:val="24"/>
          <w:szCs w:val="24"/>
          <w:lang w:eastAsia="cs-CZ"/>
        </w:rPr>
        <w:t>y</w:t>
      </w:r>
      <w:r w:rsidR="004D74CF" w:rsidRPr="002908F8">
        <w:rPr>
          <w:rFonts w:ascii="Times New Roman" w:hAnsi="Times New Roman"/>
          <w:b/>
          <w:sz w:val="24"/>
          <w:szCs w:val="24"/>
          <w:lang w:eastAsia="cs-CZ"/>
        </w:rPr>
        <w:t xml:space="preserve"> řešení 2023</w:t>
      </w:r>
      <w:r w:rsidR="008B02FE" w:rsidRPr="002908F8">
        <w:rPr>
          <w:rFonts w:ascii="Times New Roman" w:hAnsi="Times New Roman"/>
          <w:b/>
          <w:sz w:val="24"/>
          <w:szCs w:val="24"/>
          <w:lang w:eastAsia="cs-CZ"/>
        </w:rPr>
        <w:t>-2027</w:t>
      </w:r>
    </w:p>
    <w:p w:rsidR="002908F8" w:rsidRDefault="002908F8" w:rsidP="002908F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:rsidR="002908F8" w:rsidRDefault="002908F8" w:rsidP="002908F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:rsidR="002908F8" w:rsidRDefault="002908F8" w:rsidP="002908F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:rsidR="002908F8" w:rsidRPr="00F77E91" w:rsidRDefault="002908F8" w:rsidP="00F77E91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908F8" w:rsidRDefault="002908F8" w:rsidP="00F77E91">
      <w:pPr>
        <w:pStyle w:val="Bezmezer"/>
        <w:jc w:val="both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F77E91">
        <w:rPr>
          <w:rFonts w:ascii="Times New Roman" w:hAnsi="Times New Roman"/>
          <w:b/>
          <w:sz w:val="24"/>
          <w:szCs w:val="24"/>
          <w:u w:val="single"/>
          <w:lang w:eastAsia="cs-CZ"/>
        </w:rPr>
        <w:t>Zdůvodnění:</w:t>
      </w:r>
    </w:p>
    <w:p w:rsidR="00CF57DC" w:rsidRPr="0041689D" w:rsidRDefault="000B03DE" w:rsidP="0041689D">
      <w:pPr>
        <w:pStyle w:val="Bezmezer"/>
        <w:jc w:val="both"/>
        <w:rPr>
          <w:rFonts w:ascii="Times New Roman" w:hAnsi="Times New Roman"/>
          <w:i/>
          <w:sz w:val="24"/>
          <w:szCs w:val="24"/>
        </w:rPr>
      </w:pPr>
      <w:r w:rsidRPr="0041689D">
        <w:rPr>
          <w:rFonts w:ascii="Times New Roman" w:hAnsi="Times New Roman"/>
          <w:sz w:val="24"/>
          <w:szCs w:val="24"/>
        </w:rPr>
        <w:t xml:space="preserve">V rámci veřejné zakázky podlimitní, kterou vypsalo České vysoké učení technické v Praze pod názvem „Specializovaná databáze staveb a tvůrců </w:t>
      </w:r>
      <w:proofErr w:type="spellStart"/>
      <w:r w:rsidRPr="0041689D">
        <w:rPr>
          <w:rFonts w:ascii="Times New Roman" w:hAnsi="Times New Roman"/>
          <w:sz w:val="24"/>
          <w:szCs w:val="24"/>
        </w:rPr>
        <w:t>Stavoprojektu</w:t>
      </w:r>
      <w:proofErr w:type="spellEnd"/>
      <w:r w:rsidRPr="0041689D">
        <w:rPr>
          <w:rFonts w:ascii="Times New Roman" w:hAnsi="Times New Roman"/>
          <w:sz w:val="24"/>
          <w:szCs w:val="24"/>
        </w:rPr>
        <w:t xml:space="preserve">“, uveřejněné na </w:t>
      </w:r>
      <w:proofErr w:type="spellStart"/>
      <w:r w:rsidRPr="0041689D">
        <w:rPr>
          <w:rFonts w:ascii="Times New Roman" w:hAnsi="Times New Roman"/>
          <w:sz w:val="24"/>
          <w:szCs w:val="24"/>
        </w:rPr>
        <w:t>Tenderareně</w:t>
      </w:r>
      <w:proofErr w:type="spellEnd"/>
      <w:r w:rsidRPr="0041689D">
        <w:rPr>
          <w:rFonts w:ascii="Times New Roman" w:hAnsi="Times New Roman"/>
          <w:sz w:val="24"/>
          <w:szCs w:val="24"/>
        </w:rPr>
        <w:t xml:space="preserve"> pod ID VZ0165609, byla </w:t>
      </w:r>
      <w:proofErr w:type="spellStart"/>
      <w:r w:rsidRPr="0041689D">
        <w:rPr>
          <w:rFonts w:ascii="Times New Roman" w:hAnsi="Times New Roman"/>
          <w:sz w:val="24"/>
          <w:szCs w:val="24"/>
        </w:rPr>
        <w:t>vysoutěžena</w:t>
      </w:r>
      <w:proofErr w:type="spellEnd"/>
      <w:r w:rsidRPr="0041689D">
        <w:rPr>
          <w:rFonts w:ascii="Times New Roman" w:hAnsi="Times New Roman"/>
          <w:sz w:val="24"/>
          <w:szCs w:val="24"/>
        </w:rPr>
        <w:t xml:space="preserve"> výrazně nižší cena než původně plánovaná. Uspořené finanční prostředky </w:t>
      </w:r>
      <w:r w:rsidR="00F77E91" w:rsidRPr="0041689D">
        <w:rPr>
          <w:rFonts w:ascii="Times New Roman" w:hAnsi="Times New Roman"/>
          <w:sz w:val="24"/>
          <w:szCs w:val="24"/>
        </w:rPr>
        <w:t xml:space="preserve">v rámci položky </w:t>
      </w:r>
      <w:proofErr w:type="gramStart"/>
      <w:r w:rsidR="00F77E91" w:rsidRPr="0041689D">
        <w:rPr>
          <w:rFonts w:ascii="Times New Roman" w:hAnsi="Times New Roman"/>
          <w:sz w:val="24"/>
          <w:szCs w:val="24"/>
        </w:rPr>
        <w:t>rozpočtu  „</w:t>
      </w:r>
      <w:proofErr w:type="gramEnd"/>
      <w:r w:rsidR="00F77E91" w:rsidRPr="0041689D">
        <w:rPr>
          <w:rFonts w:ascii="Times New Roman" w:hAnsi="Times New Roman"/>
          <w:sz w:val="24"/>
          <w:szCs w:val="24"/>
        </w:rPr>
        <w:t xml:space="preserve">Databáze“ budou přesunuty do nově vytvořených nákladových položek v rámci kapitoly D rozpočtu  a </w:t>
      </w:r>
      <w:r w:rsidRPr="0041689D">
        <w:rPr>
          <w:rFonts w:ascii="Times New Roman" w:hAnsi="Times New Roman"/>
          <w:sz w:val="24"/>
          <w:szCs w:val="24"/>
        </w:rPr>
        <w:t>budou použity na zkvalitnění výsledku druhu S, kter</w:t>
      </w:r>
      <w:r w:rsidR="004D1645" w:rsidRPr="0041689D">
        <w:rPr>
          <w:rFonts w:ascii="Times New Roman" w:hAnsi="Times New Roman"/>
          <w:sz w:val="24"/>
          <w:szCs w:val="24"/>
        </w:rPr>
        <w:t xml:space="preserve">ý </w:t>
      </w:r>
      <w:r w:rsidRPr="0041689D">
        <w:rPr>
          <w:rFonts w:ascii="Times New Roman" w:hAnsi="Times New Roman"/>
          <w:sz w:val="24"/>
          <w:szCs w:val="24"/>
        </w:rPr>
        <w:t>významně posunou jak v měřítku internacionálním</w:t>
      </w:r>
      <w:r w:rsidR="008B02FE" w:rsidRPr="0041689D">
        <w:rPr>
          <w:rFonts w:ascii="Times New Roman" w:hAnsi="Times New Roman"/>
          <w:sz w:val="24"/>
          <w:szCs w:val="24"/>
        </w:rPr>
        <w:t xml:space="preserve"> tak </w:t>
      </w:r>
      <w:r w:rsidR="004D1645" w:rsidRPr="0041689D">
        <w:rPr>
          <w:rFonts w:ascii="Times New Roman" w:hAnsi="Times New Roman"/>
          <w:sz w:val="24"/>
          <w:szCs w:val="24"/>
        </w:rPr>
        <w:t xml:space="preserve">jej </w:t>
      </w:r>
      <w:r w:rsidR="008B02FE" w:rsidRPr="0041689D">
        <w:rPr>
          <w:rFonts w:ascii="Times New Roman" w:hAnsi="Times New Roman"/>
          <w:sz w:val="24"/>
          <w:szCs w:val="24"/>
        </w:rPr>
        <w:t xml:space="preserve">současně </w:t>
      </w:r>
      <w:r w:rsidR="004D1645" w:rsidRPr="0041689D">
        <w:rPr>
          <w:rFonts w:ascii="Times New Roman" w:hAnsi="Times New Roman"/>
          <w:sz w:val="24"/>
          <w:szCs w:val="24"/>
        </w:rPr>
        <w:t xml:space="preserve">napojí na výsledky </w:t>
      </w:r>
      <w:r w:rsidRPr="0041689D">
        <w:rPr>
          <w:rFonts w:ascii="Times New Roman" w:hAnsi="Times New Roman"/>
          <w:sz w:val="24"/>
          <w:szCs w:val="24"/>
        </w:rPr>
        <w:t>projektů realizovaných v </w:t>
      </w:r>
      <w:r w:rsidR="008B02FE" w:rsidRPr="0041689D">
        <w:rPr>
          <w:rFonts w:ascii="Times New Roman" w:hAnsi="Times New Roman"/>
          <w:sz w:val="24"/>
          <w:szCs w:val="24"/>
        </w:rPr>
        <w:t>s</w:t>
      </w:r>
      <w:r w:rsidRPr="0041689D">
        <w:rPr>
          <w:rFonts w:ascii="Times New Roman" w:hAnsi="Times New Roman"/>
          <w:sz w:val="24"/>
          <w:szCs w:val="24"/>
        </w:rPr>
        <w:t xml:space="preserve">outěžích NAKI II (VS 2011, VS 2016, VS 2018). </w:t>
      </w:r>
      <w:r w:rsidR="00385A5E" w:rsidRPr="0041689D">
        <w:rPr>
          <w:rFonts w:ascii="Times New Roman" w:hAnsi="Times New Roman"/>
          <w:sz w:val="24"/>
          <w:szCs w:val="24"/>
        </w:rPr>
        <w:t xml:space="preserve"> </w:t>
      </w:r>
      <w:r w:rsidR="00F77E91" w:rsidRPr="0041689D">
        <w:rPr>
          <w:rFonts w:ascii="Times New Roman" w:hAnsi="Times New Roman"/>
          <w:sz w:val="24"/>
          <w:szCs w:val="24"/>
        </w:rPr>
        <w:t>Nově vytvořen</w:t>
      </w:r>
      <w:r w:rsidR="00915AF3" w:rsidRPr="0041689D">
        <w:rPr>
          <w:rFonts w:ascii="Times New Roman" w:hAnsi="Times New Roman"/>
          <w:sz w:val="24"/>
          <w:szCs w:val="24"/>
        </w:rPr>
        <w:t>á</w:t>
      </w:r>
      <w:r w:rsidR="00F77E91" w:rsidRPr="0041689D">
        <w:rPr>
          <w:rFonts w:ascii="Times New Roman" w:hAnsi="Times New Roman"/>
          <w:sz w:val="24"/>
          <w:szCs w:val="24"/>
        </w:rPr>
        <w:t xml:space="preserve"> položk</w:t>
      </w:r>
      <w:r w:rsidR="00915AF3" w:rsidRPr="0041689D">
        <w:rPr>
          <w:rFonts w:ascii="Times New Roman" w:hAnsi="Times New Roman"/>
          <w:sz w:val="24"/>
          <w:szCs w:val="24"/>
        </w:rPr>
        <w:t>a</w:t>
      </w:r>
      <w:r w:rsidR="00F77E91" w:rsidRPr="0041689D">
        <w:rPr>
          <w:rFonts w:ascii="Times New Roman" w:hAnsi="Times New Roman"/>
          <w:sz w:val="24"/>
          <w:szCs w:val="24"/>
        </w:rPr>
        <w:t xml:space="preserve"> - </w:t>
      </w:r>
      <w:r w:rsidR="00385A5E" w:rsidRPr="0041689D">
        <w:rPr>
          <w:rFonts w:ascii="Times New Roman" w:hAnsi="Times New Roman"/>
          <w:sz w:val="24"/>
          <w:szCs w:val="24"/>
        </w:rPr>
        <w:t>příprav</w:t>
      </w:r>
      <w:r w:rsidR="00F77E91" w:rsidRPr="0041689D">
        <w:rPr>
          <w:rFonts w:ascii="Times New Roman" w:hAnsi="Times New Roman"/>
          <w:sz w:val="24"/>
          <w:szCs w:val="24"/>
        </w:rPr>
        <w:t>a</w:t>
      </w:r>
      <w:r w:rsidR="002908F8" w:rsidRPr="0041689D">
        <w:rPr>
          <w:rFonts w:ascii="Times New Roman" w:hAnsi="Times New Roman"/>
          <w:sz w:val="24"/>
          <w:szCs w:val="24"/>
        </w:rPr>
        <w:t xml:space="preserve"> na dvojjazyčnou verzi </w:t>
      </w:r>
      <w:proofErr w:type="gramStart"/>
      <w:r w:rsidR="002908F8" w:rsidRPr="0041689D">
        <w:rPr>
          <w:rFonts w:ascii="Times New Roman" w:hAnsi="Times New Roman"/>
          <w:sz w:val="24"/>
          <w:szCs w:val="24"/>
        </w:rPr>
        <w:t>databáze</w:t>
      </w:r>
      <w:r w:rsidR="00915AF3" w:rsidRPr="0041689D">
        <w:rPr>
          <w:rFonts w:ascii="Times New Roman" w:hAnsi="Times New Roman"/>
          <w:sz w:val="24"/>
          <w:szCs w:val="24"/>
        </w:rPr>
        <w:t xml:space="preserve"> </w:t>
      </w:r>
      <w:r w:rsidR="004D1645" w:rsidRPr="0041689D">
        <w:rPr>
          <w:rFonts w:ascii="Times New Roman" w:hAnsi="Times New Roman"/>
          <w:sz w:val="24"/>
          <w:szCs w:val="24"/>
        </w:rPr>
        <w:t xml:space="preserve"> tak</w:t>
      </w:r>
      <w:proofErr w:type="gramEnd"/>
      <w:r w:rsidR="005836A6" w:rsidRPr="0041689D">
        <w:rPr>
          <w:rFonts w:ascii="Times New Roman" w:hAnsi="Times New Roman"/>
          <w:sz w:val="24"/>
          <w:szCs w:val="24"/>
        </w:rPr>
        <w:t xml:space="preserve"> nabídne možnost studia nejen v českém jazyce, ale v redukované formě (uživatelské rozhraní a částečné překlady) i v angličtině a zprostředkuje tak poznatky zahraniční odborné komunitě a konfrontuje je s děním v zahraničí.</w:t>
      </w:r>
      <w:r w:rsidR="00CF57DC" w:rsidRPr="0041689D">
        <w:rPr>
          <w:rFonts w:ascii="Times New Roman" w:hAnsi="Times New Roman"/>
          <w:sz w:val="24"/>
          <w:szCs w:val="24"/>
        </w:rPr>
        <w:t xml:space="preserve"> Uspořené prostředky budou na </w:t>
      </w:r>
      <w:r w:rsidR="00915AF3" w:rsidRPr="0041689D">
        <w:rPr>
          <w:rFonts w:ascii="Times New Roman" w:hAnsi="Times New Roman"/>
          <w:sz w:val="24"/>
          <w:szCs w:val="24"/>
        </w:rPr>
        <w:t xml:space="preserve">dvojjazyčnou </w:t>
      </w:r>
      <w:r w:rsidR="00CF57DC" w:rsidRPr="0041689D">
        <w:rPr>
          <w:rFonts w:ascii="Times New Roman" w:hAnsi="Times New Roman"/>
          <w:sz w:val="24"/>
          <w:szCs w:val="24"/>
        </w:rPr>
        <w:t xml:space="preserve">verzi výsledku </w:t>
      </w:r>
      <w:r w:rsidR="00915AF3" w:rsidRPr="0041689D">
        <w:rPr>
          <w:rFonts w:ascii="Times New Roman" w:hAnsi="Times New Roman"/>
          <w:sz w:val="24"/>
          <w:szCs w:val="24"/>
        </w:rPr>
        <w:t>S</w:t>
      </w:r>
      <w:r w:rsidR="00CF57DC" w:rsidRPr="0041689D">
        <w:rPr>
          <w:rFonts w:ascii="Times New Roman" w:hAnsi="Times New Roman"/>
          <w:sz w:val="24"/>
          <w:szCs w:val="24"/>
        </w:rPr>
        <w:t xml:space="preserve"> využity ve všech letech řešení projektu – 2023-2027. </w:t>
      </w:r>
      <w:r w:rsidR="00CF57DC" w:rsidRPr="0041689D">
        <w:rPr>
          <w:rFonts w:ascii="Times New Roman" w:hAnsi="Times New Roman"/>
          <w:i/>
          <w:sz w:val="24"/>
          <w:szCs w:val="24"/>
        </w:rPr>
        <w:t xml:space="preserve">Celkové náklady projektu zůstávají touto změnou nedotčeny. </w:t>
      </w:r>
    </w:p>
    <w:p w:rsidR="00F77E91" w:rsidRPr="0041689D" w:rsidRDefault="00F77E91" w:rsidP="0041689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D1645" w:rsidRPr="00F77E91" w:rsidRDefault="004D1645" w:rsidP="00F77E91">
      <w:pPr>
        <w:pStyle w:val="Bezmezer"/>
        <w:jc w:val="both"/>
        <w:rPr>
          <w:rFonts w:ascii="Times New Roman" w:hAnsi="Times New Roman"/>
          <w:i/>
          <w:sz w:val="24"/>
          <w:szCs w:val="24"/>
        </w:rPr>
      </w:pPr>
      <w:r w:rsidRPr="00F77E91">
        <w:rPr>
          <w:rFonts w:ascii="Times New Roman" w:hAnsi="Times New Roman"/>
          <w:sz w:val="24"/>
          <w:szCs w:val="24"/>
        </w:rPr>
        <w:t>D</w:t>
      </w:r>
      <w:r w:rsidR="00385A5E" w:rsidRPr="00F77E91">
        <w:rPr>
          <w:rFonts w:ascii="Times New Roman" w:hAnsi="Times New Roman"/>
          <w:sz w:val="24"/>
          <w:szCs w:val="24"/>
        </w:rPr>
        <w:t xml:space="preserve">ále </w:t>
      </w:r>
      <w:r w:rsidRPr="00F77E91">
        <w:rPr>
          <w:rFonts w:ascii="Times New Roman" w:hAnsi="Times New Roman"/>
          <w:sz w:val="24"/>
          <w:szCs w:val="24"/>
        </w:rPr>
        <w:t xml:space="preserve">budou </w:t>
      </w:r>
      <w:r w:rsidR="00EC73F0" w:rsidRPr="00F77E91">
        <w:rPr>
          <w:rFonts w:ascii="Times New Roman" w:hAnsi="Times New Roman"/>
          <w:sz w:val="24"/>
          <w:szCs w:val="24"/>
        </w:rPr>
        <w:t xml:space="preserve">uspořené </w:t>
      </w:r>
      <w:r w:rsidRPr="00F77E91">
        <w:rPr>
          <w:rFonts w:ascii="Times New Roman" w:hAnsi="Times New Roman"/>
          <w:sz w:val="24"/>
          <w:szCs w:val="24"/>
        </w:rPr>
        <w:t xml:space="preserve">prostředky </w:t>
      </w:r>
      <w:r w:rsidR="00915AF3">
        <w:rPr>
          <w:rFonts w:ascii="Times New Roman" w:hAnsi="Times New Roman"/>
          <w:sz w:val="24"/>
          <w:szCs w:val="24"/>
        </w:rPr>
        <w:t xml:space="preserve">přesunuty na </w:t>
      </w:r>
      <w:proofErr w:type="gramStart"/>
      <w:r w:rsidR="00915AF3">
        <w:rPr>
          <w:rFonts w:ascii="Times New Roman" w:hAnsi="Times New Roman"/>
          <w:sz w:val="24"/>
          <w:szCs w:val="24"/>
        </w:rPr>
        <w:t>nově  vytvořenou</w:t>
      </w:r>
      <w:proofErr w:type="gramEnd"/>
      <w:r w:rsidR="00915AF3">
        <w:rPr>
          <w:rFonts w:ascii="Times New Roman" w:hAnsi="Times New Roman"/>
          <w:sz w:val="24"/>
          <w:szCs w:val="24"/>
        </w:rPr>
        <w:t xml:space="preserve"> položku </w:t>
      </w:r>
      <w:r w:rsidR="00160AF1">
        <w:rPr>
          <w:rFonts w:ascii="Times New Roman" w:hAnsi="Times New Roman"/>
          <w:sz w:val="24"/>
          <w:szCs w:val="24"/>
        </w:rPr>
        <w:t xml:space="preserve"> D </w:t>
      </w:r>
      <w:r w:rsidR="00915AF3">
        <w:rPr>
          <w:rFonts w:ascii="Times New Roman" w:hAnsi="Times New Roman"/>
          <w:sz w:val="24"/>
          <w:szCs w:val="24"/>
        </w:rPr>
        <w:t xml:space="preserve">rozpočtu  </w:t>
      </w:r>
      <w:r w:rsidR="002908F8" w:rsidRPr="00F77E91">
        <w:rPr>
          <w:rFonts w:ascii="Times New Roman" w:hAnsi="Times New Roman"/>
          <w:sz w:val="24"/>
          <w:szCs w:val="24"/>
        </w:rPr>
        <w:t xml:space="preserve"> </w:t>
      </w:r>
      <w:r w:rsidR="002908F8" w:rsidRPr="00915AF3">
        <w:rPr>
          <w:rFonts w:ascii="Times New Roman" w:hAnsi="Times New Roman"/>
          <w:sz w:val="24"/>
          <w:szCs w:val="24"/>
          <w:u w:val="single"/>
        </w:rPr>
        <w:t xml:space="preserve">„úprava </w:t>
      </w:r>
      <w:proofErr w:type="spellStart"/>
      <w:r w:rsidR="002908F8" w:rsidRPr="00915AF3">
        <w:rPr>
          <w:rFonts w:ascii="Times New Roman" w:hAnsi="Times New Roman"/>
          <w:sz w:val="24"/>
          <w:szCs w:val="24"/>
          <w:u w:val="single"/>
        </w:rPr>
        <w:t>backendu</w:t>
      </w:r>
      <w:proofErr w:type="spellEnd"/>
      <w:r w:rsidR="002908F8" w:rsidRPr="00915AF3">
        <w:rPr>
          <w:rFonts w:ascii="Times New Roman" w:hAnsi="Times New Roman"/>
          <w:sz w:val="24"/>
          <w:szCs w:val="24"/>
          <w:u w:val="single"/>
        </w:rPr>
        <w:t xml:space="preserve"> a </w:t>
      </w:r>
      <w:proofErr w:type="spellStart"/>
      <w:r w:rsidR="002908F8" w:rsidRPr="00915AF3">
        <w:rPr>
          <w:rFonts w:ascii="Times New Roman" w:hAnsi="Times New Roman"/>
          <w:sz w:val="24"/>
          <w:szCs w:val="24"/>
          <w:u w:val="single"/>
        </w:rPr>
        <w:t>fontendu</w:t>
      </w:r>
      <w:proofErr w:type="spellEnd"/>
      <w:r w:rsidR="002908F8" w:rsidRPr="00915AF3">
        <w:rPr>
          <w:rFonts w:ascii="Times New Roman" w:hAnsi="Times New Roman"/>
          <w:sz w:val="24"/>
          <w:szCs w:val="24"/>
          <w:u w:val="single"/>
        </w:rPr>
        <w:t xml:space="preserve"> databází a specializovaných map projektů NAKI</w:t>
      </w:r>
      <w:r w:rsidR="00915AF3">
        <w:rPr>
          <w:rFonts w:ascii="Times New Roman" w:hAnsi="Times New Roman"/>
          <w:sz w:val="24"/>
          <w:szCs w:val="24"/>
        </w:rPr>
        <w:t>“</w:t>
      </w:r>
      <w:r w:rsidR="002908F8" w:rsidRPr="00F77E91">
        <w:rPr>
          <w:rFonts w:ascii="Times New Roman" w:hAnsi="Times New Roman"/>
          <w:sz w:val="24"/>
          <w:szCs w:val="24"/>
        </w:rPr>
        <w:t xml:space="preserve"> v důsledku vzniku nové databáze“</w:t>
      </w:r>
      <w:r w:rsidR="00915AF3">
        <w:rPr>
          <w:rFonts w:ascii="Times New Roman" w:hAnsi="Times New Roman"/>
          <w:sz w:val="24"/>
          <w:szCs w:val="24"/>
        </w:rPr>
        <w:t>, která souvisí s úpr</w:t>
      </w:r>
      <w:r w:rsidR="000B03DE" w:rsidRPr="00F77E91">
        <w:rPr>
          <w:rFonts w:ascii="Times New Roman" w:hAnsi="Times New Roman"/>
          <w:sz w:val="24"/>
          <w:szCs w:val="24"/>
        </w:rPr>
        <w:t xml:space="preserve">avami interního systému pro aktuální </w:t>
      </w:r>
      <w:r w:rsidR="00385A5E" w:rsidRPr="00F77E91">
        <w:rPr>
          <w:rFonts w:ascii="Times New Roman" w:hAnsi="Times New Roman"/>
          <w:sz w:val="24"/>
          <w:szCs w:val="24"/>
        </w:rPr>
        <w:t xml:space="preserve">projekt NAKI III </w:t>
      </w:r>
      <w:proofErr w:type="spellStart"/>
      <w:r w:rsidR="000B03DE" w:rsidRPr="00F77E91">
        <w:rPr>
          <w:rFonts w:ascii="Times New Roman" w:hAnsi="Times New Roman"/>
          <w:sz w:val="24"/>
          <w:szCs w:val="24"/>
        </w:rPr>
        <w:t>Stavoprojekt</w:t>
      </w:r>
      <w:proofErr w:type="spellEnd"/>
      <w:r w:rsidR="000B03DE" w:rsidRPr="00F77E91">
        <w:rPr>
          <w:rFonts w:ascii="Times New Roman" w:hAnsi="Times New Roman"/>
          <w:sz w:val="24"/>
          <w:szCs w:val="24"/>
        </w:rPr>
        <w:t xml:space="preserve"> DH23P03OVV004</w:t>
      </w:r>
      <w:r w:rsidR="005836A6" w:rsidRPr="00F77E91">
        <w:rPr>
          <w:rFonts w:ascii="Times New Roman" w:hAnsi="Times New Roman"/>
          <w:sz w:val="24"/>
          <w:szCs w:val="24"/>
        </w:rPr>
        <w:t>.</w:t>
      </w:r>
      <w:r w:rsidRPr="00F77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7E91">
        <w:rPr>
          <w:rFonts w:ascii="Times New Roman" w:hAnsi="Times New Roman"/>
          <w:sz w:val="24"/>
          <w:szCs w:val="24"/>
        </w:rPr>
        <w:t>Backend</w:t>
      </w:r>
      <w:proofErr w:type="spellEnd"/>
      <w:r w:rsidRPr="00F77E91">
        <w:rPr>
          <w:rFonts w:ascii="Times New Roman" w:hAnsi="Times New Roman"/>
          <w:sz w:val="24"/>
          <w:szCs w:val="24"/>
        </w:rPr>
        <w:t xml:space="preserve"> databáze vznikl v roce 2002, je v současné době zastaralý a je nutný vznik nového systému. Pro jeho optimální realizaci </w:t>
      </w:r>
      <w:r w:rsidR="00915AF3">
        <w:rPr>
          <w:rFonts w:ascii="Times New Roman" w:hAnsi="Times New Roman"/>
          <w:sz w:val="24"/>
          <w:szCs w:val="24"/>
        </w:rPr>
        <w:t>byla zvolena</w:t>
      </w:r>
      <w:r w:rsidRPr="00F77E91">
        <w:rPr>
          <w:rFonts w:ascii="Times New Roman" w:hAnsi="Times New Roman"/>
          <w:sz w:val="24"/>
          <w:szCs w:val="24"/>
        </w:rPr>
        <w:t xml:space="preserve"> varianta </w:t>
      </w:r>
      <w:r w:rsidR="006B3C5A">
        <w:rPr>
          <w:rFonts w:ascii="Times New Roman" w:hAnsi="Times New Roman"/>
          <w:sz w:val="24"/>
          <w:szCs w:val="24"/>
        </w:rPr>
        <w:t>migrace</w:t>
      </w:r>
      <w:r w:rsidRPr="00F77E91">
        <w:rPr>
          <w:rFonts w:ascii="Times New Roman" w:hAnsi="Times New Roman"/>
          <w:sz w:val="24"/>
          <w:szCs w:val="24"/>
        </w:rPr>
        <w:t xml:space="preserve"> stávajících dat z </w:t>
      </w:r>
      <w:proofErr w:type="spellStart"/>
      <w:r w:rsidRPr="00F77E91">
        <w:rPr>
          <w:rFonts w:ascii="Times New Roman" w:hAnsi="Times New Roman"/>
          <w:sz w:val="24"/>
          <w:szCs w:val="24"/>
        </w:rPr>
        <w:t>backendu</w:t>
      </w:r>
      <w:proofErr w:type="spellEnd"/>
      <w:r w:rsidRPr="00F77E91">
        <w:rPr>
          <w:rFonts w:ascii="Times New Roman" w:hAnsi="Times New Roman"/>
          <w:sz w:val="24"/>
          <w:szCs w:val="24"/>
        </w:rPr>
        <w:t xml:space="preserve"> minulých projektů do </w:t>
      </w:r>
      <w:proofErr w:type="spellStart"/>
      <w:r w:rsidRPr="00F77E91">
        <w:rPr>
          <w:rFonts w:ascii="Times New Roman" w:hAnsi="Times New Roman"/>
          <w:sz w:val="24"/>
          <w:szCs w:val="24"/>
        </w:rPr>
        <w:t>backendu</w:t>
      </w:r>
      <w:proofErr w:type="spellEnd"/>
      <w:r w:rsidRPr="00F77E91">
        <w:rPr>
          <w:rFonts w:ascii="Times New Roman" w:hAnsi="Times New Roman"/>
          <w:sz w:val="24"/>
          <w:szCs w:val="24"/>
        </w:rPr>
        <w:t xml:space="preserve"> nového projektu a úprava </w:t>
      </w:r>
      <w:proofErr w:type="spellStart"/>
      <w:r w:rsidRPr="00F77E91">
        <w:rPr>
          <w:rFonts w:ascii="Times New Roman" w:hAnsi="Times New Roman"/>
          <w:sz w:val="24"/>
          <w:szCs w:val="24"/>
        </w:rPr>
        <w:t>frontendů</w:t>
      </w:r>
      <w:proofErr w:type="spellEnd"/>
      <w:r w:rsidRPr="00F77E91">
        <w:rPr>
          <w:rFonts w:ascii="Times New Roman" w:hAnsi="Times New Roman"/>
          <w:sz w:val="24"/>
          <w:szCs w:val="24"/>
        </w:rPr>
        <w:t xml:space="preserve"> stávajících projektů na nové </w:t>
      </w:r>
      <w:r w:rsidR="008B02FE" w:rsidRPr="00F77E91">
        <w:rPr>
          <w:rFonts w:ascii="Times New Roman" w:hAnsi="Times New Roman"/>
          <w:sz w:val="24"/>
          <w:szCs w:val="24"/>
        </w:rPr>
        <w:t>para</w:t>
      </w:r>
      <w:r w:rsidRPr="00F77E91">
        <w:rPr>
          <w:rFonts w:ascii="Times New Roman" w:hAnsi="Times New Roman"/>
          <w:sz w:val="24"/>
          <w:szCs w:val="24"/>
        </w:rPr>
        <w:t>metry. Uspořené prostředky budou na migraci dat využity ve všech letech ř</w:t>
      </w:r>
      <w:r w:rsidR="008B02FE" w:rsidRPr="00F77E91">
        <w:rPr>
          <w:rFonts w:ascii="Times New Roman" w:hAnsi="Times New Roman"/>
          <w:sz w:val="24"/>
          <w:szCs w:val="24"/>
        </w:rPr>
        <w:t>eš</w:t>
      </w:r>
      <w:r w:rsidRPr="00F77E91">
        <w:rPr>
          <w:rFonts w:ascii="Times New Roman" w:hAnsi="Times New Roman"/>
          <w:sz w:val="24"/>
          <w:szCs w:val="24"/>
        </w:rPr>
        <w:t xml:space="preserve">ení projektu </w:t>
      </w:r>
      <w:r w:rsidR="00160AF1">
        <w:rPr>
          <w:rFonts w:ascii="Times New Roman" w:hAnsi="Times New Roman"/>
          <w:sz w:val="24"/>
          <w:szCs w:val="24"/>
        </w:rPr>
        <w:t>(</w:t>
      </w:r>
      <w:r w:rsidR="008B02FE" w:rsidRPr="00F77E91">
        <w:rPr>
          <w:rFonts w:ascii="Times New Roman" w:hAnsi="Times New Roman"/>
          <w:sz w:val="24"/>
          <w:szCs w:val="24"/>
        </w:rPr>
        <w:t>2023-2027</w:t>
      </w:r>
      <w:r w:rsidR="00160AF1">
        <w:rPr>
          <w:rFonts w:ascii="Times New Roman" w:hAnsi="Times New Roman"/>
          <w:sz w:val="24"/>
          <w:szCs w:val="24"/>
        </w:rPr>
        <w:t>)</w:t>
      </w:r>
      <w:r w:rsidR="008B02FE" w:rsidRPr="00F77E91">
        <w:rPr>
          <w:rFonts w:ascii="Times New Roman" w:hAnsi="Times New Roman"/>
          <w:sz w:val="24"/>
          <w:szCs w:val="24"/>
        </w:rPr>
        <w:t xml:space="preserve">. </w:t>
      </w:r>
      <w:r w:rsidR="008B02FE" w:rsidRPr="00F77E91">
        <w:rPr>
          <w:rFonts w:ascii="Times New Roman" w:hAnsi="Times New Roman"/>
          <w:i/>
          <w:sz w:val="24"/>
          <w:szCs w:val="24"/>
        </w:rPr>
        <w:t xml:space="preserve">Celkové náklady projektu zůstávají touto změnou nedotčeny. </w:t>
      </w:r>
    </w:p>
    <w:p w:rsidR="00F77E91" w:rsidRDefault="00F77E91" w:rsidP="00F77E9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1689D" w:rsidRPr="00F77E91" w:rsidRDefault="005836A6" w:rsidP="0041689D">
      <w:pPr>
        <w:pStyle w:val="Bezmezer"/>
        <w:jc w:val="both"/>
        <w:rPr>
          <w:rFonts w:ascii="Times New Roman" w:hAnsi="Times New Roman"/>
          <w:i/>
          <w:sz w:val="24"/>
          <w:szCs w:val="24"/>
        </w:rPr>
      </w:pPr>
      <w:r w:rsidRPr="00F77E91">
        <w:rPr>
          <w:rFonts w:ascii="Times New Roman" w:hAnsi="Times New Roman"/>
          <w:sz w:val="24"/>
          <w:szCs w:val="24"/>
        </w:rPr>
        <w:t>V roce 2023 budou uspořené prostředky</w:t>
      </w:r>
      <w:r w:rsidR="00160AF1">
        <w:rPr>
          <w:rFonts w:ascii="Times New Roman" w:hAnsi="Times New Roman"/>
          <w:sz w:val="24"/>
          <w:szCs w:val="24"/>
        </w:rPr>
        <w:t xml:space="preserve"> </w:t>
      </w:r>
      <w:r w:rsidR="00311EC5">
        <w:rPr>
          <w:rFonts w:ascii="Times New Roman" w:hAnsi="Times New Roman"/>
          <w:sz w:val="24"/>
          <w:szCs w:val="24"/>
        </w:rPr>
        <w:t xml:space="preserve">využity </w:t>
      </w:r>
      <w:r w:rsidR="00160AF1">
        <w:rPr>
          <w:rFonts w:ascii="Times New Roman" w:hAnsi="Times New Roman"/>
          <w:sz w:val="24"/>
          <w:szCs w:val="24"/>
        </w:rPr>
        <w:t xml:space="preserve">na nově vytvořenou položku D rozpočtu </w:t>
      </w:r>
      <w:r w:rsidR="00160AF1" w:rsidRPr="00311EC5">
        <w:rPr>
          <w:rFonts w:ascii="Times New Roman" w:hAnsi="Times New Roman"/>
          <w:sz w:val="24"/>
          <w:szCs w:val="24"/>
          <w:u w:val="single"/>
        </w:rPr>
        <w:t>„</w:t>
      </w:r>
      <w:r w:rsidR="002B6A8A" w:rsidRPr="00311EC5">
        <w:rPr>
          <w:rFonts w:ascii="Times New Roman" w:hAnsi="Times New Roman"/>
          <w:sz w:val="24"/>
          <w:szCs w:val="24"/>
          <w:u w:val="single"/>
        </w:rPr>
        <w:t>služby externích právníků</w:t>
      </w:r>
      <w:r w:rsidR="00311EC5" w:rsidRPr="00311EC5">
        <w:rPr>
          <w:rFonts w:ascii="Times New Roman" w:hAnsi="Times New Roman"/>
          <w:sz w:val="24"/>
          <w:szCs w:val="24"/>
          <w:u w:val="single"/>
        </w:rPr>
        <w:t>“</w:t>
      </w:r>
      <w:r w:rsidR="002B6A8A" w:rsidRPr="00311EC5">
        <w:rPr>
          <w:rFonts w:ascii="Times New Roman" w:hAnsi="Times New Roman"/>
          <w:sz w:val="24"/>
          <w:szCs w:val="24"/>
          <w:u w:val="single"/>
        </w:rPr>
        <w:t>.</w:t>
      </w:r>
      <w:r w:rsidR="002B6A8A">
        <w:rPr>
          <w:rFonts w:ascii="Times New Roman" w:hAnsi="Times New Roman"/>
          <w:sz w:val="24"/>
          <w:szCs w:val="24"/>
        </w:rPr>
        <w:t xml:space="preserve"> Právní poradenství veřejných zakázek</w:t>
      </w:r>
      <w:r w:rsidR="000B03DE" w:rsidRPr="00F77E91">
        <w:rPr>
          <w:rFonts w:ascii="Times New Roman" w:hAnsi="Times New Roman"/>
          <w:sz w:val="24"/>
          <w:szCs w:val="24"/>
        </w:rPr>
        <w:t xml:space="preserve"> v současné době není na ČVUT zajišťováno interními zdroji a je nutné najímat externí firmu.</w:t>
      </w:r>
      <w:r w:rsidRPr="00F77E91">
        <w:rPr>
          <w:rFonts w:ascii="Times New Roman" w:hAnsi="Times New Roman"/>
          <w:sz w:val="24"/>
          <w:szCs w:val="24"/>
        </w:rPr>
        <w:t xml:space="preserve"> </w:t>
      </w:r>
      <w:r w:rsidR="008B02FE" w:rsidRPr="00F77E91">
        <w:rPr>
          <w:rFonts w:ascii="Times New Roman" w:hAnsi="Times New Roman"/>
          <w:sz w:val="24"/>
          <w:szCs w:val="24"/>
        </w:rPr>
        <w:t xml:space="preserve"> Právní poradenství pro finančně rozsáhlejší výběrová řízení na služby pro fakultu architektury (FA) zajišťuje externí právní firma, která </w:t>
      </w:r>
      <w:proofErr w:type="gramStart"/>
      <w:r w:rsidR="00CF57DC" w:rsidRPr="00F77E91">
        <w:rPr>
          <w:rFonts w:ascii="Times New Roman" w:hAnsi="Times New Roman"/>
          <w:sz w:val="24"/>
          <w:szCs w:val="24"/>
        </w:rPr>
        <w:t>zná</w:t>
      </w:r>
      <w:r w:rsidR="008B02FE" w:rsidRPr="00F77E91">
        <w:rPr>
          <w:rFonts w:ascii="Times New Roman" w:hAnsi="Times New Roman"/>
          <w:sz w:val="24"/>
          <w:szCs w:val="24"/>
        </w:rPr>
        <w:t xml:space="preserve">  specifik</w:t>
      </w:r>
      <w:r w:rsidR="00CF57DC" w:rsidRPr="00F77E91">
        <w:rPr>
          <w:rFonts w:ascii="Times New Roman" w:hAnsi="Times New Roman"/>
          <w:sz w:val="24"/>
          <w:szCs w:val="24"/>
        </w:rPr>
        <w:t>a</w:t>
      </w:r>
      <w:proofErr w:type="gramEnd"/>
      <w:r w:rsidR="008B02FE" w:rsidRPr="00F77E91">
        <w:rPr>
          <w:rFonts w:ascii="Times New Roman" w:hAnsi="Times New Roman"/>
          <w:sz w:val="24"/>
          <w:szCs w:val="24"/>
        </w:rPr>
        <w:t xml:space="preserve"> instituce ČVUT a v koordinaci s právničkou FA </w:t>
      </w:r>
      <w:r w:rsidR="00F77E91">
        <w:rPr>
          <w:rFonts w:ascii="Times New Roman" w:hAnsi="Times New Roman"/>
          <w:sz w:val="24"/>
          <w:szCs w:val="24"/>
        </w:rPr>
        <w:t xml:space="preserve">je tak zajištěn </w:t>
      </w:r>
      <w:r w:rsidR="008B02FE" w:rsidRPr="00F77E91">
        <w:rPr>
          <w:rFonts w:ascii="Times New Roman" w:hAnsi="Times New Roman"/>
          <w:sz w:val="24"/>
          <w:szCs w:val="24"/>
        </w:rPr>
        <w:t xml:space="preserve"> hladký a právně korektní průběh řízení. Právnička FA má oprávnění a pojištění pouze </w:t>
      </w:r>
      <w:r w:rsidR="009D4350">
        <w:rPr>
          <w:rFonts w:ascii="Times New Roman" w:hAnsi="Times New Roman"/>
          <w:sz w:val="24"/>
          <w:szCs w:val="24"/>
        </w:rPr>
        <w:t>na</w:t>
      </w:r>
      <w:r w:rsidR="008B02FE" w:rsidRPr="00F77E91">
        <w:rPr>
          <w:rFonts w:ascii="Times New Roman" w:hAnsi="Times New Roman"/>
          <w:sz w:val="24"/>
          <w:szCs w:val="24"/>
        </w:rPr>
        <w:t xml:space="preserve"> realizac</w:t>
      </w:r>
      <w:r w:rsidR="009D4350">
        <w:rPr>
          <w:rFonts w:ascii="Times New Roman" w:hAnsi="Times New Roman"/>
          <w:sz w:val="24"/>
          <w:szCs w:val="24"/>
        </w:rPr>
        <w:t>i</w:t>
      </w:r>
      <w:r w:rsidR="008B02FE" w:rsidRPr="00F77E91">
        <w:rPr>
          <w:rFonts w:ascii="Times New Roman" w:hAnsi="Times New Roman"/>
          <w:sz w:val="24"/>
          <w:szCs w:val="24"/>
        </w:rPr>
        <w:t xml:space="preserve"> veřejných zakázek malého rozsahu</w:t>
      </w:r>
      <w:r w:rsidR="0041689D" w:rsidRPr="00F77E91">
        <w:rPr>
          <w:rFonts w:ascii="Times New Roman" w:hAnsi="Times New Roman"/>
          <w:sz w:val="24"/>
          <w:szCs w:val="24"/>
        </w:rPr>
        <w:t xml:space="preserve">. </w:t>
      </w:r>
      <w:r w:rsidR="0041689D" w:rsidRPr="00F77E91">
        <w:rPr>
          <w:rFonts w:ascii="Times New Roman" w:hAnsi="Times New Roman"/>
          <w:i/>
          <w:sz w:val="24"/>
          <w:szCs w:val="24"/>
        </w:rPr>
        <w:t xml:space="preserve">Celkové náklady projektu zůstávají touto změnou nedotčeny. </w:t>
      </w:r>
    </w:p>
    <w:p w:rsidR="008B02FE" w:rsidRPr="00F77E91" w:rsidRDefault="008B02FE" w:rsidP="00F77E9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5C3C70" w:rsidRPr="00F77E91" w:rsidRDefault="005C3C70" w:rsidP="00F77E91">
      <w:pPr>
        <w:pStyle w:val="Bezmezer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C3C70" w:rsidRDefault="005C3C70" w:rsidP="005836A6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1689D" w:rsidRPr="005836A6" w:rsidRDefault="0041689D" w:rsidP="005836A6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D74CF" w:rsidRPr="005836A6" w:rsidRDefault="004D74CF" w:rsidP="008B02FE">
      <w:pPr>
        <w:spacing w:after="0" w:line="240" w:lineRule="auto"/>
        <w:ind w:left="3540"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836A6">
        <w:rPr>
          <w:rFonts w:ascii="Times New Roman" w:eastAsiaTheme="minorHAnsi" w:hAnsi="Times New Roman"/>
          <w:b/>
          <w:sz w:val="24"/>
          <w:szCs w:val="24"/>
        </w:rPr>
        <w:t>Čl. IV.</w:t>
      </w:r>
    </w:p>
    <w:p w:rsidR="004D74CF" w:rsidRPr="005836A6" w:rsidRDefault="004D74CF" w:rsidP="005836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D74CF" w:rsidRDefault="004D74CF" w:rsidP="005836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36A6">
        <w:rPr>
          <w:rFonts w:ascii="Times New Roman" w:eastAsia="Times New Roman" w:hAnsi="Times New Roman"/>
          <w:sz w:val="24"/>
          <w:szCs w:val="24"/>
          <w:lang w:eastAsia="cs-CZ"/>
        </w:rPr>
        <w:t>Veškerá ostatní ustanovení smlouvy zůstávají v platnosti.</w:t>
      </w:r>
    </w:p>
    <w:p w:rsidR="002908F8" w:rsidRDefault="002908F8" w:rsidP="005836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908F8" w:rsidRDefault="002908F8" w:rsidP="005836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77E91" w:rsidRDefault="00F77E91" w:rsidP="005836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D74CF" w:rsidRPr="005836A6" w:rsidRDefault="004D74CF" w:rsidP="005836A6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4D74CF" w:rsidRPr="005836A6" w:rsidRDefault="008B02FE" w:rsidP="005836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="004D74CF" w:rsidRPr="005836A6">
        <w:rPr>
          <w:rFonts w:ascii="Times New Roman" w:eastAsia="Times New Roman" w:hAnsi="Times New Roman"/>
          <w:b/>
          <w:sz w:val="24"/>
          <w:szCs w:val="24"/>
          <w:lang w:eastAsia="cs-CZ"/>
        </w:rPr>
        <w:t>Čl. V.</w:t>
      </w:r>
    </w:p>
    <w:p w:rsidR="004D74CF" w:rsidRPr="005836A6" w:rsidRDefault="004D74CF" w:rsidP="005836A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4D74CF" w:rsidRPr="0041689D" w:rsidRDefault="004D74CF" w:rsidP="0041689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1689D">
        <w:rPr>
          <w:rFonts w:ascii="Times New Roman" w:hAnsi="Times New Roman"/>
          <w:sz w:val="24"/>
          <w:szCs w:val="24"/>
        </w:rPr>
        <w:t>Tento dodatek se uzavírá na základě žádosti příjemce ze dne 2</w:t>
      </w:r>
      <w:r w:rsidR="00512990" w:rsidRPr="0041689D">
        <w:rPr>
          <w:rFonts w:ascii="Times New Roman" w:hAnsi="Times New Roman"/>
          <w:sz w:val="24"/>
          <w:szCs w:val="24"/>
        </w:rPr>
        <w:t>3</w:t>
      </w:r>
      <w:r w:rsidRPr="0041689D">
        <w:rPr>
          <w:rFonts w:ascii="Times New Roman" w:hAnsi="Times New Roman"/>
          <w:sz w:val="24"/>
          <w:szCs w:val="24"/>
        </w:rPr>
        <w:t>.</w:t>
      </w:r>
      <w:r w:rsidR="00B10655" w:rsidRPr="0041689D">
        <w:rPr>
          <w:rFonts w:ascii="Times New Roman" w:hAnsi="Times New Roman"/>
          <w:sz w:val="24"/>
          <w:szCs w:val="24"/>
        </w:rPr>
        <w:t>7</w:t>
      </w:r>
      <w:r w:rsidRPr="0041689D">
        <w:rPr>
          <w:rFonts w:ascii="Times New Roman" w:hAnsi="Times New Roman"/>
          <w:sz w:val="24"/>
          <w:szCs w:val="24"/>
        </w:rPr>
        <w:t>.2023</w:t>
      </w:r>
      <w:r w:rsidR="00B10655" w:rsidRPr="0041689D">
        <w:rPr>
          <w:rFonts w:ascii="Times New Roman" w:hAnsi="Times New Roman"/>
          <w:sz w:val="24"/>
          <w:szCs w:val="24"/>
        </w:rPr>
        <w:t xml:space="preserve"> </w:t>
      </w:r>
      <w:r w:rsidRPr="0041689D">
        <w:rPr>
          <w:rFonts w:ascii="Times New Roman" w:hAnsi="Times New Roman"/>
          <w:sz w:val="24"/>
          <w:szCs w:val="24"/>
        </w:rPr>
        <w:t xml:space="preserve">a je vyhotoven v elektronické podobě. Tento dodatek nabývá platnosti a účinnosti dnem podpisu poslední ze smluvních stran. </w:t>
      </w:r>
    </w:p>
    <w:p w:rsidR="002908F8" w:rsidRDefault="002908F8" w:rsidP="002908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908F8" w:rsidRDefault="002908F8" w:rsidP="002908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1689D" w:rsidRDefault="0041689D" w:rsidP="002908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908F8" w:rsidRDefault="002908F8" w:rsidP="002908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908F8" w:rsidRPr="009A1308" w:rsidRDefault="002908F8" w:rsidP="002908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A1308">
        <w:rPr>
          <w:rFonts w:ascii="Times New Roman" w:eastAsia="Times New Roman" w:hAnsi="Times New Roman"/>
          <w:sz w:val="24"/>
          <w:szCs w:val="24"/>
          <w:lang w:eastAsia="cs-CZ"/>
        </w:rPr>
        <w:t>Příloh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y</w:t>
      </w:r>
      <w:r w:rsidRPr="009A1308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9A1308"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Příloha č. 2 smlouvy – Rozpočet projektu, aktuální znění </w:t>
      </w:r>
    </w:p>
    <w:p w:rsidR="002908F8" w:rsidRPr="009A1308" w:rsidRDefault="002908F8" w:rsidP="002908F8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A1308">
        <w:rPr>
          <w:rFonts w:ascii="Times New Roman" w:eastAsia="Times New Roman" w:hAnsi="Times New Roman"/>
          <w:sz w:val="24"/>
          <w:szCs w:val="24"/>
          <w:lang w:eastAsia="cs-CZ"/>
        </w:rPr>
        <w:t>Pověření ředitelky OVV podpisovou pravomocí k písemnostem MK v oblasti podpory výzkumu a vývoje</w:t>
      </w:r>
    </w:p>
    <w:p w:rsidR="005C3C70" w:rsidRDefault="005C3C70" w:rsidP="005C3C70">
      <w:pPr>
        <w:widowControl w:val="0"/>
        <w:tabs>
          <w:tab w:val="left" w:pos="5760"/>
        </w:tabs>
        <w:spacing w:after="60"/>
        <w:jc w:val="both"/>
        <w:rPr>
          <w:rFonts w:ascii="Times New Roman" w:hAnsi="Times New Roman"/>
          <w:sz w:val="24"/>
        </w:rPr>
      </w:pPr>
    </w:p>
    <w:p w:rsidR="004D74CF" w:rsidRDefault="004D74CF" w:rsidP="005C3C70">
      <w:pPr>
        <w:widowControl w:val="0"/>
        <w:tabs>
          <w:tab w:val="left" w:pos="5760"/>
        </w:tabs>
        <w:spacing w:after="60"/>
        <w:jc w:val="both"/>
        <w:rPr>
          <w:rFonts w:ascii="Times New Roman" w:hAnsi="Times New Roman"/>
          <w:sz w:val="24"/>
        </w:rPr>
      </w:pPr>
    </w:p>
    <w:p w:rsidR="002908F8" w:rsidRDefault="002908F8" w:rsidP="005C3C70">
      <w:pPr>
        <w:widowControl w:val="0"/>
        <w:tabs>
          <w:tab w:val="left" w:pos="5760"/>
        </w:tabs>
        <w:spacing w:after="60"/>
        <w:jc w:val="both"/>
        <w:rPr>
          <w:rFonts w:ascii="Times New Roman" w:hAnsi="Times New Roman"/>
          <w:sz w:val="24"/>
        </w:rPr>
      </w:pPr>
    </w:p>
    <w:p w:rsidR="002908F8" w:rsidRDefault="002908F8" w:rsidP="005C3C70">
      <w:pPr>
        <w:widowControl w:val="0"/>
        <w:tabs>
          <w:tab w:val="left" w:pos="5760"/>
        </w:tabs>
        <w:spacing w:after="60"/>
        <w:jc w:val="both"/>
        <w:rPr>
          <w:rFonts w:ascii="Times New Roman" w:hAnsi="Times New Roman"/>
          <w:sz w:val="24"/>
        </w:rPr>
      </w:pPr>
    </w:p>
    <w:p w:rsidR="002908F8" w:rsidRPr="00280AF9" w:rsidRDefault="002908F8" w:rsidP="005C3C70">
      <w:pPr>
        <w:widowControl w:val="0"/>
        <w:tabs>
          <w:tab w:val="left" w:pos="5760"/>
        </w:tabs>
        <w:spacing w:after="60"/>
        <w:jc w:val="both"/>
        <w:rPr>
          <w:rFonts w:ascii="Times New Roman" w:hAnsi="Times New Roman"/>
          <w:sz w:val="24"/>
        </w:rPr>
      </w:pPr>
    </w:p>
    <w:p w:rsidR="005C3C70" w:rsidRPr="00280AF9" w:rsidRDefault="005C3C70" w:rsidP="005C3C70">
      <w:pPr>
        <w:widowControl w:val="0"/>
        <w:tabs>
          <w:tab w:val="left" w:pos="5760"/>
        </w:tabs>
        <w:spacing w:after="60"/>
        <w:jc w:val="both"/>
        <w:rPr>
          <w:rFonts w:ascii="Times New Roman" w:hAnsi="Times New Roman"/>
          <w:sz w:val="24"/>
        </w:rPr>
      </w:pPr>
    </w:p>
    <w:p w:rsidR="005C3C70" w:rsidRPr="00280AF9" w:rsidRDefault="005C3C70" w:rsidP="005C3C70">
      <w:pPr>
        <w:keepNext/>
        <w:tabs>
          <w:tab w:val="left" w:pos="5245"/>
        </w:tabs>
        <w:spacing w:after="60"/>
        <w:jc w:val="both"/>
        <w:rPr>
          <w:rFonts w:ascii="Times New Roman" w:hAnsi="Times New Roman"/>
          <w:sz w:val="24"/>
        </w:rPr>
      </w:pPr>
      <w:r w:rsidRPr="00280AF9">
        <w:rPr>
          <w:rFonts w:ascii="Times New Roman" w:hAnsi="Times New Roman"/>
          <w:sz w:val="24"/>
        </w:rPr>
        <w:t>………………………………………….</w:t>
      </w:r>
      <w:r w:rsidRPr="00280AF9">
        <w:rPr>
          <w:rFonts w:ascii="Times New Roman" w:hAnsi="Times New Roman"/>
          <w:sz w:val="24"/>
        </w:rPr>
        <w:tab/>
        <w:t>………………………..………</w:t>
      </w:r>
    </w:p>
    <w:p w:rsidR="005C3C70" w:rsidRPr="00280AF9" w:rsidRDefault="005C3C70" w:rsidP="005C3C70">
      <w:pPr>
        <w:keepNext/>
        <w:tabs>
          <w:tab w:val="left" w:pos="1080"/>
          <w:tab w:val="left" w:pos="5812"/>
        </w:tabs>
        <w:spacing w:after="60"/>
        <w:jc w:val="both"/>
        <w:rPr>
          <w:rFonts w:ascii="Times New Roman" w:hAnsi="Times New Roman"/>
          <w:sz w:val="24"/>
        </w:rPr>
      </w:pPr>
      <w:r w:rsidRPr="00280AF9">
        <w:rPr>
          <w:rFonts w:ascii="Times New Roman" w:hAnsi="Times New Roman"/>
          <w:sz w:val="24"/>
        </w:rPr>
        <w:t xml:space="preserve">                    poskytovatel </w:t>
      </w:r>
      <w:r w:rsidRPr="00280AF9">
        <w:rPr>
          <w:rFonts w:ascii="Times New Roman" w:hAnsi="Times New Roman"/>
          <w:sz w:val="24"/>
        </w:rPr>
        <w:tab/>
        <w:t xml:space="preserve">        příjemce</w:t>
      </w:r>
    </w:p>
    <w:p w:rsidR="005C3C70" w:rsidRPr="00280AF9" w:rsidRDefault="005C3C70" w:rsidP="005C3C70">
      <w:pPr>
        <w:keepNext/>
        <w:tabs>
          <w:tab w:val="left" w:pos="1080"/>
          <w:tab w:val="left" w:pos="5812"/>
        </w:tabs>
        <w:spacing w:after="60"/>
        <w:jc w:val="both"/>
        <w:rPr>
          <w:rFonts w:ascii="Times New Roman" w:hAnsi="Times New Roman"/>
          <w:sz w:val="24"/>
        </w:rPr>
      </w:pPr>
      <w:r w:rsidRPr="00280AF9">
        <w:rPr>
          <w:rFonts w:ascii="Times New Roman" w:hAnsi="Times New Roman"/>
          <w:b/>
          <w:sz w:val="24"/>
          <w:szCs w:val="24"/>
          <w:lang w:eastAsia="cs-CZ"/>
        </w:rPr>
        <w:t>Česká republika – Ministerstvo kultury</w:t>
      </w:r>
      <w:r w:rsidRPr="00280AF9">
        <w:rPr>
          <w:rFonts w:ascii="Times New Roman" w:hAnsi="Times New Roman"/>
          <w:sz w:val="20"/>
          <w:szCs w:val="20"/>
        </w:rPr>
        <w:t xml:space="preserve">                 </w:t>
      </w:r>
      <w:r w:rsidRPr="00280AF9">
        <w:rPr>
          <w:rFonts w:ascii="Times New Roman" w:hAnsi="Times New Roman"/>
          <w:b/>
          <w:sz w:val="24"/>
        </w:rPr>
        <w:t>České vysoké učení technické v Praze</w:t>
      </w:r>
    </w:p>
    <w:p w:rsidR="005C3C70" w:rsidRPr="00280AF9" w:rsidRDefault="005C3C70" w:rsidP="005C3C70">
      <w:pPr>
        <w:keepNext/>
        <w:tabs>
          <w:tab w:val="left" w:pos="4536"/>
          <w:tab w:val="left" w:pos="4678"/>
          <w:tab w:val="left" w:pos="5387"/>
        </w:tabs>
        <w:spacing w:after="60"/>
        <w:jc w:val="both"/>
        <w:rPr>
          <w:rFonts w:ascii="Times New Roman" w:hAnsi="Times New Roman"/>
          <w:sz w:val="24"/>
        </w:rPr>
      </w:pPr>
      <w:r w:rsidRPr="00280AF9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280AF9">
        <w:rPr>
          <w:rFonts w:ascii="Times New Roman" w:hAnsi="Times New Roman"/>
          <w:sz w:val="20"/>
          <w:szCs w:val="20"/>
        </w:rPr>
        <w:t xml:space="preserve">     (</w:t>
      </w:r>
      <w:r>
        <w:rPr>
          <w:rFonts w:ascii="Times New Roman" w:hAnsi="Times New Roman"/>
          <w:sz w:val="20"/>
          <w:szCs w:val="20"/>
        </w:rPr>
        <w:t>elektronicky podepsáno</w:t>
      </w:r>
      <w:r w:rsidRPr="00280AF9">
        <w:rPr>
          <w:rFonts w:ascii="Times New Roman" w:hAnsi="Times New Roman"/>
          <w:sz w:val="20"/>
          <w:szCs w:val="20"/>
        </w:rPr>
        <w:t>)</w:t>
      </w:r>
      <w:r w:rsidRPr="00280AF9">
        <w:rPr>
          <w:rFonts w:ascii="Times New Roman" w:hAnsi="Times New Roman"/>
          <w:sz w:val="20"/>
          <w:szCs w:val="20"/>
        </w:rPr>
        <w:tab/>
      </w:r>
      <w:r w:rsidRPr="00280AF9">
        <w:rPr>
          <w:rFonts w:ascii="Times New Roman" w:hAnsi="Times New Roman"/>
          <w:sz w:val="20"/>
          <w:szCs w:val="20"/>
        </w:rPr>
        <w:tab/>
      </w:r>
      <w:r w:rsidRPr="00280AF9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</w:t>
      </w:r>
      <w:r w:rsidRPr="00280AF9">
        <w:rPr>
          <w:rFonts w:ascii="Times New Roman" w:hAnsi="Times New Roman"/>
          <w:sz w:val="20"/>
          <w:szCs w:val="20"/>
        </w:rPr>
        <w:t>(</w:t>
      </w:r>
      <w:proofErr w:type="gramEnd"/>
      <w:r>
        <w:rPr>
          <w:rFonts w:ascii="Times New Roman" w:hAnsi="Times New Roman"/>
          <w:sz w:val="20"/>
          <w:szCs w:val="20"/>
        </w:rPr>
        <w:t>elektronicky podepsáno</w:t>
      </w:r>
      <w:r w:rsidRPr="00280AF9">
        <w:rPr>
          <w:rFonts w:ascii="Times New Roman" w:hAnsi="Times New Roman"/>
          <w:sz w:val="20"/>
          <w:szCs w:val="20"/>
        </w:rPr>
        <w:t>)</w:t>
      </w:r>
    </w:p>
    <w:sectPr w:rsidR="005C3C70" w:rsidRPr="00280AF9" w:rsidSect="0074525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faPID">
    <w:altName w:val="Calibri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362E"/>
    <w:multiLevelType w:val="hybridMultilevel"/>
    <w:tmpl w:val="A366F834"/>
    <w:lvl w:ilvl="0" w:tplc="57769A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821BFF"/>
    <w:multiLevelType w:val="hybridMultilevel"/>
    <w:tmpl w:val="612C3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E73A7"/>
    <w:multiLevelType w:val="hybridMultilevel"/>
    <w:tmpl w:val="D458B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46108"/>
    <w:multiLevelType w:val="hybridMultilevel"/>
    <w:tmpl w:val="863ADB34"/>
    <w:lvl w:ilvl="0" w:tplc="374CD6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F1B15"/>
    <w:multiLevelType w:val="hybridMultilevel"/>
    <w:tmpl w:val="C5109F32"/>
    <w:lvl w:ilvl="0" w:tplc="959E55D2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E9356E"/>
    <w:multiLevelType w:val="hybridMultilevel"/>
    <w:tmpl w:val="31526592"/>
    <w:lvl w:ilvl="0" w:tplc="959E55D2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96C3277"/>
    <w:multiLevelType w:val="hybridMultilevel"/>
    <w:tmpl w:val="FBE8B39A"/>
    <w:lvl w:ilvl="0" w:tplc="739EF5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FC0E43"/>
    <w:multiLevelType w:val="hybridMultilevel"/>
    <w:tmpl w:val="4ABA2C0C"/>
    <w:lvl w:ilvl="0" w:tplc="57769AA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10"/>
    <w:rsid w:val="00001969"/>
    <w:rsid w:val="00075A84"/>
    <w:rsid w:val="00081B3D"/>
    <w:rsid w:val="000B03DE"/>
    <w:rsid w:val="001303AD"/>
    <w:rsid w:val="00160AF1"/>
    <w:rsid w:val="00250184"/>
    <w:rsid w:val="002908F8"/>
    <w:rsid w:val="002B6A8A"/>
    <w:rsid w:val="00311EC5"/>
    <w:rsid w:val="003638C9"/>
    <w:rsid w:val="00372738"/>
    <w:rsid w:val="00385A5E"/>
    <w:rsid w:val="0041689D"/>
    <w:rsid w:val="004A7D5D"/>
    <w:rsid w:val="004D1645"/>
    <w:rsid w:val="004D74CF"/>
    <w:rsid w:val="00512990"/>
    <w:rsid w:val="005836A6"/>
    <w:rsid w:val="005C3C70"/>
    <w:rsid w:val="006B3C5A"/>
    <w:rsid w:val="0074525C"/>
    <w:rsid w:val="00841245"/>
    <w:rsid w:val="008B02FE"/>
    <w:rsid w:val="00915AF3"/>
    <w:rsid w:val="00931A8E"/>
    <w:rsid w:val="009D4350"/>
    <w:rsid w:val="00A042EF"/>
    <w:rsid w:val="00B10655"/>
    <w:rsid w:val="00CF57DC"/>
    <w:rsid w:val="00E22553"/>
    <w:rsid w:val="00E56E10"/>
    <w:rsid w:val="00EC73F0"/>
    <w:rsid w:val="00EF6846"/>
    <w:rsid w:val="00F7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3919"/>
  <w15:docId w15:val="{FA70C3E8-4CED-4297-8342-F14837D6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D74CF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7273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Zkladntextodsazen1">
    <w:name w:val="Základní text odsazený1"/>
    <w:basedOn w:val="Normln"/>
    <w:uiPriority w:val="99"/>
    <w:rsid w:val="0037273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372738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Zkladntext3">
    <w:name w:val="Body Text 3"/>
    <w:aliases w:val="Body Text 3 Char Char,Body Text 3 Char1"/>
    <w:basedOn w:val="Normln"/>
    <w:link w:val="Zkladntext3Char"/>
    <w:rsid w:val="00372738"/>
    <w:pPr>
      <w:spacing w:after="6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3Char">
    <w:name w:val="Základní text 3 Char"/>
    <w:aliases w:val="Body Text 3 Char Char Char,Body Text 3 Char1 Char"/>
    <w:basedOn w:val="Standardnpsmoodstavce"/>
    <w:link w:val="Zkladntext3"/>
    <w:rsid w:val="0037273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1421E-48E3-45A5-BD33-1FCEB65C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1964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Ouřada Jaroslav</dc:creator>
  <cp:lastModifiedBy>Rýparová Irena</cp:lastModifiedBy>
  <cp:revision>14</cp:revision>
  <dcterms:created xsi:type="dcterms:W3CDTF">2023-07-14T06:23:00Z</dcterms:created>
  <dcterms:modified xsi:type="dcterms:W3CDTF">2023-08-08T13:10:00Z</dcterms:modified>
</cp:coreProperties>
</file>