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699A1BB2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>Evidenční číslo smlouvy:</w:t>
      </w:r>
      <w:r w:rsidR="00DA280B">
        <w:rPr>
          <w:rFonts w:eastAsia="Times New Roman"/>
          <w:lang w:eastAsia="cs-CZ"/>
        </w:rPr>
        <w:t xml:space="preserve"> </w:t>
      </w:r>
      <w:r w:rsidR="00DA280B" w:rsidRPr="00727783">
        <w:rPr>
          <w:rFonts w:eastAsia="Times New Roman"/>
          <w:b/>
          <w:lang w:eastAsia="cs-CZ"/>
        </w:rPr>
        <w:t>KK02208/2023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4C5B087E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875623" w:rsidRPr="006D193A">
        <w:rPr>
          <w:rFonts w:eastAsia="Times New Roman"/>
          <w:lang w:eastAsia="cs-CZ"/>
        </w:rPr>
        <w:t>Ing. Petrem Kulhánkem, hejtmanem</w:t>
      </w:r>
    </w:p>
    <w:p w14:paraId="3ED31F7F" w14:textId="358A1B6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446C1E62" w14:textId="23967EE7" w:rsidR="00CC11A9" w:rsidRPr="005178F2" w:rsidRDefault="006A2CEA" w:rsidP="005178F2">
      <w:pPr>
        <w:spacing w:after="0" w:line="240" w:lineRule="auto"/>
        <w:ind w:left="708"/>
        <w:rPr>
          <w:rFonts w:eastAsia="Times New Roman"/>
          <w:lang w:eastAsia="cs-CZ"/>
        </w:rPr>
      </w:pPr>
      <w:r>
        <w:rPr>
          <w:color w:val="000000"/>
        </w:rPr>
        <w:t>*****</w:t>
      </w:r>
      <w:r>
        <w:rPr>
          <w:color w:val="000000"/>
        </w:rPr>
        <w:tab/>
      </w:r>
      <w:r>
        <w:rPr>
          <w:color w:val="000000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>číslo účtu</w:t>
      </w:r>
      <w:r w:rsidR="00CC11A9" w:rsidRPr="005178F2">
        <w:rPr>
          <w:rFonts w:eastAsia="Times New Roman"/>
          <w:lang w:eastAsia="cs-CZ"/>
        </w:rPr>
        <w:tab/>
      </w:r>
      <w:r>
        <w:rPr>
          <w:color w:val="000000"/>
        </w:rPr>
        <w:t>*****</w:t>
      </w:r>
    </w:p>
    <w:p w14:paraId="5C16F19F" w14:textId="34AA5A04" w:rsidR="00CC11A9" w:rsidRPr="0096502F" w:rsidRDefault="006A2CEA" w:rsidP="00F55AB0">
      <w:pPr>
        <w:spacing w:after="0" w:line="240" w:lineRule="auto"/>
        <w:ind w:left="708"/>
        <w:rPr>
          <w:rFonts w:eastAsia="Times New Roman"/>
          <w:lang w:eastAsia="cs-CZ"/>
        </w:rPr>
      </w:pPr>
      <w:r>
        <w:rPr>
          <w:color w:val="000000"/>
        </w:rPr>
        <w:t>*****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5178F2" w:rsidRPr="005178F2">
        <w:rPr>
          <w:color w:val="000000"/>
        </w:rPr>
        <w:tab/>
      </w:r>
      <w:r w:rsidR="00CC11A9" w:rsidRPr="005178F2">
        <w:rPr>
          <w:color w:val="000000"/>
        </w:rPr>
        <w:t>číslo účtu</w:t>
      </w:r>
      <w:r w:rsidR="00CC11A9" w:rsidRPr="005178F2">
        <w:rPr>
          <w:color w:val="000000"/>
        </w:rPr>
        <w:tab/>
      </w:r>
      <w:r>
        <w:rPr>
          <w:color w:val="000000"/>
        </w:rPr>
        <w:t>*****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3F8943F6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F55AB0">
        <w:rPr>
          <w:rFonts w:eastAsia="Times New Roman"/>
          <w:lang w:eastAsia="cs-CZ"/>
        </w:rPr>
        <w:t xml:space="preserve"> </w:t>
      </w:r>
      <w:r w:rsidR="00F55AB0" w:rsidRPr="006D193A">
        <w:rPr>
          <w:rFonts w:eastAsia="Times New Roman"/>
          <w:lang w:eastAsia="cs-CZ"/>
        </w:rPr>
        <w:t>bezpečnosti a krizového řízení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807ED25" w14:textId="77777777" w:rsidR="001E376B" w:rsidRDefault="001E376B" w:rsidP="001E376B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>
        <w:rPr>
          <w:rFonts w:eastAsia="Times New Roman"/>
          <w:b/>
          <w:bCs/>
          <w:lang w:eastAsia="cs-CZ"/>
        </w:rPr>
        <w:t>Statutární město Karlovy Vary</w:t>
      </w:r>
      <w:r w:rsidRPr="0096502F">
        <w:rPr>
          <w:rFonts w:eastAsia="Times New Roman"/>
          <w:bCs/>
          <w:lang w:eastAsia="cs-CZ"/>
        </w:rPr>
        <w:t xml:space="preserve"> </w:t>
      </w:r>
    </w:p>
    <w:p w14:paraId="7152572C" w14:textId="347DC0B2" w:rsidR="00CC11A9" w:rsidRPr="00F4059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="001E376B">
        <w:rPr>
          <w:rFonts w:eastAsia="Times New Roman"/>
          <w:bCs/>
          <w:lang w:eastAsia="cs-CZ"/>
        </w:rPr>
        <w:t>Moskevská 2035/21</w:t>
      </w:r>
      <w:r w:rsidR="001E376B" w:rsidRPr="00134100">
        <w:rPr>
          <w:rFonts w:eastAsia="Times New Roman"/>
          <w:bCs/>
          <w:lang w:eastAsia="cs-CZ"/>
        </w:rPr>
        <w:t>, 3</w:t>
      </w:r>
      <w:r w:rsidR="001E376B">
        <w:rPr>
          <w:rFonts w:eastAsia="Times New Roman"/>
          <w:bCs/>
          <w:lang w:eastAsia="cs-CZ"/>
        </w:rPr>
        <w:t>60</w:t>
      </w:r>
      <w:r w:rsidR="001E376B" w:rsidRPr="00134100">
        <w:rPr>
          <w:rFonts w:eastAsia="Times New Roman"/>
          <w:bCs/>
          <w:lang w:eastAsia="cs-CZ"/>
        </w:rPr>
        <w:t xml:space="preserve"> 01 </w:t>
      </w:r>
      <w:r w:rsidR="001E376B">
        <w:rPr>
          <w:rFonts w:eastAsia="Times New Roman"/>
          <w:bCs/>
          <w:lang w:eastAsia="cs-CZ"/>
        </w:rPr>
        <w:t>Karlovy Vary</w:t>
      </w:r>
    </w:p>
    <w:p w14:paraId="7EE718E2" w14:textId="243A838C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="001E376B" w:rsidRPr="001E376B">
        <w:rPr>
          <w:rFonts w:eastAsia="Times New Roman"/>
          <w:bCs/>
          <w:lang w:eastAsia="cs-CZ"/>
        </w:rPr>
        <w:t>00254657</w:t>
      </w:r>
    </w:p>
    <w:p w14:paraId="02B29782" w14:textId="4E5174BB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DIČ:</w:t>
      </w:r>
      <w:r w:rsidRPr="0096502F">
        <w:rPr>
          <w:rFonts w:eastAsia="Times New Roman"/>
          <w:bCs/>
          <w:lang w:eastAsia="cs-CZ"/>
        </w:rPr>
        <w:tab/>
      </w:r>
      <w:r w:rsidR="001E376B">
        <w:rPr>
          <w:rFonts w:eastAsia="Times New Roman"/>
          <w:bCs/>
          <w:lang w:eastAsia="cs-CZ"/>
        </w:rPr>
        <w:t>CZ00254657</w:t>
      </w:r>
    </w:p>
    <w:p w14:paraId="5B9FA43D" w14:textId="4FB11501" w:rsidR="00CC11A9" w:rsidRPr="0096502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="001E376B" w:rsidRPr="00134100">
        <w:rPr>
          <w:rFonts w:eastAsia="Times New Roman"/>
          <w:lang w:eastAsia="cs-CZ"/>
        </w:rPr>
        <w:t xml:space="preserve">Ing. </w:t>
      </w:r>
      <w:r w:rsidR="001E376B">
        <w:rPr>
          <w:rFonts w:eastAsia="Times New Roman"/>
          <w:lang w:eastAsia="cs-CZ"/>
        </w:rPr>
        <w:t xml:space="preserve">Andreou Pfeffer </w:t>
      </w:r>
      <w:proofErr w:type="spellStart"/>
      <w:r w:rsidR="001E376B">
        <w:rPr>
          <w:rFonts w:eastAsia="Times New Roman"/>
          <w:lang w:eastAsia="cs-CZ"/>
        </w:rPr>
        <w:t>Ferklovou</w:t>
      </w:r>
      <w:proofErr w:type="spellEnd"/>
      <w:r w:rsidR="001E376B">
        <w:rPr>
          <w:rFonts w:eastAsia="Times New Roman"/>
          <w:lang w:eastAsia="cs-CZ"/>
        </w:rPr>
        <w:t>, MBA, primátorkou</w:t>
      </w:r>
    </w:p>
    <w:p w14:paraId="166C9F44" w14:textId="6B4C912E" w:rsidR="00F4059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6026A4C8" w14:textId="7CDA56A6" w:rsidR="00CC11A9" w:rsidRPr="00D9675B" w:rsidRDefault="006A2CEA" w:rsidP="005178F2">
      <w:pPr>
        <w:spacing w:after="0" w:line="240" w:lineRule="auto"/>
        <w:ind w:firstLine="708"/>
        <w:rPr>
          <w:rFonts w:eastAsia="Times New Roman"/>
          <w:highlight w:val="yellow"/>
          <w:lang w:eastAsia="cs-CZ"/>
        </w:rPr>
      </w:pPr>
      <w:r>
        <w:rPr>
          <w:rFonts w:eastAsia="Times New Roman"/>
          <w:lang w:eastAsia="cs-CZ"/>
        </w:rPr>
        <w:t>*****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CC11A9" w:rsidRPr="00D9675B">
        <w:rPr>
          <w:rFonts w:eastAsia="Times New Roman"/>
          <w:lang w:eastAsia="cs-CZ"/>
        </w:rPr>
        <w:tab/>
      </w:r>
      <w:r w:rsidR="00CC11A9" w:rsidRPr="00D9675B">
        <w:rPr>
          <w:rFonts w:eastAsia="Times New Roman"/>
          <w:lang w:eastAsia="cs-CZ"/>
        </w:rPr>
        <w:tab/>
      </w:r>
      <w:r w:rsidR="00CC11A9"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="00CC11A9" w:rsidRPr="001E376B">
        <w:rPr>
          <w:rFonts w:eastAsia="Times New Roman"/>
          <w:lang w:eastAsia="cs-CZ"/>
        </w:rPr>
        <w:t>číslo účtu:</w:t>
      </w:r>
      <w:r w:rsidR="00CC11A9" w:rsidRPr="001E376B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>*****</w:t>
      </w:r>
    </w:p>
    <w:p w14:paraId="458C6585" w14:textId="0634E00C" w:rsidR="00CC11A9" w:rsidRPr="00F40594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6A2CEA">
        <w:rPr>
          <w:rFonts w:eastAsia="Times New Roman"/>
          <w:lang w:eastAsia="cs-CZ"/>
        </w:rPr>
        <w:t>*****</w:t>
      </w:r>
    </w:p>
    <w:p w14:paraId="361F897E" w14:textId="545FFD68" w:rsidR="00560154" w:rsidRPr="009929D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="001E376B" w:rsidRPr="001E376B">
        <w:rPr>
          <w:rFonts w:eastAsia="Times New Roman"/>
          <w:lang w:eastAsia="cs-CZ"/>
        </w:rPr>
        <w:t>a89bwi8</w:t>
      </w:r>
    </w:p>
    <w:p w14:paraId="261F33D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0189673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139CBDEF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7F2F3ED4" w14:textId="528A5662" w:rsidR="00C617E2" w:rsidRDefault="00C617E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020C1C0" w14:textId="77777777" w:rsidR="00C617E2" w:rsidRDefault="00C617E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17057E7B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</w:t>
      </w:r>
      <w:r w:rsidR="00F55AB0">
        <w:rPr>
          <w:rFonts w:eastAsia="Arial Unicode MS"/>
          <w:lang w:eastAsia="cs-CZ"/>
        </w:rPr>
        <w:t xml:space="preserve">na podporu aktivit v oblasti prevence kriminality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3811DB13" w:rsidR="00B766F2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200E451E" w14:textId="77777777" w:rsidR="00F55AB0" w:rsidRPr="00F40594" w:rsidRDefault="00F55AB0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Výše dotace může být snížena s ohledem na </w:t>
      </w:r>
      <w:r w:rsidR="00393659" w:rsidRPr="009929D2">
        <w:rPr>
          <w:sz w:val="22"/>
          <w:szCs w:val="22"/>
        </w:rPr>
        <w:t xml:space="preserve">případnou </w:t>
      </w:r>
      <w:r w:rsidRPr="0096502F">
        <w:rPr>
          <w:sz w:val="22"/>
          <w:szCs w:val="22"/>
        </w:rPr>
        <w:t>maximální přípustnou výši podpory v režimu de minimis</w:t>
      </w:r>
      <w:r w:rsidR="00393659">
        <w:rPr>
          <w:sz w:val="22"/>
          <w:szCs w:val="22"/>
        </w:rPr>
        <w:t>,</w:t>
      </w:r>
      <w:r w:rsidRPr="0096502F">
        <w:rPr>
          <w:sz w:val="22"/>
          <w:szCs w:val="22"/>
        </w:rPr>
        <w:t xml:space="preserve"> a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to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dle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aktuálního stavu v registru podpor de minimis v den podpisu smlouvy.</w:t>
      </w:r>
    </w:p>
    <w:p w14:paraId="5A14974E" w14:textId="5E721E86" w:rsidR="00CC11A9" w:rsidRDefault="00CC11A9" w:rsidP="00F40594">
      <w:pPr>
        <w:pStyle w:val="Normlnweb"/>
        <w:rPr>
          <w:bCs/>
          <w:sz w:val="22"/>
          <w:szCs w:val="22"/>
        </w:rPr>
      </w:pPr>
    </w:p>
    <w:p w14:paraId="5B09EC58" w14:textId="77777777" w:rsidR="00C617E2" w:rsidRDefault="00C617E2" w:rsidP="00F40594">
      <w:pPr>
        <w:pStyle w:val="Normlnweb"/>
        <w:rPr>
          <w:bCs/>
          <w:sz w:val="22"/>
          <w:szCs w:val="22"/>
        </w:rPr>
      </w:pPr>
    </w:p>
    <w:p w14:paraId="6D2B849C" w14:textId="77777777" w:rsidR="00C617E2" w:rsidRPr="00F40594" w:rsidRDefault="00C617E2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014C5158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1A69A9">
        <w:rPr>
          <w:sz w:val="22"/>
          <w:szCs w:val="22"/>
        </w:rPr>
        <w:t xml:space="preserve">           </w:t>
      </w:r>
      <w:r w:rsidR="00317371" w:rsidRPr="00317371">
        <w:rPr>
          <w:b/>
          <w:sz w:val="22"/>
          <w:szCs w:val="22"/>
        </w:rPr>
        <w:t>2023</w:t>
      </w:r>
    </w:p>
    <w:p w14:paraId="041A388D" w14:textId="02FFF1C8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1A69A9">
        <w:rPr>
          <w:sz w:val="22"/>
          <w:szCs w:val="22"/>
        </w:rPr>
        <w:t xml:space="preserve">           </w:t>
      </w:r>
      <w:r w:rsidR="001E376B" w:rsidRPr="001E376B">
        <w:rPr>
          <w:b/>
          <w:sz w:val="22"/>
          <w:szCs w:val="22"/>
        </w:rPr>
        <w:t>60 000</w:t>
      </w:r>
      <w:r w:rsidRPr="001E376B">
        <w:rPr>
          <w:sz w:val="22"/>
          <w:szCs w:val="22"/>
        </w:rPr>
        <w:t xml:space="preserve"> </w:t>
      </w:r>
      <w:r w:rsidRPr="001E376B">
        <w:rPr>
          <w:b/>
          <w:sz w:val="22"/>
          <w:szCs w:val="22"/>
        </w:rPr>
        <w:t>Kč</w:t>
      </w:r>
    </w:p>
    <w:p w14:paraId="7CF831B7" w14:textId="2106CCF2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="001E376B" w:rsidRPr="001E376B">
        <w:rPr>
          <w:sz w:val="22"/>
          <w:szCs w:val="22"/>
        </w:rPr>
        <w:t xml:space="preserve">šedesát tisíc </w:t>
      </w:r>
      <w:r w:rsidRPr="0096502F">
        <w:rPr>
          <w:sz w:val="22"/>
          <w:szCs w:val="22"/>
        </w:rPr>
        <w:t>korun českých)</w:t>
      </w:r>
    </w:p>
    <w:p w14:paraId="58983808" w14:textId="0BD3B0E8" w:rsidR="00CC11A9" w:rsidRPr="00F40594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1A69A9">
        <w:rPr>
          <w:sz w:val="22"/>
          <w:szCs w:val="22"/>
        </w:rPr>
        <w:t xml:space="preserve">           </w:t>
      </w:r>
      <w:r w:rsidR="001A69A9" w:rsidRPr="001A69A9">
        <w:rPr>
          <w:b/>
          <w:sz w:val="22"/>
          <w:szCs w:val="22"/>
        </w:rPr>
        <w:t>Karlovy Vary – Notes strážníka Pavla</w:t>
      </w:r>
    </w:p>
    <w:p w14:paraId="62AA832A" w14:textId="297AD050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="001A69A9">
        <w:rPr>
          <w:sz w:val="22"/>
          <w:szCs w:val="22"/>
        </w:rPr>
        <w:t xml:space="preserve">          </w:t>
      </w:r>
      <w:r w:rsidR="006A2CEA">
        <w:rPr>
          <w:b/>
          <w:sz w:val="22"/>
          <w:szCs w:val="22"/>
        </w:rPr>
        <w:t>*****</w:t>
      </w:r>
      <w:bookmarkStart w:id="0" w:name="_GoBack"/>
      <w:bookmarkEnd w:id="0"/>
    </w:p>
    <w:p w14:paraId="4276D08D" w14:textId="398B3EEC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DF9AD17" w14:textId="77777777" w:rsidR="00C617E2" w:rsidRDefault="00C617E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221799D9" w14:textId="037625E2" w:rsidR="00D733D2" w:rsidRPr="00317371" w:rsidRDefault="00D733D2" w:rsidP="00317371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76C162AA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317371">
        <w:rPr>
          <w:rFonts w:eastAsia="Arial Unicode MS"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081AB3F3" w14:textId="77777777" w:rsidR="00317371" w:rsidRDefault="00317371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71693EB" w14:textId="4E96BE98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352797A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317371" w:rsidRPr="001E1141">
        <w:rPr>
          <w:rFonts w:eastAsia="Arial Unicode MS"/>
          <w:b/>
          <w:lang w:eastAsia="cs-CZ"/>
        </w:rPr>
        <w:t>31.</w:t>
      </w:r>
      <w:r w:rsidR="00317371">
        <w:rPr>
          <w:rFonts w:eastAsia="Arial Unicode MS"/>
          <w:b/>
          <w:lang w:eastAsia="cs-CZ"/>
        </w:rPr>
        <w:t xml:space="preserve"> 12. 2023</w:t>
      </w:r>
      <w:r w:rsidR="00317371" w:rsidRPr="005856B3">
        <w:rPr>
          <w:rFonts w:eastAsia="Arial Unicode MS"/>
          <w:lang w:eastAsia="cs-CZ"/>
        </w:rPr>
        <w:t>.</w:t>
      </w:r>
      <w:r w:rsidR="00317371">
        <w:rPr>
          <w:rFonts w:eastAsia="Arial Unicode MS"/>
          <w:lang w:eastAsia="cs-CZ"/>
        </w:rPr>
        <w:t xml:space="preserve"> </w:t>
      </w:r>
      <w:r w:rsidR="00317371" w:rsidRPr="00710FA6">
        <w:rPr>
          <w:rFonts w:eastAsia="Arial Unicode MS"/>
          <w:lang w:eastAsia="cs-CZ"/>
        </w:rPr>
        <w:t>Výjimku tvoří pouze osobn</w:t>
      </w:r>
      <w:r w:rsidR="00317371">
        <w:rPr>
          <w:rFonts w:eastAsia="Arial Unicode MS"/>
          <w:lang w:eastAsia="cs-CZ"/>
        </w:rPr>
        <w:t>í náklady za měsíc prosinec 2023</w:t>
      </w:r>
      <w:r w:rsidR="00317371" w:rsidRPr="00710FA6">
        <w:rPr>
          <w:rFonts w:eastAsia="Arial Unicode MS"/>
          <w:lang w:eastAsia="cs-CZ"/>
        </w:rPr>
        <w:t>, které moh</w:t>
      </w:r>
      <w:r w:rsidR="00317371">
        <w:rPr>
          <w:rFonts w:eastAsia="Arial Unicode MS"/>
          <w:lang w:eastAsia="cs-CZ"/>
        </w:rPr>
        <w:t xml:space="preserve">ou být uhrazeny nejpozději </w:t>
      </w:r>
      <w:r w:rsidR="00DA280B">
        <w:rPr>
          <w:rFonts w:eastAsia="Arial Unicode MS"/>
          <w:lang w:eastAsia="cs-CZ"/>
        </w:rPr>
        <w:br/>
      </w:r>
      <w:r w:rsidR="00317371">
        <w:rPr>
          <w:rFonts w:eastAsia="Arial Unicode MS"/>
          <w:lang w:eastAsia="cs-CZ"/>
        </w:rPr>
        <w:t>do 20</w:t>
      </w:r>
      <w:r w:rsidR="00317371" w:rsidRPr="00710FA6">
        <w:rPr>
          <w:rFonts w:eastAsia="Arial Unicode MS"/>
          <w:lang w:eastAsia="cs-CZ"/>
        </w:rPr>
        <w:t>. 1.</w:t>
      </w:r>
      <w:r w:rsidR="00317371">
        <w:rPr>
          <w:rFonts w:eastAsia="Arial Unicode MS"/>
          <w:lang w:eastAsia="cs-CZ"/>
        </w:rPr>
        <w:t xml:space="preserve"> 2024</w:t>
      </w:r>
      <w:r w:rsidRPr="005856B3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A3C3AE2" w14:textId="4E0B0999" w:rsidR="00D733D2" w:rsidRPr="0096502F" w:rsidRDefault="00DC708E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DC708E">
        <w:rPr>
          <w:rFonts w:eastAsia="Arial Unicode MS"/>
          <w:bCs/>
          <w:lang w:eastAsia="cs-CZ"/>
        </w:rPr>
        <w:t>Dotace je neinvestičního charakteru a příjemce ji použije</w:t>
      </w:r>
      <w:r w:rsidR="00D3583E">
        <w:rPr>
          <w:rFonts w:eastAsia="Arial Unicode MS"/>
          <w:bCs/>
          <w:lang w:eastAsia="cs-CZ"/>
        </w:rPr>
        <w:t xml:space="preserve"> </w:t>
      </w:r>
      <w:r w:rsidR="00D3583E" w:rsidRPr="007B772E">
        <w:rPr>
          <w:rFonts w:eastAsia="Arial Unicode MS"/>
          <w:bCs/>
          <w:lang w:eastAsia="cs-CZ"/>
        </w:rPr>
        <w:t xml:space="preserve">k pokrytí nákladů vynaložených </w:t>
      </w:r>
      <w:r w:rsidR="00DA280B">
        <w:rPr>
          <w:rFonts w:eastAsia="Arial Unicode MS"/>
          <w:bCs/>
          <w:lang w:eastAsia="cs-CZ"/>
        </w:rPr>
        <w:br/>
      </w:r>
      <w:r w:rsidR="00D3583E" w:rsidRPr="007B772E">
        <w:rPr>
          <w:rFonts w:eastAsia="Arial Unicode MS"/>
          <w:bCs/>
          <w:lang w:eastAsia="cs-CZ"/>
        </w:rPr>
        <w:t>při realizaci projektu</w:t>
      </w:r>
      <w:r w:rsidR="00D3583E">
        <w:rPr>
          <w:rFonts w:eastAsia="Arial Unicode MS"/>
          <w:bCs/>
          <w:lang w:eastAsia="cs-CZ"/>
        </w:rPr>
        <w:t xml:space="preserve"> </w:t>
      </w:r>
      <w:r w:rsidR="00D3583E" w:rsidRPr="001A69A9">
        <w:rPr>
          <w:b/>
        </w:rPr>
        <w:t>Karlovy Vary – Notes strážníka Pavla</w:t>
      </w:r>
      <w:r w:rsidR="00464145">
        <w:t xml:space="preserve">, zaměřeného na zvyšování osobního bezpečí dětí a předcházení vzniku sociálně patologických jevů a rizikového chování dětí. Dotace bude využita na výrobu </w:t>
      </w:r>
      <w:r w:rsidR="00D3583E">
        <w:rPr>
          <w:rFonts w:eastAsia="Arial Unicode MS"/>
          <w:bCs/>
          <w:lang w:eastAsia="cs-CZ"/>
        </w:rPr>
        <w:t>didaktických</w:t>
      </w:r>
      <w:r w:rsidR="00464145">
        <w:rPr>
          <w:rFonts w:eastAsia="Arial Unicode MS"/>
          <w:bCs/>
          <w:lang w:eastAsia="cs-CZ"/>
        </w:rPr>
        <w:t xml:space="preserve">, metodických a motivačních pomůcek a tiskovin s interaktivním obsahem, např. notesů, pexes, rozvrhů hodin, samolepek, záložek apod. </w:t>
      </w:r>
      <w:r w:rsidR="00D3583E">
        <w:rPr>
          <w:rFonts w:eastAsia="Arial Unicode MS"/>
          <w:bCs/>
          <w:lang w:eastAsia="cs-CZ"/>
        </w:rPr>
        <w:t xml:space="preserve"> </w:t>
      </w:r>
    </w:p>
    <w:p w14:paraId="53ABDEC5" w14:textId="39497E81" w:rsidR="00D733D2" w:rsidRPr="0096502F" w:rsidRDefault="00D733D2" w:rsidP="00DC708E">
      <w:pPr>
        <w:spacing w:after="0" w:line="240" w:lineRule="auto"/>
        <w:ind w:left="708"/>
        <w:rPr>
          <w:rFonts w:eastAsia="Arial Unicode MS"/>
          <w:lang w:eastAsia="cs-CZ"/>
        </w:rPr>
      </w:pPr>
    </w:p>
    <w:p w14:paraId="555BA861" w14:textId="77777777" w:rsidR="00B766F2" w:rsidRPr="00F40594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1767DDB2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DC708E">
        <w:rPr>
          <w:lang w:eastAsia="cs-CZ"/>
        </w:rPr>
        <w:t>Programem na podporu aktivit v oblasti prevence kriminality</w:t>
      </w:r>
      <w:r w:rsidR="00820862">
        <w:rPr>
          <w:lang w:eastAsia="cs-CZ"/>
        </w:rPr>
        <w:t xml:space="preserve"> </w:t>
      </w:r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 xml:space="preserve">Karlovarského kraje usnesením číslo </w:t>
      </w:r>
      <w:r w:rsidR="00DC708E">
        <w:rPr>
          <w:lang w:eastAsia="cs-CZ"/>
        </w:rPr>
        <w:t>ZK 516/12/22</w:t>
      </w:r>
      <w:r w:rsidR="00DA280B">
        <w:rPr>
          <w:lang w:eastAsia="cs-CZ"/>
        </w:rPr>
        <w:br/>
      </w:r>
      <w:r w:rsidRPr="0096502F">
        <w:rPr>
          <w:lang w:eastAsia="cs-CZ"/>
        </w:rPr>
        <w:t>ze</w:t>
      </w:r>
      <w:r w:rsidR="00DA280B">
        <w:rPr>
          <w:lang w:eastAsia="cs-CZ"/>
        </w:rPr>
        <w:t xml:space="preserve"> </w:t>
      </w:r>
      <w:r w:rsidRPr="0096502F">
        <w:rPr>
          <w:lang w:eastAsia="cs-CZ"/>
        </w:rPr>
        <w:t>dne</w:t>
      </w:r>
      <w:r w:rsidR="00DA280B">
        <w:rPr>
          <w:lang w:eastAsia="cs-CZ"/>
        </w:rPr>
        <w:t xml:space="preserve"> </w:t>
      </w:r>
      <w:r w:rsidR="00DC708E">
        <w:rPr>
          <w:lang w:eastAsia="cs-CZ"/>
        </w:rPr>
        <w:t>12. 12. 2022</w:t>
      </w:r>
      <w:r w:rsidRPr="0096502F">
        <w:rPr>
          <w:lang w:eastAsia="cs-CZ"/>
        </w:rPr>
        <w:t>, zveřejněným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345EB3DA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</w:t>
      </w:r>
      <w:r w:rsidR="00464145" w:rsidRPr="0096502F">
        <w:rPr>
          <w:rFonts w:eastAsia="Arial Unicode MS"/>
          <w:lang w:eastAsia="cs-CZ"/>
        </w:rPr>
        <w:t>dary, pohoštění, mzdy pracovníků nebo funkcionářů příjemce či</w:t>
      </w:r>
      <w:r w:rsidR="00464145">
        <w:rPr>
          <w:rFonts w:eastAsia="Arial Unicode MS"/>
          <w:lang w:eastAsia="cs-CZ"/>
        </w:rPr>
        <w:t> </w:t>
      </w:r>
      <w:r w:rsidR="00464145" w:rsidRPr="0096502F">
        <w:rPr>
          <w:rFonts w:eastAsia="Arial Unicode MS"/>
          <w:lang w:eastAsia="cs-CZ"/>
        </w:rPr>
        <w:t>příjemce samotného, penále, úroky z úvěrů, náhrady škod,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lastRenderedPageBreak/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5312B6F7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10235E" w:rsidRPr="004206B1">
        <w:rPr>
          <w:rFonts w:eastAsia="Arial Unicode MS"/>
          <w:b/>
          <w:lang w:eastAsia="cs-CZ"/>
        </w:rPr>
        <w:t>31. 1.</w:t>
      </w:r>
      <w:r w:rsidR="004206B1">
        <w:rPr>
          <w:rFonts w:eastAsia="Arial Unicode MS"/>
          <w:b/>
          <w:lang w:eastAsia="cs-CZ"/>
        </w:rPr>
        <w:t xml:space="preserve"> </w:t>
      </w:r>
      <w:r w:rsidR="0010235E" w:rsidRPr="004206B1">
        <w:rPr>
          <w:rFonts w:eastAsia="Arial Unicode MS"/>
          <w:b/>
          <w:lang w:eastAsia="cs-CZ"/>
        </w:rPr>
        <w:t>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="004F5509">
        <w:rPr>
          <w:rFonts w:eastAsia="Arial Unicode MS"/>
          <w:lang w:eastAsia="cs-CZ"/>
        </w:rPr>
        <w:t>:</w:t>
      </w:r>
    </w:p>
    <w:p w14:paraId="3072AEDF" w14:textId="577485F9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4F5509" w:rsidRPr="00A22E47">
        <w:rPr>
          <w:rFonts w:eastAsia="Arial Unicode MS"/>
          <w:lang w:eastAsia="cs-CZ"/>
        </w:rPr>
        <w:t>;</w:t>
      </w:r>
    </w:p>
    <w:p w14:paraId="3AAB6220" w14:textId="524012C3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průkaznou fotodokumentaci</w:t>
      </w:r>
      <w:r w:rsidR="004F3493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předmětu dotace;</w:t>
      </w:r>
    </w:p>
    <w:p w14:paraId="5BE0398B" w14:textId="4A26F1B0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</w:t>
      </w:r>
      <w:r w:rsidR="004206B1">
        <w:rPr>
          <w:rFonts w:eastAsia="Arial Unicode MS"/>
          <w:lang w:eastAsia="cs-CZ"/>
        </w:rPr>
        <w:t>.</w:t>
      </w:r>
    </w:p>
    <w:p w14:paraId="504E1F98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77777777" w:rsidR="00476C23" w:rsidRPr="00476C23" w:rsidRDefault="008F0B23" w:rsidP="0072095D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72095D">
      <w:pPr>
        <w:numPr>
          <w:ilvl w:val="0"/>
          <w:numId w:val="38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72095D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12F57AB5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4206B1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 xml:space="preserve">účet </w:t>
      </w:r>
      <w:bookmarkStart w:id="1" w:name="_Hlk130395516"/>
      <w:r w:rsidRPr="00A22E47">
        <w:rPr>
          <w:rFonts w:eastAsia="Arial Unicode MS"/>
          <w:lang w:eastAsia="cs-CZ"/>
        </w:rPr>
        <w:t>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bookmarkEnd w:id="1"/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4206B1">
        <w:rPr>
          <w:rFonts w:eastAsia="Arial Unicode MS"/>
          <w:lang w:eastAsia="cs-CZ"/>
        </w:rPr>
        <w:t>.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0714BF42" w14:textId="77777777" w:rsidR="008F0B23" w:rsidRPr="0096502F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424ADE14" w14:textId="01106E9D" w:rsidR="008F0B23" w:rsidRPr="0096502F" w:rsidRDefault="008F0B23" w:rsidP="00313C0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rovněž povinen vrátit poskytnuté finanční prostředky na účet </w:t>
      </w:r>
      <w:r w:rsidR="00313C0F" w:rsidRPr="00313C0F">
        <w:rPr>
          <w:rFonts w:eastAsia="Arial Unicode MS"/>
          <w:lang w:eastAsia="cs-CZ"/>
        </w:rPr>
        <w:t>poskytovatele, ze kterého dotaci obdržel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>termín pro vyčerpání poskytnutých finančních prostředků uvedený v čl. IV</w:t>
      </w:r>
      <w:r w:rsidR="00313C0F">
        <w:rPr>
          <w:rFonts w:eastAsia="Arial Unicode MS"/>
          <w:lang w:eastAsia="cs-CZ"/>
        </w:rPr>
        <w:t>.</w:t>
      </w:r>
      <w:r w:rsidR="00686ECC">
        <w:rPr>
          <w:rFonts w:eastAsia="Arial Unicode MS"/>
          <w:lang w:eastAsia="cs-CZ"/>
        </w:rPr>
        <w:t xml:space="preserve"> odst. 1, </w:t>
      </w:r>
      <w:r w:rsidRPr="0096502F">
        <w:rPr>
          <w:rFonts w:eastAsia="Arial Unicode MS"/>
          <w:lang w:eastAsia="cs-CZ"/>
        </w:rPr>
        <w:t xml:space="preserve">a to do </w:t>
      </w:r>
      <w:r w:rsidR="00313C0F">
        <w:rPr>
          <w:rFonts w:eastAsia="Arial Unicode MS"/>
          <w:lang w:eastAsia="cs-CZ"/>
        </w:rPr>
        <w:t>15</w:t>
      </w:r>
      <w:r w:rsidRPr="00AE1C37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313C0F">
        <w:rPr>
          <w:rFonts w:eastAsia="Arial Unicode MS"/>
          <w:lang w:eastAsia="cs-CZ"/>
        </w:rPr>
        <w:t>.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313C0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313C0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5DF61B50" w14:textId="0E4928E2" w:rsidR="008F0B23" w:rsidRPr="0096502F" w:rsidRDefault="008F0B23" w:rsidP="00313C0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="00334FD3">
        <w:rPr>
          <w:rFonts w:eastAsia="Arial Unicode MS"/>
          <w:lang w:eastAsia="cs-CZ"/>
        </w:rPr>
        <w:t>20</w:t>
      </w:r>
      <w:r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</w:t>
      </w:r>
      <w:r w:rsidR="009871C8" w:rsidRPr="0096502F">
        <w:rPr>
          <w:rFonts w:eastAsia="Arial Unicode MS"/>
          <w:lang w:eastAsia="cs-CZ"/>
        </w:rPr>
        <w:t xml:space="preserve">změnu </w:t>
      </w:r>
      <w:r w:rsidR="009871C8">
        <w:rPr>
          <w:rFonts w:eastAsia="Arial Unicode MS"/>
          <w:lang w:eastAsia="cs-CZ"/>
        </w:rPr>
        <w:t>oprávněné osoby</w:t>
      </w:r>
      <w:r w:rsidR="009871C8" w:rsidRPr="0096502F">
        <w:rPr>
          <w:rFonts w:eastAsia="Arial Unicode MS"/>
          <w:lang w:eastAsia="cs-CZ"/>
        </w:rPr>
        <w:t xml:space="preserve"> příjemce, změnu vlastnického vztahu příjemce k věci, na niž se dotace poskytuje apod.</w:t>
      </w:r>
    </w:p>
    <w:p w14:paraId="4582C3D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44A12CDC" w14:textId="42664A3D" w:rsidR="008F0B23" w:rsidRPr="0096502F" w:rsidRDefault="008F0B23" w:rsidP="00313C0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</w:t>
      </w:r>
      <w:r w:rsidR="009871C8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</w:t>
      </w:r>
      <w:r w:rsidR="009871C8" w:rsidRPr="0096502F">
        <w:rPr>
          <w:rFonts w:eastAsia="Arial Unicode MS"/>
          <w:lang w:eastAsia="cs-CZ"/>
        </w:rPr>
        <w:t>aby</w:t>
      </w:r>
      <w:r w:rsidR="009871C8">
        <w:rPr>
          <w:rFonts w:eastAsia="Arial Unicode MS"/>
          <w:lang w:eastAsia="cs-CZ"/>
        </w:rPr>
        <w:t> </w:t>
      </w:r>
      <w:r w:rsidR="009871C8" w:rsidRPr="0096502F">
        <w:rPr>
          <w:rFonts w:eastAsia="Arial Unicode MS"/>
          <w:lang w:eastAsia="cs-CZ"/>
        </w:rPr>
        <w:t xml:space="preserve">práva a povinnosti ze smlouvy přešly na </w:t>
      </w:r>
      <w:r w:rsidR="009871C8">
        <w:rPr>
          <w:rFonts w:eastAsia="Arial Unicode MS"/>
          <w:lang w:eastAsia="cs-CZ"/>
        </w:rPr>
        <w:t xml:space="preserve">nového vlastníka </w:t>
      </w:r>
      <w:r w:rsidR="009871C8" w:rsidRPr="0096502F">
        <w:rPr>
          <w:rFonts w:eastAsia="Arial Unicode MS"/>
          <w:lang w:eastAsia="cs-CZ"/>
        </w:rPr>
        <w:t>věci, na niž se dotace poskytuje</w:t>
      </w:r>
      <w:r w:rsidR="009871C8">
        <w:rPr>
          <w:rFonts w:eastAsia="Arial Unicode MS"/>
          <w:lang w:eastAsia="cs-CZ"/>
        </w:rPr>
        <w:t>,</w:t>
      </w:r>
      <w:r w:rsidR="009871C8" w:rsidRPr="0096502F">
        <w:rPr>
          <w:rFonts w:eastAsia="Arial Unicode MS"/>
          <w:lang w:eastAsia="cs-CZ"/>
        </w:rPr>
        <w:t xml:space="preserve"> nebo</w:t>
      </w:r>
      <w:r w:rsidR="009871C8">
        <w:rPr>
          <w:rFonts w:eastAsia="Arial Unicode MS"/>
          <w:lang w:eastAsia="cs-CZ"/>
        </w:rPr>
        <w:t> </w:t>
      </w:r>
      <w:r w:rsidR="009871C8" w:rsidRPr="0096502F">
        <w:rPr>
          <w:rFonts w:eastAsia="Arial Unicode MS"/>
          <w:lang w:eastAsia="cs-CZ"/>
        </w:rPr>
        <w:t>podat návrh na ukončení smlouvy.</w:t>
      </w:r>
    </w:p>
    <w:p w14:paraId="6994C3B9" w14:textId="4070F1E3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7FC76B1" w14:textId="77777777" w:rsidR="002322CA" w:rsidRPr="0096502F" w:rsidRDefault="002322CA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43E8675B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  <w:r w:rsidR="00334FD3">
        <w:rPr>
          <w:rFonts w:eastAsia="Times New Roman"/>
          <w:lang w:eastAsia="cs-CZ"/>
        </w:rPr>
        <w:t xml:space="preserve">   </w:t>
      </w:r>
    </w:p>
    <w:p w14:paraId="104231F3" w14:textId="3B624D5A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453E427F" w14:textId="77777777" w:rsidR="002322CA" w:rsidRPr="000717F9" w:rsidRDefault="002322CA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2BF4E6B2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FF4BE7">
        <w:rPr>
          <w:rFonts w:eastAsia="Times New Roman"/>
          <w:bCs/>
          <w:lang w:eastAsia="cs-CZ"/>
        </w:rPr>
        <w:t>6</w:t>
      </w:r>
      <w:r w:rsidR="00D80E8F">
        <w:rPr>
          <w:rFonts w:eastAsia="Times New Roman"/>
          <w:bCs/>
          <w:lang w:eastAsia="cs-CZ"/>
        </w:rPr>
        <w:t>, 9</w:t>
      </w:r>
      <w:r w:rsidR="0029215C">
        <w:rPr>
          <w:rFonts w:eastAsia="Times New Roman"/>
          <w:bCs/>
          <w:lang w:eastAsia="cs-CZ"/>
        </w:rPr>
        <w:t>,</w:t>
      </w:r>
      <w:r w:rsidR="00FF4BE7">
        <w:rPr>
          <w:rFonts w:eastAsia="Times New Roman"/>
          <w:bCs/>
          <w:lang w:eastAsia="cs-CZ"/>
        </w:rPr>
        <w:t xml:space="preserve"> 10, 11,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13AD019F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FF4BE7">
        <w:rPr>
          <w:rFonts w:eastAsia="Times New Roman"/>
          <w:bCs/>
          <w:lang w:eastAsia="cs-CZ"/>
        </w:rPr>
        <w:t xml:space="preserve"> 4, </w:t>
      </w:r>
      <w:r w:rsidRPr="00B37E02">
        <w:rPr>
          <w:rFonts w:eastAsia="Times New Roman"/>
          <w:bCs/>
          <w:lang w:eastAsia="cs-CZ"/>
        </w:rPr>
        <w:t>7</w:t>
      </w:r>
      <w:r w:rsidR="00FF4BE7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06B0B9D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</w:t>
      </w:r>
      <w:r w:rsidR="00DA280B">
        <w:rPr>
          <w:rFonts w:eastAsia="Times New Roman"/>
          <w:bCs/>
          <w:lang w:eastAsia="cs-CZ"/>
        </w:rPr>
        <w:br/>
      </w:r>
      <w:r w:rsidRPr="00B37E02">
        <w:rPr>
          <w:rFonts w:eastAsia="Times New Roman"/>
          <w:bCs/>
          <w:lang w:eastAsia="cs-CZ"/>
        </w:rPr>
        <w:t>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42086E4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="00FF4BE7">
        <w:rPr>
          <w:rFonts w:eastAsia="Times New Roman"/>
          <w:bCs/>
          <w:lang w:eastAsia="cs-CZ"/>
        </w:rPr>
        <w:t>,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</w:t>
      </w:r>
      <w:r w:rsidR="00FF4BE7">
        <w:rPr>
          <w:rFonts w:eastAsia="Arial Unicode MS"/>
          <w:lang w:eastAsia="cs-CZ"/>
        </w:rPr>
        <w:t>.</w:t>
      </w:r>
      <w:r w:rsidR="00401FF7" w:rsidRPr="008721B5">
        <w:rPr>
          <w:rFonts w:eastAsia="Arial Unicode MS"/>
          <w:lang w:eastAsia="cs-CZ"/>
        </w:rPr>
        <w:t xml:space="preserve">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0089E2F3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44D42B77" w14:textId="77777777" w:rsidR="002322CA" w:rsidRPr="00F40594" w:rsidRDefault="002322CA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5B3B98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5B3B98">
        <w:rPr>
          <w:rFonts w:eastAsia="Times New Roman"/>
          <w:b/>
          <w:bCs/>
          <w:lang w:eastAsia="cs-CZ"/>
        </w:rPr>
        <w:t>Čl. I</w:t>
      </w:r>
      <w:r w:rsidR="002C3670" w:rsidRPr="005B3B98">
        <w:rPr>
          <w:rFonts w:eastAsia="Times New Roman"/>
          <w:b/>
          <w:bCs/>
          <w:lang w:eastAsia="cs-CZ"/>
        </w:rPr>
        <w:t>X</w:t>
      </w:r>
      <w:r w:rsidRPr="005B3B98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5B3B98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 xml:space="preserve">začíná běžet 1. dnem následujícím po dni doručení výpovědi druhé smluvní straně. V případě pochybností se má za to, </w:t>
      </w:r>
      <w:r w:rsidRPr="0096502F">
        <w:rPr>
          <w:rFonts w:eastAsia="Times New Roman"/>
          <w:lang w:eastAsia="cs-CZ"/>
        </w:rPr>
        <w:lastRenderedPageBreak/>
        <w:t>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50DB0916" w14:textId="77777777" w:rsidR="00D4754B" w:rsidRPr="00F40594" w:rsidRDefault="00D4754B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B81739A" w14:textId="77777777" w:rsidR="008D2C71" w:rsidRDefault="008D2C71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6B5C023" w14:textId="7B970400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107D806C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</w:t>
      </w:r>
      <w:r w:rsidR="00D4754B">
        <w:rPr>
          <w:rFonts w:eastAsia="Times New Roman"/>
          <w:lang w:eastAsia="cs-CZ"/>
        </w:rPr>
        <w:t>)</w:t>
      </w:r>
      <w:r w:rsidRPr="00A5637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10F2282E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C617E2">
        <w:rPr>
          <w:rStyle w:val="Znakapoznpodarou"/>
          <w:rFonts w:eastAsia="Times New Roman"/>
          <w:lang w:eastAsia="cs-CZ"/>
        </w:rPr>
        <w:footnoteReference w:id="1"/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15DEBE86" w14:textId="1A944E00" w:rsidR="008D2C71" w:rsidRDefault="008D2C71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468105CE" w14:textId="77777777" w:rsidR="002322CA" w:rsidRPr="0096502F" w:rsidRDefault="002322CA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21D3307" w14:textId="0BDD4755" w:rsidR="008F0B23" w:rsidRPr="00D454DF" w:rsidRDefault="008F0B23" w:rsidP="00D454DF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0F7475B" w14:textId="77777777" w:rsidR="008F0B23" w:rsidRPr="0096502F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 w:rsidRPr="00AA0059">
        <w:rPr>
          <w:rFonts w:eastAsia="Times New Roman"/>
          <w:lang w:eastAsia="cs-CZ"/>
        </w:rPr>
        <w:t xml:space="preserve">ve 3 vyhotoveních, z nichž 2 obdrží poskytovatel a 1 </w:t>
      </w:r>
      <w:r w:rsidRPr="0096502F">
        <w:rPr>
          <w:rFonts w:eastAsia="Times New Roman"/>
          <w:lang w:eastAsia="cs-CZ"/>
        </w:rPr>
        <w:t>příjemce.</w:t>
      </w:r>
    </w:p>
    <w:p w14:paraId="4E1C6E05" w14:textId="77777777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75638B06" w14:textId="11DC0322" w:rsidR="008D2C71" w:rsidRPr="002322CA" w:rsidRDefault="008F0B23" w:rsidP="00C617E2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6FC4F21" w14:textId="09DD6D56" w:rsidR="008B0D16" w:rsidRDefault="008B0D16" w:rsidP="00934BBF">
      <w:pPr>
        <w:tabs>
          <w:tab w:val="left" w:pos="426"/>
        </w:tabs>
        <w:spacing w:after="0" w:line="240" w:lineRule="auto"/>
        <w:rPr>
          <w:rFonts w:eastAsia="Times New Roman"/>
          <w:lang w:eastAsia="cs-CZ"/>
        </w:rPr>
      </w:pPr>
    </w:p>
    <w:p w14:paraId="0EB84440" w14:textId="4E1F1414" w:rsidR="00DA280B" w:rsidRDefault="00DA280B" w:rsidP="00934BBF">
      <w:pPr>
        <w:tabs>
          <w:tab w:val="left" w:pos="426"/>
        </w:tabs>
        <w:spacing w:after="0" w:line="240" w:lineRule="auto"/>
        <w:rPr>
          <w:rFonts w:eastAsia="Times New Roman"/>
          <w:lang w:eastAsia="cs-CZ"/>
        </w:rPr>
      </w:pPr>
    </w:p>
    <w:p w14:paraId="19523263" w14:textId="0163C1C2" w:rsidR="00DA280B" w:rsidRDefault="00DA280B" w:rsidP="00934BBF">
      <w:pPr>
        <w:tabs>
          <w:tab w:val="left" w:pos="426"/>
        </w:tabs>
        <w:spacing w:after="0" w:line="240" w:lineRule="auto"/>
        <w:rPr>
          <w:rFonts w:eastAsia="Times New Roman"/>
          <w:lang w:eastAsia="cs-CZ"/>
        </w:rPr>
      </w:pPr>
    </w:p>
    <w:p w14:paraId="6B0CCF05" w14:textId="656EDEB6" w:rsidR="00DA280B" w:rsidRDefault="00DA280B" w:rsidP="00934BBF">
      <w:pPr>
        <w:tabs>
          <w:tab w:val="left" w:pos="426"/>
        </w:tabs>
        <w:spacing w:after="0" w:line="240" w:lineRule="auto"/>
        <w:rPr>
          <w:rFonts w:eastAsia="Times New Roman"/>
          <w:lang w:eastAsia="cs-CZ"/>
        </w:rPr>
      </w:pPr>
    </w:p>
    <w:p w14:paraId="6962E713" w14:textId="3942A978" w:rsidR="00DA280B" w:rsidRDefault="00DA280B" w:rsidP="00934BBF">
      <w:pPr>
        <w:tabs>
          <w:tab w:val="left" w:pos="426"/>
        </w:tabs>
        <w:spacing w:after="0" w:line="240" w:lineRule="auto"/>
        <w:rPr>
          <w:rFonts w:eastAsia="Times New Roman"/>
          <w:lang w:eastAsia="cs-CZ"/>
        </w:rPr>
      </w:pPr>
    </w:p>
    <w:p w14:paraId="4D6C3171" w14:textId="4AB19584" w:rsidR="00DA280B" w:rsidRDefault="00DA280B" w:rsidP="00934BBF">
      <w:pPr>
        <w:tabs>
          <w:tab w:val="left" w:pos="426"/>
        </w:tabs>
        <w:spacing w:after="0" w:line="240" w:lineRule="auto"/>
        <w:rPr>
          <w:rFonts w:eastAsia="Times New Roman"/>
          <w:lang w:eastAsia="cs-CZ"/>
        </w:rPr>
      </w:pPr>
    </w:p>
    <w:p w14:paraId="19C1BE26" w14:textId="77777777" w:rsidR="00DA280B" w:rsidRPr="0096502F" w:rsidRDefault="00DA280B" w:rsidP="00934BBF">
      <w:pPr>
        <w:tabs>
          <w:tab w:val="left" w:pos="426"/>
        </w:tabs>
        <w:spacing w:after="0" w:line="240" w:lineRule="auto"/>
        <w:rPr>
          <w:rFonts w:eastAsia="Times New Roman"/>
          <w:lang w:eastAsia="cs-CZ"/>
        </w:rPr>
      </w:pPr>
    </w:p>
    <w:p w14:paraId="26F00006" w14:textId="1B67E013" w:rsidR="008F0B23" w:rsidRPr="0096502F" w:rsidRDefault="002322CA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písm. c) příp. d) zákona č. 129/2000 Sb., o krajích (krajské zřízení), ve znění pozdějších předpisů, Zastupitelstvo Karlovarského kraje usnesením č. ZK</w:t>
      </w:r>
      <w:r w:rsidR="00DA280B">
        <w:rPr>
          <w:rFonts w:eastAsia="Times New Roman"/>
          <w:lang w:eastAsia="cs-CZ"/>
        </w:rPr>
        <w:t xml:space="preserve"> 241/05/23 </w:t>
      </w:r>
      <w:r w:rsidRPr="002B67D8">
        <w:rPr>
          <w:rFonts w:eastAsia="Times New Roman"/>
          <w:lang w:eastAsia="cs-CZ"/>
        </w:rPr>
        <w:t xml:space="preserve">ze dne </w:t>
      </w:r>
      <w:r w:rsidR="00DA280B">
        <w:rPr>
          <w:rFonts w:eastAsia="Times New Roman"/>
          <w:lang w:eastAsia="cs-CZ"/>
        </w:rPr>
        <w:t>15. 5. 2023.</w:t>
      </w:r>
    </w:p>
    <w:p w14:paraId="1890E3D6" w14:textId="38A87F70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48CFDA8D" w14:textId="77777777" w:rsidR="00DA280B" w:rsidRDefault="00DA280B" w:rsidP="008F0B23">
      <w:pPr>
        <w:spacing w:after="0" w:line="240" w:lineRule="auto"/>
        <w:rPr>
          <w:rFonts w:eastAsia="Times New Roman"/>
          <w:lang w:eastAsia="cs-CZ"/>
        </w:rPr>
      </w:pPr>
    </w:p>
    <w:p w14:paraId="590860E8" w14:textId="77777777" w:rsidR="008D2C71" w:rsidRDefault="008D2C71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DA280B">
        <w:trPr>
          <w:trHeight w:val="871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8D2C71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CDFB6A2" w14:textId="120B1284" w:rsidR="008F0B2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4B83B585" w14:textId="4DD2037B" w:rsidR="008F0B23" w:rsidRPr="0096502F" w:rsidRDefault="00DA280B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8F0B23"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4BBA49EB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p w14:paraId="1F884065" w14:textId="77777777" w:rsidR="00300D1B" w:rsidRPr="000717F9" w:rsidRDefault="00300D1B">
      <w:pPr>
        <w:spacing w:after="0" w:line="240" w:lineRule="auto"/>
        <w:jc w:val="left"/>
        <w:rPr>
          <w:rFonts w:eastAsia="Times New Roman"/>
          <w:lang w:eastAsia="cs-CZ"/>
        </w:rPr>
      </w:pPr>
    </w:p>
    <w:sectPr w:rsidR="00300D1B" w:rsidRPr="000717F9" w:rsidSect="00300D1B">
      <w:footerReference w:type="defaul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94414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54C40D" w14:textId="783526B3" w:rsidR="00DA280B" w:rsidRDefault="00DA280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E20C2A" w14:textId="77777777" w:rsidR="00DA280B" w:rsidRDefault="00DA28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  <w:footnote w:id="1">
    <w:p w14:paraId="1488A6C2" w14:textId="2405F535" w:rsidR="00C617E2" w:rsidRDefault="00C617E2">
      <w:pPr>
        <w:pStyle w:val="Textpoznpodarou"/>
      </w:pPr>
      <w:r>
        <w:rPr>
          <w:rStyle w:val="Znakapoznpodarou"/>
        </w:rPr>
        <w:footnoteRef/>
      </w:r>
      <w:r>
        <w:t xml:space="preserve"> Nařízení </w:t>
      </w:r>
      <w:r w:rsidRPr="008721B5">
        <w:t>Rady (EU) 2015/1589 ze dne 13. července 2015, kterým se stanoví prováděcí pravidla k 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43AEE28A"/>
    <w:lvl w:ilvl="0" w:tplc="908E3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F0084"/>
    <w:multiLevelType w:val="hybridMultilevel"/>
    <w:tmpl w:val="12907F34"/>
    <w:lvl w:ilvl="0" w:tplc="9C4CB47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E45963"/>
    <w:multiLevelType w:val="hybridMultilevel"/>
    <w:tmpl w:val="B66E2BB2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35"/>
  </w:num>
  <w:num w:numId="4">
    <w:abstractNumId w:val="27"/>
  </w:num>
  <w:num w:numId="5">
    <w:abstractNumId w:val="34"/>
  </w:num>
  <w:num w:numId="6">
    <w:abstractNumId w:val="0"/>
  </w:num>
  <w:num w:numId="7">
    <w:abstractNumId w:val="1"/>
  </w:num>
  <w:num w:numId="8">
    <w:abstractNumId w:val="28"/>
  </w:num>
  <w:num w:numId="9">
    <w:abstractNumId w:val="11"/>
  </w:num>
  <w:num w:numId="10">
    <w:abstractNumId w:val="16"/>
  </w:num>
  <w:num w:numId="11">
    <w:abstractNumId w:val="4"/>
  </w:num>
  <w:num w:numId="12">
    <w:abstractNumId w:val="36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5"/>
  </w:num>
  <w:num w:numId="20">
    <w:abstractNumId w:val="20"/>
  </w:num>
  <w:num w:numId="21">
    <w:abstractNumId w:val="18"/>
  </w:num>
  <w:num w:numId="22">
    <w:abstractNumId w:val="37"/>
  </w:num>
  <w:num w:numId="23">
    <w:abstractNumId w:val="33"/>
  </w:num>
  <w:num w:numId="24">
    <w:abstractNumId w:val="8"/>
  </w:num>
  <w:num w:numId="25">
    <w:abstractNumId w:val="21"/>
  </w:num>
  <w:num w:numId="26">
    <w:abstractNumId w:val="17"/>
  </w:num>
  <w:num w:numId="27">
    <w:abstractNumId w:val="9"/>
  </w:num>
  <w:num w:numId="28">
    <w:abstractNumId w:val="7"/>
  </w:num>
  <w:num w:numId="29">
    <w:abstractNumId w:val="24"/>
  </w:num>
  <w:num w:numId="30">
    <w:abstractNumId w:val="31"/>
  </w:num>
  <w:num w:numId="31">
    <w:abstractNumId w:val="32"/>
  </w:num>
  <w:num w:numId="32">
    <w:abstractNumId w:val="10"/>
  </w:num>
  <w:num w:numId="33">
    <w:abstractNumId w:val="29"/>
  </w:num>
  <w:num w:numId="34">
    <w:abstractNumId w:val="6"/>
  </w:num>
  <w:num w:numId="35">
    <w:abstractNumId w:val="30"/>
  </w:num>
  <w:num w:numId="36">
    <w:abstractNumId w:val="14"/>
  </w:num>
  <w:num w:numId="37">
    <w:abstractNumId w:val="23"/>
  </w:num>
  <w:num w:numId="38">
    <w:abstractNumId w:val="1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858A0"/>
    <w:rsid w:val="000C12F2"/>
    <w:rsid w:val="000C5E25"/>
    <w:rsid w:val="000C76F4"/>
    <w:rsid w:val="000D37F3"/>
    <w:rsid w:val="0010235E"/>
    <w:rsid w:val="00117A22"/>
    <w:rsid w:val="0015202A"/>
    <w:rsid w:val="001817D7"/>
    <w:rsid w:val="001A3CCC"/>
    <w:rsid w:val="001A69A9"/>
    <w:rsid w:val="001E376B"/>
    <w:rsid w:val="00202B74"/>
    <w:rsid w:val="002322CA"/>
    <w:rsid w:val="00244366"/>
    <w:rsid w:val="00247572"/>
    <w:rsid w:val="00251951"/>
    <w:rsid w:val="002525C2"/>
    <w:rsid w:val="00266773"/>
    <w:rsid w:val="00281566"/>
    <w:rsid w:val="0029215C"/>
    <w:rsid w:val="00294738"/>
    <w:rsid w:val="002B67D8"/>
    <w:rsid w:val="002C3670"/>
    <w:rsid w:val="002E4E97"/>
    <w:rsid w:val="00300D1B"/>
    <w:rsid w:val="00313C0F"/>
    <w:rsid w:val="00317371"/>
    <w:rsid w:val="00320C36"/>
    <w:rsid w:val="00325592"/>
    <w:rsid w:val="00334FD3"/>
    <w:rsid w:val="003767E2"/>
    <w:rsid w:val="00385583"/>
    <w:rsid w:val="00393659"/>
    <w:rsid w:val="003B6DE9"/>
    <w:rsid w:val="003D28B6"/>
    <w:rsid w:val="003D6BBB"/>
    <w:rsid w:val="003E09E8"/>
    <w:rsid w:val="003E2204"/>
    <w:rsid w:val="00401FF7"/>
    <w:rsid w:val="00404DE1"/>
    <w:rsid w:val="004206B1"/>
    <w:rsid w:val="0046096F"/>
    <w:rsid w:val="00464145"/>
    <w:rsid w:val="00476C23"/>
    <w:rsid w:val="004B7CA6"/>
    <w:rsid w:val="004F3493"/>
    <w:rsid w:val="004F5509"/>
    <w:rsid w:val="005178F2"/>
    <w:rsid w:val="00517DCD"/>
    <w:rsid w:val="00560154"/>
    <w:rsid w:val="005865FA"/>
    <w:rsid w:val="005B3B98"/>
    <w:rsid w:val="005C4E9D"/>
    <w:rsid w:val="005D78CC"/>
    <w:rsid w:val="005E6AC0"/>
    <w:rsid w:val="00640D63"/>
    <w:rsid w:val="00686ECC"/>
    <w:rsid w:val="006A2CEA"/>
    <w:rsid w:val="006A6B01"/>
    <w:rsid w:val="006C53A1"/>
    <w:rsid w:val="007018CB"/>
    <w:rsid w:val="0071229F"/>
    <w:rsid w:val="0072095D"/>
    <w:rsid w:val="00727783"/>
    <w:rsid w:val="007A26B7"/>
    <w:rsid w:val="007C424F"/>
    <w:rsid w:val="008076E0"/>
    <w:rsid w:val="00815C2F"/>
    <w:rsid w:val="00820862"/>
    <w:rsid w:val="008466C6"/>
    <w:rsid w:val="0086380E"/>
    <w:rsid w:val="008721B5"/>
    <w:rsid w:val="00875623"/>
    <w:rsid w:val="00893799"/>
    <w:rsid w:val="008B0D16"/>
    <w:rsid w:val="008C6878"/>
    <w:rsid w:val="008D2C71"/>
    <w:rsid w:val="008D4B53"/>
    <w:rsid w:val="008F0B23"/>
    <w:rsid w:val="00934BBF"/>
    <w:rsid w:val="00972169"/>
    <w:rsid w:val="009871C8"/>
    <w:rsid w:val="009929D2"/>
    <w:rsid w:val="009C6F84"/>
    <w:rsid w:val="00A06B02"/>
    <w:rsid w:val="00A22E47"/>
    <w:rsid w:val="00A47F4B"/>
    <w:rsid w:val="00A562B2"/>
    <w:rsid w:val="00AA0059"/>
    <w:rsid w:val="00B766F2"/>
    <w:rsid w:val="00BA0C3B"/>
    <w:rsid w:val="00BC1DA4"/>
    <w:rsid w:val="00BD446B"/>
    <w:rsid w:val="00C617E2"/>
    <w:rsid w:val="00C707E0"/>
    <w:rsid w:val="00C75871"/>
    <w:rsid w:val="00C8481B"/>
    <w:rsid w:val="00C91027"/>
    <w:rsid w:val="00CC11A9"/>
    <w:rsid w:val="00CD7089"/>
    <w:rsid w:val="00CF660D"/>
    <w:rsid w:val="00D3583E"/>
    <w:rsid w:val="00D454DF"/>
    <w:rsid w:val="00D4754B"/>
    <w:rsid w:val="00D72289"/>
    <w:rsid w:val="00D733D2"/>
    <w:rsid w:val="00D80E8F"/>
    <w:rsid w:val="00D9675B"/>
    <w:rsid w:val="00DA280B"/>
    <w:rsid w:val="00DB55D3"/>
    <w:rsid w:val="00DC708E"/>
    <w:rsid w:val="00DF5E91"/>
    <w:rsid w:val="00DF7ECE"/>
    <w:rsid w:val="00E35F29"/>
    <w:rsid w:val="00EE5502"/>
    <w:rsid w:val="00EF4C48"/>
    <w:rsid w:val="00EF57A1"/>
    <w:rsid w:val="00F0440D"/>
    <w:rsid w:val="00F04A51"/>
    <w:rsid w:val="00F069E7"/>
    <w:rsid w:val="00F32065"/>
    <w:rsid w:val="00F40594"/>
    <w:rsid w:val="00F54944"/>
    <w:rsid w:val="00F55AB0"/>
    <w:rsid w:val="00F73D78"/>
    <w:rsid w:val="00FA04D0"/>
    <w:rsid w:val="00FA63A9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CEBF1-D543-4F0B-92BA-1C669072DCDC}">
  <ds:schemaRefs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B98F54-9C05-4DC0-A879-B057437E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2259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15558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Tymrová Gabriela</cp:lastModifiedBy>
  <cp:revision>2</cp:revision>
  <cp:lastPrinted>2023-07-14T15:29:00Z</cp:lastPrinted>
  <dcterms:created xsi:type="dcterms:W3CDTF">2023-08-29T07:48:00Z</dcterms:created>
  <dcterms:modified xsi:type="dcterms:W3CDTF">2023-08-29T07:48:00Z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