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731AC" w14:textId="77777777" w:rsidR="004457AA" w:rsidRDefault="00293C5E">
      <w:pPr>
        <w:spacing w:before="17"/>
        <w:ind w:left="2882" w:right="3070"/>
        <w:jc w:val="center"/>
        <w:rPr>
          <w:b/>
          <w:sz w:val="28"/>
        </w:rPr>
      </w:pPr>
      <w:r>
        <w:rPr>
          <w:b/>
          <w:sz w:val="28"/>
        </w:rPr>
        <w:t>Smlouva o nájmu prostor</w:t>
      </w:r>
    </w:p>
    <w:p w14:paraId="44C95978" w14:textId="77777777" w:rsidR="004457AA" w:rsidRDefault="004457AA">
      <w:pPr>
        <w:pStyle w:val="Zkladntext"/>
        <w:rPr>
          <w:b/>
          <w:sz w:val="23"/>
        </w:rPr>
      </w:pPr>
    </w:p>
    <w:p w14:paraId="7B7A1D18" w14:textId="77777777" w:rsidR="004457AA" w:rsidRDefault="00293C5E">
      <w:pPr>
        <w:pStyle w:val="Nadpis2"/>
        <w:numPr>
          <w:ilvl w:val="0"/>
          <w:numId w:val="6"/>
        </w:numPr>
        <w:tabs>
          <w:tab w:val="left" w:pos="543"/>
          <w:tab w:val="left" w:pos="544"/>
          <w:tab w:val="left" w:pos="2240"/>
        </w:tabs>
        <w:spacing w:before="1"/>
        <w:ind w:hanging="427"/>
      </w:pPr>
      <w:r>
        <w:t>Pronajímatel:</w:t>
      </w:r>
      <w:r>
        <w:tab/>
        <w:t>Vysoká škola chemicko-technologická v</w:t>
      </w:r>
      <w:r>
        <w:rPr>
          <w:spacing w:val="-12"/>
        </w:rPr>
        <w:t xml:space="preserve"> </w:t>
      </w:r>
      <w:r>
        <w:t>Praze</w:t>
      </w:r>
    </w:p>
    <w:p w14:paraId="16BB0D05" w14:textId="37F6F97B" w:rsidR="004457AA" w:rsidRDefault="00293C5E">
      <w:pPr>
        <w:pStyle w:val="Zkladntext"/>
        <w:ind w:left="2240" w:right="1706"/>
      </w:pPr>
      <w:r>
        <w:t xml:space="preserve">se sídlem Technická 1905/5, 166 28 Praha 6- Dejvice, zastoupena </w:t>
      </w:r>
      <w:r w:rsidR="00335C20">
        <w:t>xxxxx</w:t>
      </w:r>
      <w:r>
        <w:t xml:space="preserve">, rektorem </w:t>
      </w:r>
      <w:r w:rsidR="00335C20">
        <w:t xml:space="preserve">                                                                 </w:t>
      </w:r>
      <w:r>
        <w:t>IČ: 604 61 373</w:t>
      </w:r>
    </w:p>
    <w:p w14:paraId="20EF307E" w14:textId="7863E699" w:rsidR="004457AA" w:rsidRDefault="00293C5E">
      <w:pPr>
        <w:pStyle w:val="Zkladntext"/>
        <w:ind w:left="2240" w:right="2517"/>
      </w:pPr>
      <w:r>
        <w:t xml:space="preserve">bankovní spojení: </w:t>
      </w:r>
      <w:r w:rsidR="00335C20">
        <w:t>xxxxx</w:t>
      </w:r>
      <w:r>
        <w:t xml:space="preserve">, </w:t>
      </w:r>
      <w:r w:rsidR="00335C20">
        <w:t>xxxxx</w:t>
      </w:r>
      <w:r>
        <w:t xml:space="preserve"> </w:t>
      </w:r>
      <w:r w:rsidR="00335C20">
        <w:t xml:space="preserve">                                      </w:t>
      </w:r>
      <w:r>
        <w:t>(dále jen „</w:t>
      </w:r>
      <w:r>
        <w:rPr>
          <w:b/>
        </w:rPr>
        <w:t>pronajímatel</w:t>
      </w:r>
      <w:r>
        <w:t>“)</w:t>
      </w:r>
    </w:p>
    <w:p w14:paraId="132403AE" w14:textId="77777777" w:rsidR="004457AA" w:rsidRDefault="00293C5E">
      <w:pPr>
        <w:pStyle w:val="Zkladntext"/>
        <w:ind w:left="2240"/>
      </w:pPr>
      <w:r>
        <w:t>na straně jedné</w:t>
      </w:r>
    </w:p>
    <w:p w14:paraId="67ADDCA3" w14:textId="77777777" w:rsidR="004457AA" w:rsidRDefault="004457AA">
      <w:pPr>
        <w:pStyle w:val="Zkladntext"/>
        <w:spacing w:before="7"/>
      </w:pPr>
    </w:p>
    <w:p w14:paraId="13F63C6C" w14:textId="77777777" w:rsidR="004457AA" w:rsidRDefault="00293C5E">
      <w:pPr>
        <w:pStyle w:val="Nadpis2"/>
        <w:numPr>
          <w:ilvl w:val="0"/>
          <w:numId w:val="6"/>
        </w:numPr>
        <w:tabs>
          <w:tab w:val="left" w:pos="543"/>
          <w:tab w:val="left" w:pos="544"/>
          <w:tab w:val="left" w:pos="2240"/>
        </w:tabs>
        <w:ind w:hanging="427"/>
      </w:pPr>
      <w:r>
        <w:t>Nájemce:</w:t>
      </w:r>
      <w:r>
        <w:tab/>
        <w:t>České vysoké učení technické v</w:t>
      </w:r>
      <w:r>
        <w:rPr>
          <w:spacing w:val="-10"/>
        </w:rPr>
        <w:t xml:space="preserve"> </w:t>
      </w:r>
      <w:r>
        <w:t>Praze</w:t>
      </w:r>
    </w:p>
    <w:p w14:paraId="6878C197" w14:textId="37FD3B0C" w:rsidR="004457AA" w:rsidRDefault="00293C5E">
      <w:pPr>
        <w:pStyle w:val="Zkladntext"/>
        <w:ind w:left="2240" w:right="234"/>
      </w:pPr>
      <w:r>
        <w:t xml:space="preserve">se sídlem Jugoslávských partyzánů 1580/3, 160 00 Praha 6 - Dejvice zastoupeno </w:t>
      </w:r>
      <w:r w:rsidR="00766C3E">
        <w:t>xxxxx</w:t>
      </w:r>
      <w:r>
        <w:t xml:space="preserve">, rektorem </w:t>
      </w:r>
      <w:r w:rsidR="00766C3E">
        <w:t xml:space="preserve">                                                                           </w:t>
      </w:r>
      <w:r>
        <w:t>IČ:68407700</w:t>
      </w:r>
    </w:p>
    <w:p w14:paraId="7BA7AD32" w14:textId="18A5DC57" w:rsidR="004457AA" w:rsidRDefault="00293C5E">
      <w:pPr>
        <w:pStyle w:val="Zkladntext"/>
        <w:ind w:left="2240" w:right="1156"/>
      </w:pPr>
      <w:r>
        <w:t xml:space="preserve">bankovní spojení: </w:t>
      </w:r>
      <w:r w:rsidR="00766C3E">
        <w:t xml:space="preserve">xxxxx, xxxxx  </w:t>
      </w:r>
      <w:r w:rsidR="00766C3E">
        <w:t xml:space="preserve">                                                                </w:t>
      </w:r>
      <w:r>
        <w:t>(dále jen „</w:t>
      </w:r>
      <w:r>
        <w:rPr>
          <w:b/>
        </w:rPr>
        <w:t>nájemce</w:t>
      </w:r>
      <w:r>
        <w:t>“)</w:t>
      </w:r>
    </w:p>
    <w:p w14:paraId="6AAC5438" w14:textId="77777777" w:rsidR="004457AA" w:rsidRDefault="00293C5E">
      <w:pPr>
        <w:pStyle w:val="Zkladntext"/>
        <w:ind w:left="2240"/>
      </w:pPr>
      <w:r>
        <w:t>na straně druhé</w:t>
      </w:r>
    </w:p>
    <w:p w14:paraId="7027C853" w14:textId="77777777" w:rsidR="004457AA" w:rsidRDefault="004457AA">
      <w:pPr>
        <w:pStyle w:val="Zkladntext"/>
      </w:pPr>
    </w:p>
    <w:p w14:paraId="413D0C24" w14:textId="77777777" w:rsidR="004457AA" w:rsidRDefault="00293C5E">
      <w:pPr>
        <w:pStyle w:val="Zkladntext"/>
        <w:ind w:left="2240"/>
      </w:pPr>
      <w:r>
        <w:t>společně dále jen jako „smluvní strany“, samostatně „smluvní strana“</w:t>
      </w:r>
    </w:p>
    <w:p w14:paraId="5E07A1CF" w14:textId="77777777" w:rsidR="004457AA" w:rsidRDefault="004457AA">
      <w:pPr>
        <w:pStyle w:val="Zkladntext"/>
      </w:pPr>
    </w:p>
    <w:p w14:paraId="65D76F25" w14:textId="77777777" w:rsidR="004457AA" w:rsidRDefault="004457AA">
      <w:pPr>
        <w:pStyle w:val="Zkladntext"/>
        <w:spacing w:before="6"/>
        <w:rPr>
          <w:sz w:val="26"/>
        </w:rPr>
      </w:pPr>
    </w:p>
    <w:p w14:paraId="14CFBC54" w14:textId="77777777" w:rsidR="004457AA" w:rsidRDefault="00293C5E">
      <w:pPr>
        <w:spacing w:before="1"/>
        <w:ind w:left="116"/>
        <w:rPr>
          <w:b/>
          <w:sz w:val="27"/>
        </w:rPr>
      </w:pPr>
      <w:r>
        <w:rPr>
          <w:b/>
          <w:sz w:val="27"/>
        </w:rPr>
        <w:t>PREAMBULE:</w:t>
      </w:r>
    </w:p>
    <w:p w14:paraId="0078ACD9" w14:textId="77777777" w:rsidR="004457AA" w:rsidRDefault="004457AA">
      <w:pPr>
        <w:pStyle w:val="Zkladntext"/>
        <w:spacing w:before="3"/>
        <w:rPr>
          <w:b/>
          <w:sz w:val="25"/>
        </w:rPr>
      </w:pPr>
    </w:p>
    <w:p w14:paraId="308BBB81" w14:textId="52CD84EB" w:rsidR="004457AA" w:rsidRDefault="00293C5E">
      <w:pPr>
        <w:pStyle w:val="Odstavecseseznamem"/>
        <w:numPr>
          <w:ilvl w:val="1"/>
          <w:numId w:val="6"/>
        </w:numPr>
        <w:tabs>
          <w:tab w:val="left" w:pos="657"/>
        </w:tabs>
        <w:spacing w:before="0" w:line="276" w:lineRule="auto"/>
        <w:ind w:right="413"/>
        <w:jc w:val="both"/>
      </w:pPr>
      <w:r>
        <w:t>Smluvní strany potvrzují, že dne 25. 1. 2018 uzavřely smlouvu o nájmu prostor v budově č. p. 1903, jenž je součástí pozemku parc. č. 586, v katastrálním území Dejvice, obec Praha (dále jen „</w:t>
      </w:r>
      <w:r>
        <w:rPr>
          <w:b/>
        </w:rPr>
        <w:t>předmětná budova</w:t>
      </w:r>
      <w:r>
        <w:t>“). Předmětná budova je zapsána v katastru nemovitostí vedeném Katastrálním úřadem pro hlavní město Prahu, Katastrální pracoviště Praha, na listu vlastnictví č. 3248, pro obec Praha (dále jen „</w:t>
      </w:r>
      <w:r>
        <w:rPr>
          <w:b/>
        </w:rPr>
        <w:t>původní nájemní smlouva</w:t>
      </w:r>
      <w:r>
        <w:t>“).</w:t>
      </w:r>
      <w:r>
        <w:rPr>
          <w:spacing w:val="-8"/>
        </w:rPr>
        <w:t xml:space="preserve"> </w:t>
      </w:r>
      <w:r>
        <w:t>Původní</w:t>
      </w:r>
      <w:r>
        <w:rPr>
          <w:spacing w:val="-7"/>
        </w:rPr>
        <w:t xml:space="preserve"> </w:t>
      </w:r>
      <w:r>
        <w:t>nájemní</w:t>
      </w:r>
      <w:r>
        <w:rPr>
          <w:spacing w:val="-7"/>
        </w:rPr>
        <w:t xml:space="preserve"> </w:t>
      </w:r>
      <w:r>
        <w:t>smlouva</w:t>
      </w:r>
      <w:r>
        <w:rPr>
          <w:spacing w:val="-7"/>
        </w:rPr>
        <w:t xml:space="preserve"> </w:t>
      </w:r>
      <w:r>
        <w:t>byla</w:t>
      </w:r>
      <w:r>
        <w:rPr>
          <w:spacing w:val="-7"/>
        </w:rPr>
        <w:t xml:space="preserve"> </w:t>
      </w:r>
      <w:r>
        <w:t>uzavřena</w:t>
      </w:r>
      <w:r>
        <w:rPr>
          <w:spacing w:val="-7"/>
        </w:rPr>
        <w:t xml:space="preserve"> </w:t>
      </w:r>
      <w:r>
        <w:t>na</w:t>
      </w:r>
      <w:r>
        <w:rPr>
          <w:spacing w:val="-7"/>
        </w:rPr>
        <w:t xml:space="preserve"> </w:t>
      </w:r>
      <w:r>
        <w:t>dobu</w:t>
      </w:r>
      <w:r>
        <w:rPr>
          <w:spacing w:val="-7"/>
        </w:rPr>
        <w:t xml:space="preserve"> </w:t>
      </w:r>
      <w:r>
        <w:t>určitou,</w:t>
      </w:r>
      <w:r>
        <w:rPr>
          <w:spacing w:val="-7"/>
        </w:rPr>
        <w:t xml:space="preserve"> </w:t>
      </w:r>
      <w:r>
        <w:t>a</w:t>
      </w:r>
      <w:r>
        <w:rPr>
          <w:spacing w:val="-8"/>
        </w:rPr>
        <w:t xml:space="preserve"> </w:t>
      </w:r>
      <w:r>
        <w:t>to</w:t>
      </w:r>
      <w:r>
        <w:rPr>
          <w:spacing w:val="-7"/>
        </w:rPr>
        <w:t xml:space="preserve"> </w:t>
      </w:r>
      <w:r>
        <w:t>do</w:t>
      </w:r>
      <w:r>
        <w:rPr>
          <w:spacing w:val="-7"/>
        </w:rPr>
        <w:t xml:space="preserve"> </w:t>
      </w:r>
      <w:r>
        <w:t>31.</w:t>
      </w:r>
      <w:r>
        <w:rPr>
          <w:spacing w:val="-8"/>
        </w:rPr>
        <w:t xml:space="preserve"> </w:t>
      </w:r>
      <w:r>
        <w:t>8.</w:t>
      </w:r>
      <w:r>
        <w:rPr>
          <w:spacing w:val="-7"/>
        </w:rPr>
        <w:t xml:space="preserve"> </w:t>
      </w:r>
      <w:r>
        <w:t>2022. Vzhledem k tomu,  že  i  po tomto termínu nájemce pronajaté  prostory  specifikované  v původní nájemní smlouvě  užíval a pronajímatel jej ani do jednoho měsíce nevyzval     k odevzdání věci, došlo v souladu s ust.  §2230 zák. č. 89/2012 Sb., občanský zákoník,    v platném znění (dále jen „</w:t>
      </w:r>
      <w:r>
        <w:rPr>
          <w:b/>
        </w:rPr>
        <w:t>občanský zákoník</w:t>
      </w:r>
      <w:r>
        <w:t>“) bez dalšího k znovu uzavření původní nájemní smlouvy za podmínek ujednaných původně, a to na dobu 1 roku, tj. do 31. 8. 2023. Smluvní strany potvrzují, že nájemce hradil nájemné a ostatní platby v souladu a za podmínek definovaných původní nájemní</w:t>
      </w:r>
      <w:r>
        <w:rPr>
          <w:spacing w:val="-13"/>
        </w:rPr>
        <w:t xml:space="preserve"> </w:t>
      </w:r>
      <w:r>
        <w:t>smlouvou.</w:t>
      </w:r>
    </w:p>
    <w:p w14:paraId="7BA4FFF4" w14:textId="77777777" w:rsidR="004457AA" w:rsidRDefault="00293C5E">
      <w:pPr>
        <w:pStyle w:val="Odstavecseseznamem"/>
        <w:numPr>
          <w:ilvl w:val="1"/>
          <w:numId w:val="6"/>
        </w:numPr>
        <w:tabs>
          <w:tab w:val="left" w:pos="657"/>
        </w:tabs>
        <w:spacing w:before="0" w:line="276" w:lineRule="auto"/>
        <w:ind w:right="413"/>
        <w:jc w:val="both"/>
      </w:pPr>
      <w:r>
        <w:t>Vzhledem k tomu, že smluvní strany zamýšlí v nájemním vztahu pokračovat dále a dohodnout nové podmínky nájemního vztahu uzavírají na základě vzájemné dohody a dle § 2201 občanského zákoníku</w:t>
      </w:r>
      <w:r>
        <w:rPr>
          <w:spacing w:val="-8"/>
        </w:rPr>
        <w:t xml:space="preserve"> </w:t>
      </w:r>
      <w:r>
        <w:t>tuto</w:t>
      </w:r>
    </w:p>
    <w:p w14:paraId="03FC32E9" w14:textId="77777777" w:rsidR="004457AA" w:rsidRDefault="00293C5E">
      <w:pPr>
        <w:ind w:left="2882" w:right="3067"/>
        <w:jc w:val="center"/>
        <w:rPr>
          <w:b/>
          <w:sz w:val="27"/>
        </w:rPr>
      </w:pPr>
      <w:r>
        <w:rPr>
          <w:b/>
          <w:sz w:val="27"/>
        </w:rPr>
        <w:t>s m l o u v u</w:t>
      </w:r>
    </w:p>
    <w:p w14:paraId="7D39C8DE" w14:textId="77777777" w:rsidR="004457AA" w:rsidRDefault="00293C5E">
      <w:pPr>
        <w:ind w:left="3220" w:right="3402" w:hanging="3"/>
        <w:jc w:val="center"/>
        <w:rPr>
          <w:b/>
          <w:sz w:val="27"/>
        </w:rPr>
      </w:pPr>
      <w:r>
        <w:rPr>
          <w:b/>
          <w:sz w:val="27"/>
        </w:rPr>
        <w:t>o nájmu prostor (dále jen „smlouva“)</w:t>
      </w:r>
    </w:p>
    <w:p w14:paraId="2CDBDDA4" w14:textId="77777777" w:rsidR="004457AA" w:rsidRDefault="004457AA">
      <w:pPr>
        <w:pStyle w:val="Zkladntext"/>
        <w:rPr>
          <w:b/>
          <w:sz w:val="26"/>
        </w:rPr>
      </w:pPr>
    </w:p>
    <w:p w14:paraId="09D2B320" w14:textId="77777777" w:rsidR="004457AA" w:rsidRDefault="004457AA">
      <w:pPr>
        <w:pStyle w:val="Zkladntext"/>
        <w:spacing w:before="9"/>
        <w:rPr>
          <w:b/>
        </w:rPr>
      </w:pPr>
    </w:p>
    <w:p w14:paraId="732E7E3B" w14:textId="77777777" w:rsidR="004457AA" w:rsidRDefault="00293C5E">
      <w:pPr>
        <w:pStyle w:val="Nadpis1"/>
        <w:ind w:left="2882" w:right="3068"/>
      </w:pPr>
      <w:r>
        <w:t>Čl. I.</w:t>
      </w:r>
    </w:p>
    <w:p w14:paraId="59AD92B2" w14:textId="77777777" w:rsidR="004457AA" w:rsidRDefault="00293C5E">
      <w:pPr>
        <w:ind w:left="2882" w:right="3066"/>
        <w:jc w:val="center"/>
        <w:rPr>
          <w:b/>
          <w:sz w:val="23"/>
        </w:rPr>
      </w:pPr>
      <w:r>
        <w:rPr>
          <w:b/>
          <w:sz w:val="23"/>
        </w:rPr>
        <w:t>Předmět nájmu</w:t>
      </w:r>
    </w:p>
    <w:p w14:paraId="72E19AD7" w14:textId="77777777" w:rsidR="004457AA" w:rsidRDefault="004457AA">
      <w:pPr>
        <w:jc w:val="center"/>
        <w:rPr>
          <w:sz w:val="23"/>
        </w:rPr>
        <w:sectPr w:rsidR="004457AA">
          <w:footerReference w:type="default" r:id="rId7"/>
          <w:type w:val="continuous"/>
          <w:pgSz w:w="11910" w:h="16840"/>
          <w:pgMar w:top="1380" w:right="1680" w:bottom="960" w:left="1300" w:header="708" w:footer="773" w:gutter="0"/>
          <w:pgNumType w:start="1"/>
          <w:cols w:space="708"/>
        </w:sectPr>
      </w:pPr>
    </w:p>
    <w:p w14:paraId="53FE24B0" w14:textId="77777777" w:rsidR="004457AA" w:rsidRDefault="00293C5E">
      <w:pPr>
        <w:pStyle w:val="Odstavecseseznamem"/>
        <w:numPr>
          <w:ilvl w:val="0"/>
          <w:numId w:val="5"/>
        </w:numPr>
        <w:tabs>
          <w:tab w:val="left" w:pos="537"/>
        </w:tabs>
        <w:spacing w:before="37" w:line="276" w:lineRule="auto"/>
        <w:ind w:right="412"/>
        <w:jc w:val="both"/>
      </w:pPr>
      <w:r>
        <w:lastRenderedPageBreak/>
        <w:t>Pronajímatel je vlastníkem budovy č.  p.  1903,  jež  je součástí  pozemku parc.  č.  586,  v katastrálním území Dejvice, obec Praha (dále jen „</w:t>
      </w:r>
      <w:r>
        <w:rPr>
          <w:b/>
        </w:rPr>
        <w:t>předmětná budova</w:t>
      </w:r>
      <w:r>
        <w:t>“). Předmětná budova je zapsána v katastru nemovitostí vedeném Katastrálním úřadem pro hlavní město Prahu, Katastrální pracoviště Praha, na listu vlastnictví č. 3248, pro obec</w:t>
      </w:r>
      <w:r>
        <w:rPr>
          <w:spacing w:val="-30"/>
        </w:rPr>
        <w:t xml:space="preserve"> </w:t>
      </w:r>
      <w:r>
        <w:t>Praha.</w:t>
      </w:r>
    </w:p>
    <w:p w14:paraId="57D25412" w14:textId="77777777" w:rsidR="004457AA" w:rsidRDefault="00293C5E">
      <w:pPr>
        <w:pStyle w:val="Odstavecseseznamem"/>
        <w:numPr>
          <w:ilvl w:val="0"/>
          <w:numId w:val="5"/>
        </w:numPr>
        <w:tabs>
          <w:tab w:val="left" w:pos="539"/>
        </w:tabs>
        <w:spacing w:line="276" w:lineRule="auto"/>
        <w:ind w:left="538" w:right="409" w:hanging="427"/>
        <w:jc w:val="both"/>
      </w:pPr>
      <w:r>
        <w:t>Pronajímatel pronajímá nájemci prostory v předmětné budově, jejichž bližší specifikace a výměra je uvedena v příloze č. 1 této smlouvy (dále jen „</w:t>
      </w:r>
      <w:r>
        <w:rPr>
          <w:b/>
        </w:rPr>
        <w:t>předmět nájmu</w:t>
      </w:r>
      <w:r>
        <w:t>“). Smluvní strany sjednávají, že slovní označení prostor uvedená v příloze č. 1 této smlouvy jsou orientační, tato označení tedy nejsou závazná, jsou-li příslušné prostory užívány v souladu se sjednaným účelem nájmu a platnými právními</w:t>
      </w:r>
      <w:r>
        <w:rPr>
          <w:spacing w:val="-21"/>
        </w:rPr>
        <w:t xml:space="preserve"> </w:t>
      </w:r>
      <w:r>
        <w:t>předpisy.</w:t>
      </w:r>
    </w:p>
    <w:p w14:paraId="3AF0121A" w14:textId="77777777" w:rsidR="004457AA" w:rsidRDefault="00293C5E">
      <w:pPr>
        <w:pStyle w:val="Odstavecseseznamem"/>
        <w:numPr>
          <w:ilvl w:val="0"/>
          <w:numId w:val="5"/>
        </w:numPr>
        <w:tabs>
          <w:tab w:val="left" w:pos="539"/>
        </w:tabs>
        <w:spacing w:line="276" w:lineRule="auto"/>
        <w:ind w:left="538" w:right="411" w:hanging="427"/>
        <w:jc w:val="both"/>
      </w:pPr>
      <w:r>
        <w:t>Pronajímatel se zavazuje průběžně zajišťovat, dle Provozního řádu předmětné budovy, přístup nájemce, jeho zaměstnanců a návštěvníků do předmětu nájmu. Nájemce se zavazuje průběžně zajišťovat, dle Provozního řádu předmětné budovy, přístup pronajímatele, jeho zaměstnanců a návštěvníků do prostor užívaných pronajímatelem, jeho zaměstnanci a návštěvníky, bude-li zapotřebí použít předmět nájmu k průchodu k těmto prostorám. Provozní řád předmětné budovy tvoří přílohu č. 2 této</w:t>
      </w:r>
      <w:r>
        <w:rPr>
          <w:spacing w:val="-23"/>
        </w:rPr>
        <w:t xml:space="preserve"> </w:t>
      </w:r>
      <w:r>
        <w:t>smlouvy.</w:t>
      </w:r>
    </w:p>
    <w:p w14:paraId="26F347F0" w14:textId="77777777" w:rsidR="004457AA" w:rsidRDefault="004457AA">
      <w:pPr>
        <w:pStyle w:val="Zkladntext"/>
      </w:pPr>
    </w:p>
    <w:p w14:paraId="5E1B8985" w14:textId="77777777" w:rsidR="004457AA" w:rsidRDefault="004457AA">
      <w:pPr>
        <w:pStyle w:val="Zkladntext"/>
        <w:spacing w:before="12"/>
        <w:rPr>
          <w:sz w:val="17"/>
        </w:rPr>
      </w:pPr>
    </w:p>
    <w:p w14:paraId="61778A28" w14:textId="77777777" w:rsidR="004457AA" w:rsidRDefault="00293C5E">
      <w:pPr>
        <w:pStyle w:val="Nadpis1"/>
      </w:pPr>
      <w:r>
        <w:t>Čl. II.</w:t>
      </w:r>
    </w:p>
    <w:p w14:paraId="41FC0E60" w14:textId="77777777" w:rsidR="004457AA" w:rsidRDefault="00293C5E">
      <w:pPr>
        <w:ind w:left="313" w:right="621"/>
        <w:jc w:val="center"/>
        <w:rPr>
          <w:b/>
          <w:sz w:val="23"/>
        </w:rPr>
      </w:pPr>
      <w:r>
        <w:rPr>
          <w:b/>
          <w:sz w:val="23"/>
        </w:rPr>
        <w:t>Účel nájmu</w:t>
      </w:r>
    </w:p>
    <w:p w14:paraId="7DC05DA6" w14:textId="77777777" w:rsidR="004457AA" w:rsidRDefault="004457AA">
      <w:pPr>
        <w:pStyle w:val="Zkladntext"/>
        <w:spacing w:before="9"/>
        <w:rPr>
          <w:b/>
          <w:sz w:val="26"/>
        </w:rPr>
      </w:pPr>
    </w:p>
    <w:p w14:paraId="57D5B545" w14:textId="77777777" w:rsidR="004457AA" w:rsidRDefault="00293C5E">
      <w:pPr>
        <w:pStyle w:val="Zkladntext"/>
        <w:spacing w:line="276" w:lineRule="auto"/>
        <w:ind w:left="538" w:right="334"/>
      </w:pPr>
      <w:r>
        <w:t>Nájemce bude předmět nájmu využívat za účelem zajištění činností telefonní ústředny Rektorátu ČVUT v Praze.</w:t>
      </w:r>
    </w:p>
    <w:p w14:paraId="3C97FD98" w14:textId="77777777" w:rsidR="004457AA" w:rsidRDefault="004457AA">
      <w:pPr>
        <w:pStyle w:val="Zkladntext"/>
        <w:spacing w:before="8"/>
        <w:rPr>
          <w:sz w:val="21"/>
        </w:rPr>
      </w:pPr>
    </w:p>
    <w:p w14:paraId="2DE88EC8" w14:textId="77777777" w:rsidR="004457AA" w:rsidRDefault="00293C5E">
      <w:pPr>
        <w:pStyle w:val="Nadpis1"/>
        <w:ind w:right="617"/>
      </w:pPr>
      <w:r>
        <w:t>Čl. III.</w:t>
      </w:r>
    </w:p>
    <w:p w14:paraId="4DBA4AF9" w14:textId="77777777" w:rsidR="004457AA" w:rsidRDefault="00293C5E">
      <w:pPr>
        <w:ind w:left="313" w:right="621"/>
        <w:jc w:val="center"/>
        <w:rPr>
          <w:b/>
          <w:sz w:val="23"/>
        </w:rPr>
      </w:pPr>
      <w:r>
        <w:rPr>
          <w:b/>
          <w:sz w:val="23"/>
        </w:rPr>
        <w:t>Doba nájmu</w:t>
      </w:r>
    </w:p>
    <w:p w14:paraId="7EDB14C2" w14:textId="77777777" w:rsidR="004457AA" w:rsidRDefault="004457AA">
      <w:pPr>
        <w:pStyle w:val="Zkladntext"/>
        <w:spacing w:before="9"/>
        <w:rPr>
          <w:b/>
          <w:sz w:val="26"/>
        </w:rPr>
      </w:pPr>
    </w:p>
    <w:p w14:paraId="35B862AB" w14:textId="77777777" w:rsidR="004457AA" w:rsidRDefault="00293C5E">
      <w:pPr>
        <w:pStyle w:val="Odstavecseseznamem"/>
        <w:numPr>
          <w:ilvl w:val="0"/>
          <w:numId w:val="4"/>
        </w:numPr>
        <w:tabs>
          <w:tab w:val="left" w:pos="536"/>
          <w:tab w:val="left" w:pos="537"/>
        </w:tabs>
        <w:spacing w:before="1"/>
      </w:pPr>
      <w:r>
        <w:t>Nájem se uzavírá na dobu určitou od 1. 9. 2023 do 31. 8.</w:t>
      </w:r>
      <w:r>
        <w:rPr>
          <w:spacing w:val="-13"/>
        </w:rPr>
        <w:t xml:space="preserve"> </w:t>
      </w:r>
      <w:r>
        <w:t>2025.</w:t>
      </w:r>
    </w:p>
    <w:p w14:paraId="7DAE0E43" w14:textId="77777777" w:rsidR="004457AA" w:rsidRDefault="00293C5E">
      <w:pPr>
        <w:pStyle w:val="Odstavecseseznamem"/>
        <w:numPr>
          <w:ilvl w:val="0"/>
          <w:numId w:val="4"/>
        </w:numPr>
        <w:tabs>
          <w:tab w:val="left" w:pos="537"/>
        </w:tabs>
        <w:spacing w:before="103" w:line="276" w:lineRule="auto"/>
        <w:ind w:right="410"/>
        <w:jc w:val="both"/>
      </w:pPr>
      <w:r>
        <w:t>Doba</w:t>
      </w:r>
      <w:r>
        <w:rPr>
          <w:spacing w:val="-11"/>
        </w:rPr>
        <w:t xml:space="preserve"> </w:t>
      </w:r>
      <w:r>
        <w:t>nájmu</w:t>
      </w:r>
      <w:r>
        <w:rPr>
          <w:spacing w:val="-11"/>
        </w:rPr>
        <w:t xml:space="preserve"> </w:t>
      </w:r>
      <w:r>
        <w:t>může</w:t>
      </w:r>
      <w:r>
        <w:rPr>
          <w:spacing w:val="-10"/>
        </w:rPr>
        <w:t xml:space="preserve"> </w:t>
      </w:r>
      <w:r>
        <w:t>být</w:t>
      </w:r>
      <w:r>
        <w:rPr>
          <w:spacing w:val="-10"/>
        </w:rPr>
        <w:t xml:space="preserve"> </w:t>
      </w:r>
      <w:r>
        <w:t>dohodou</w:t>
      </w:r>
      <w:r>
        <w:rPr>
          <w:spacing w:val="-10"/>
        </w:rPr>
        <w:t xml:space="preserve"> </w:t>
      </w:r>
      <w:r>
        <w:t>smluvních</w:t>
      </w:r>
      <w:r>
        <w:rPr>
          <w:spacing w:val="-11"/>
        </w:rPr>
        <w:t xml:space="preserve"> </w:t>
      </w:r>
      <w:r>
        <w:t>stran</w:t>
      </w:r>
      <w:r>
        <w:rPr>
          <w:spacing w:val="-11"/>
        </w:rPr>
        <w:t xml:space="preserve"> </w:t>
      </w:r>
      <w:r>
        <w:t>dále</w:t>
      </w:r>
      <w:r>
        <w:rPr>
          <w:spacing w:val="-11"/>
        </w:rPr>
        <w:t xml:space="preserve"> </w:t>
      </w:r>
      <w:r>
        <w:t>prodloužena</w:t>
      </w:r>
      <w:r>
        <w:rPr>
          <w:spacing w:val="-11"/>
        </w:rPr>
        <w:t xml:space="preserve"> </w:t>
      </w:r>
      <w:r>
        <w:t>na</w:t>
      </w:r>
      <w:r>
        <w:rPr>
          <w:spacing w:val="-11"/>
        </w:rPr>
        <w:t xml:space="preserve"> </w:t>
      </w:r>
      <w:r>
        <w:t>další</w:t>
      </w:r>
      <w:r>
        <w:rPr>
          <w:spacing w:val="-11"/>
        </w:rPr>
        <w:t xml:space="preserve"> </w:t>
      </w:r>
      <w:r>
        <w:t>období,</w:t>
      </w:r>
      <w:r>
        <w:rPr>
          <w:spacing w:val="-13"/>
        </w:rPr>
        <w:t xml:space="preserve"> </w:t>
      </w:r>
      <w:r>
        <w:t>pokud se smluvní strany domluví na obsahu této</w:t>
      </w:r>
      <w:r>
        <w:rPr>
          <w:spacing w:val="-17"/>
        </w:rPr>
        <w:t xml:space="preserve"> </w:t>
      </w:r>
      <w:r>
        <w:t>smlouvy.</w:t>
      </w:r>
    </w:p>
    <w:p w14:paraId="19661FDF" w14:textId="77777777" w:rsidR="004457AA" w:rsidRDefault="004457AA">
      <w:pPr>
        <w:pStyle w:val="Zkladntext"/>
      </w:pPr>
    </w:p>
    <w:p w14:paraId="7DE1677A" w14:textId="77777777" w:rsidR="004457AA" w:rsidRDefault="004457AA">
      <w:pPr>
        <w:pStyle w:val="Zkladntext"/>
        <w:spacing w:before="8"/>
        <w:rPr>
          <w:sz w:val="21"/>
        </w:rPr>
      </w:pPr>
    </w:p>
    <w:p w14:paraId="4B4BBFBC" w14:textId="77777777" w:rsidR="004457AA" w:rsidRDefault="00293C5E">
      <w:pPr>
        <w:pStyle w:val="Nadpis1"/>
        <w:ind w:right="619"/>
      </w:pPr>
      <w:r>
        <w:t>Čl. IV.</w:t>
      </w:r>
    </w:p>
    <w:p w14:paraId="3407786C" w14:textId="77777777" w:rsidR="004457AA" w:rsidRDefault="00293C5E">
      <w:pPr>
        <w:ind w:left="313" w:right="626"/>
        <w:jc w:val="center"/>
        <w:rPr>
          <w:b/>
          <w:sz w:val="23"/>
        </w:rPr>
      </w:pPr>
      <w:r>
        <w:rPr>
          <w:b/>
          <w:sz w:val="23"/>
        </w:rPr>
        <w:t>Výše nájemného, splatnost a způsob platby nájemného a plnění dalších povinností spojených s užíváním předmětu nájmu</w:t>
      </w:r>
    </w:p>
    <w:p w14:paraId="1DA39B02" w14:textId="77777777" w:rsidR="004457AA" w:rsidRDefault="004457AA">
      <w:pPr>
        <w:pStyle w:val="Zkladntext"/>
        <w:rPr>
          <w:b/>
        </w:rPr>
      </w:pPr>
    </w:p>
    <w:p w14:paraId="287E520D" w14:textId="77777777" w:rsidR="004457AA" w:rsidRDefault="004457AA">
      <w:pPr>
        <w:pStyle w:val="Zkladntext"/>
        <w:spacing w:before="9"/>
        <w:rPr>
          <w:b/>
          <w:sz w:val="26"/>
        </w:rPr>
      </w:pPr>
    </w:p>
    <w:p w14:paraId="111E8AA7" w14:textId="77777777" w:rsidR="004457AA" w:rsidRDefault="00293C5E">
      <w:pPr>
        <w:pStyle w:val="Odstavecseseznamem"/>
        <w:numPr>
          <w:ilvl w:val="0"/>
          <w:numId w:val="3"/>
        </w:numPr>
        <w:tabs>
          <w:tab w:val="left" w:pos="536"/>
          <w:tab w:val="left" w:pos="537"/>
        </w:tabs>
        <w:spacing w:before="0"/>
      </w:pPr>
      <w:r>
        <w:t>Nájemce se tímto zavazuje, s účinností od 1. 9. 2023, hradit</w:t>
      </w:r>
      <w:r>
        <w:rPr>
          <w:spacing w:val="-18"/>
        </w:rPr>
        <w:t xml:space="preserve"> </w:t>
      </w:r>
      <w:r>
        <w:t>pronajímateli:</w:t>
      </w:r>
    </w:p>
    <w:p w14:paraId="5BB9D88C" w14:textId="77777777" w:rsidR="004457AA" w:rsidRDefault="00293C5E">
      <w:pPr>
        <w:pStyle w:val="Odstavecseseznamem"/>
        <w:numPr>
          <w:ilvl w:val="1"/>
          <w:numId w:val="3"/>
        </w:numPr>
        <w:tabs>
          <w:tab w:val="left" w:pos="820"/>
        </w:tabs>
        <w:spacing w:before="144" w:line="276" w:lineRule="auto"/>
        <w:ind w:right="413" w:hanging="283"/>
        <w:jc w:val="both"/>
      </w:pPr>
      <w:r>
        <w:t>nájemné v paušální výši 13 774,15 Kč (slovy třináct tisíc sedm set sedmdesát čtyři koruny české a 15/100) měsíčně; k této částce bude připočtena DPH, v případě, že tato povinnost vyplývá ze</w:t>
      </w:r>
      <w:r>
        <w:rPr>
          <w:spacing w:val="-8"/>
        </w:rPr>
        <w:t xml:space="preserve"> </w:t>
      </w:r>
      <w:r>
        <w:t>zákona,</w:t>
      </w:r>
    </w:p>
    <w:p w14:paraId="03B54F53" w14:textId="77777777" w:rsidR="004457AA" w:rsidRDefault="00293C5E">
      <w:pPr>
        <w:pStyle w:val="Odstavecseseznamem"/>
        <w:numPr>
          <w:ilvl w:val="1"/>
          <w:numId w:val="3"/>
        </w:numPr>
        <w:tabs>
          <w:tab w:val="left" w:pos="820"/>
        </w:tabs>
        <w:spacing w:before="61" w:line="276" w:lineRule="auto"/>
        <w:ind w:right="412" w:hanging="283"/>
        <w:jc w:val="both"/>
      </w:pPr>
      <w:r>
        <w:t>platbu za teplo spotřebované v předmětu nájmu ve výši 0,28 % úhrnné výše faktury za</w:t>
      </w:r>
      <w:r>
        <w:rPr>
          <w:spacing w:val="-3"/>
        </w:rPr>
        <w:t xml:space="preserve"> </w:t>
      </w:r>
      <w:r>
        <w:t>teplo,</w:t>
      </w:r>
      <w:r>
        <w:rPr>
          <w:spacing w:val="-10"/>
        </w:rPr>
        <w:t xml:space="preserve"> </w:t>
      </w:r>
      <w:r>
        <w:t>kterou</w:t>
      </w:r>
      <w:r>
        <w:rPr>
          <w:spacing w:val="-8"/>
        </w:rPr>
        <w:t xml:space="preserve"> </w:t>
      </w:r>
      <w:r>
        <w:t>pronajímatel</w:t>
      </w:r>
      <w:r>
        <w:rPr>
          <w:spacing w:val="-7"/>
        </w:rPr>
        <w:t xml:space="preserve"> </w:t>
      </w:r>
      <w:r>
        <w:t>obdrží</w:t>
      </w:r>
      <w:r>
        <w:rPr>
          <w:spacing w:val="-8"/>
        </w:rPr>
        <w:t xml:space="preserve"> </w:t>
      </w:r>
      <w:r>
        <w:t>od</w:t>
      </w:r>
      <w:r>
        <w:rPr>
          <w:spacing w:val="-9"/>
        </w:rPr>
        <w:t xml:space="preserve"> </w:t>
      </w:r>
      <w:r>
        <w:t>dodavatele</w:t>
      </w:r>
      <w:r>
        <w:rPr>
          <w:spacing w:val="-9"/>
        </w:rPr>
        <w:t xml:space="preserve"> </w:t>
      </w:r>
      <w:r>
        <w:t>tepla</w:t>
      </w:r>
      <w:r>
        <w:rPr>
          <w:spacing w:val="-11"/>
        </w:rPr>
        <w:t xml:space="preserve"> </w:t>
      </w:r>
      <w:r>
        <w:t>za</w:t>
      </w:r>
      <w:r>
        <w:rPr>
          <w:spacing w:val="-11"/>
        </w:rPr>
        <w:t xml:space="preserve"> </w:t>
      </w:r>
      <w:r>
        <w:t>příslušné</w:t>
      </w:r>
      <w:r>
        <w:rPr>
          <w:spacing w:val="-11"/>
        </w:rPr>
        <w:t xml:space="preserve"> </w:t>
      </w:r>
      <w:r>
        <w:t>období;</w:t>
      </w:r>
      <w:r>
        <w:rPr>
          <w:spacing w:val="-7"/>
        </w:rPr>
        <w:t xml:space="preserve"> </w:t>
      </w:r>
      <w:r>
        <w:t>přičemž výše této platby odpovídá poměru výměry předmětu nájmu a výměry všech prostor, do nichž je dodávka tepla uskutečňována, platba bude účtována s DPH dle platné legislativy,</w:t>
      </w:r>
    </w:p>
    <w:p w14:paraId="5DB0DC2C" w14:textId="77777777" w:rsidR="004457AA" w:rsidRDefault="004457AA">
      <w:pPr>
        <w:spacing w:line="276" w:lineRule="auto"/>
        <w:jc w:val="both"/>
        <w:sectPr w:rsidR="004457AA">
          <w:pgSz w:w="11910" w:h="16840"/>
          <w:pgMar w:top="1360" w:right="1680" w:bottom="960" w:left="1420" w:header="0" w:footer="773" w:gutter="0"/>
          <w:cols w:space="708"/>
        </w:sectPr>
      </w:pPr>
    </w:p>
    <w:p w14:paraId="64FB6697" w14:textId="77777777" w:rsidR="004457AA" w:rsidRDefault="00293C5E">
      <w:pPr>
        <w:pStyle w:val="Odstavecseseznamem"/>
        <w:numPr>
          <w:ilvl w:val="1"/>
          <w:numId w:val="3"/>
        </w:numPr>
        <w:tabs>
          <w:tab w:val="left" w:pos="820"/>
        </w:tabs>
        <w:spacing w:before="37" w:line="276" w:lineRule="auto"/>
        <w:ind w:right="415" w:hanging="283"/>
        <w:jc w:val="both"/>
      </w:pPr>
      <w:r>
        <w:lastRenderedPageBreak/>
        <w:t>platbu</w:t>
      </w:r>
      <w:r>
        <w:rPr>
          <w:spacing w:val="-6"/>
        </w:rPr>
        <w:t xml:space="preserve"> </w:t>
      </w:r>
      <w:r>
        <w:t>za</w:t>
      </w:r>
      <w:r>
        <w:rPr>
          <w:spacing w:val="-6"/>
        </w:rPr>
        <w:t xml:space="preserve"> </w:t>
      </w:r>
      <w:r>
        <w:t>elektrickou</w:t>
      </w:r>
      <w:r>
        <w:rPr>
          <w:spacing w:val="-6"/>
        </w:rPr>
        <w:t xml:space="preserve"> </w:t>
      </w:r>
      <w:r>
        <w:t>energii</w:t>
      </w:r>
      <w:r>
        <w:rPr>
          <w:spacing w:val="-6"/>
        </w:rPr>
        <w:t xml:space="preserve"> </w:t>
      </w:r>
      <w:r>
        <w:t>spotřebovanou</w:t>
      </w:r>
      <w:r>
        <w:rPr>
          <w:spacing w:val="-9"/>
        </w:rPr>
        <w:t xml:space="preserve"> </w:t>
      </w:r>
      <w:r>
        <w:t>v</w:t>
      </w:r>
      <w:r>
        <w:rPr>
          <w:spacing w:val="-5"/>
        </w:rPr>
        <w:t xml:space="preserve"> </w:t>
      </w:r>
      <w:r>
        <w:t>předmětu</w:t>
      </w:r>
      <w:r>
        <w:rPr>
          <w:spacing w:val="-6"/>
        </w:rPr>
        <w:t xml:space="preserve"> </w:t>
      </w:r>
      <w:r>
        <w:t>nájmu</w:t>
      </w:r>
      <w:r>
        <w:rPr>
          <w:spacing w:val="-5"/>
        </w:rPr>
        <w:t xml:space="preserve"> </w:t>
      </w:r>
      <w:r>
        <w:t>dle</w:t>
      </w:r>
      <w:r>
        <w:rPr>
          <w:spacing w:val="-8"/>
        </w:rPr>
        <w:t xml:space="preserve"> </w:t>
      </w:r>
      <w:r>
        <w:t>hodnoty</w:t>
      </w:r>
      <w:r>
        <w:rPr>
          <w:spacing w:val="-7"/>
        </w:rPr>
        <w:t xml:space="preserve"> </w:t>
      </w:r>
      <w:r>
        <w:t>spotřeby zachycené na podružném měřidle umístěném v předmětu nájmu. Smluvní strany pro výpočet jednotkové ceny 1 kWh budou vycházet z celkové částky uvedené na</w:t>
      </w:r>
      <w:r>
        <w:rPr>
          <w:spacing w:val="-31"/>
        </w:rPr>
        <w:t xml:space="preserve"> </w:t>
      </w:r>
      <w:r>
        <w:t>faktuře doručené pronajímateli dodavatelem elektrické energie, ze které se jednotková cena skládá (tj. cena silové elektřiny navýšená o přičítací koeficient dodavatele elektrické energie  a  cena  regulovaných  služeb);  k platbě  bude  připočtena  DPH  v souladu   s platnými právními</w:t>
      </w:r>
      <w:r>
        <w:rPr>
          <w:spacing w:val="-6"/>
        </w:rPr>
        <w:t xml:space="preserve"> </w:t>
      </w:r>
      <w:r>
        <w:t>předpisy;</w:t>
      </w:r>
    </w:p>
    <w:p w14:paraId="1B9B8A32" w14:textId="77777777" w:rsidR="004457AA" w:rsidRDefault="00293C5E">
      <w:pPr>
        <w:pStyle w:val="Odstavecseseznamem"/>
        <w:numPr>
          <w:ilvl w:val="1"/>
          <w:numId w:val="3"/>
        </w:numPr>
        <w:tabs>
          <w:tab w:val="left" w:pos="820"/>
        </w:tabs>
        <w:spacing w:before="58" w:line="276" w:lineRule="auto"/>
        <w:ind w:right="411" w:hanging="283"/>
        <w:jc w:val="both"/>
      </w:pPr>
      <w:r>
        <w:t>platbu</w:t>
      </w:r>
      <w:r>
        <w:rPr>
          <w:spacing w:val="-16"/>
        </w:rPr>
        <w:t xml:space="preserve"> </w:t>
      </w:r>
      <w:r>
        <w:t>za</w:t>
      </w:r>
      <w:r>
        <w:rPr>
          <w:spacing w:val="-18"/>
        </w:rPr>
        <w:t xml:space="preserve"> </w:t>
      </w:r>
      <w:r>
        <w:t>spotřebu</w:t>
      </w:r>
      <w:r>
        <w:rPr>
          <w:spacing w:val="-19"/>
        </w:rPr>
        <w:t xml:space="preserve"> </w:t>
      </w:r>
      <w:r>
        <w:t>vody</w:t>
      </w:r>
      <w:r>
        <w:rPr>
          <w:spacing w:val="-16"/>
        </w:rPr>
        <w:t xml:space="preserve"> </w:t>
      </w:r>
      <w:r>
        <w:t>a</w:t>
      </w:r>
      <w:r>
        <w:rPr>
          <w:spacing w:val="-18"/>
        </w:rPr>
        <w:t xml:space="preserve"> </w:t>
      </w:r>
      <w:r>
        <w:t>stočné</w:t>
      </w:r>
      <w:r>
        <w:rPr>
          <w:spacing w:val="-15"/>
        </w:rPr>
        <w:t xml:space="preserve"> </w:t>
      </w:r>
      <w:r>
        <w:t>ve</w:t>
      </w:r>
      <w:r>
        <w:rPr>
          <w:spacing w:val="-15"/>
        </w:rPr>
        <w:t xml:space="preserve"> </w:t>
      </w:r>
      <w:r>
        <w:t>výši</w:t>
      </w:r>
      <w:r>
        <w:rPr>
          <w:spacing w:val="-13"/>
        </w:rPr>
        <w:t xml:space="preserve"> </w:t>
      </w:r>
      <w:r>
        <w:t>0,28</w:t>
      </w:r>
      <w:r>
        <w:rPr>
          <w:spacing w:val="-14"/>
        </w:rPr>
        <w:t xml:space="preserve"> </w:t>
      </w:r>
      <w:r>
        <w:t>%</w:t>
      </w:r>
      <w:r>
        <w:rPr>
          <w:spacing w:val="-12"/>
        </w:rPr>
        <w:t xml:space="preserve"> </w:t>
      </w:r>
      <w:r>
        <w:t>úhrnné</w:t>
      </w:r>
      <w:r>
        <w:rPr>
          <w:spacing w:val="-15"/>
        </w:rPr>
        <w:t xml:space="preserve"> </w:t>
      </w:r>
      <w:r>
        <w:t>výše</w:t>
      </w:r>
      <w:r>
        <w:rPr>
          <w:spacing w:val="-12"/>
        </w:rPr>
        <w:t xml:space="preserve"> </w:t>
      </w:r>
      <w:r>
        <w:t>faktury</w:t>
      </w:r>
      <w:r>
        <w:rPr>
          <w:spacing w:val="-12"/>
        </w:rPr>
        <w:t xml:space="preserve"> </w:t>
      </w:r>
      <w:r>
        <w:t>za</w:t>
      </w:r>
      <w:r>
        <w:rPr>
          <w:spacing w:val="-15"/>
        </w:rPr>
        <w:t xml:space="preserve"> </w:t>
      </w:r>
      <w:r>
        <w:t>vodné</w:t>
      </w:r>
      <w:r>
        <w:rPr>
          <w:spacing w:val="-15"/>
        </w:rPr>
        <w:t xml:space="preserve"> </w:t>
      </w:r>
      <w:r>
        <w:t>a</w:t>
      </w:r>
      <w:r>
        <w:rPr>
          <w:spacing w:val="-13"/>
        </w:rPr>
        <w:t xml:space="preserve"> </w:t>
      </w:r>
      <w:r>
        <w:t>stočné, kterou pronajímatel obdrží od dodavatele vody a stočného za příslušné období, přičemž výše této platby odpovídá poměru výměry předmětu nájmu a výměry všech prostor, do nichž je dodávka vody a stočné uskutečňováno, platba bude účtována s DPH dle platné</w:t>
      </w:r>
      <w:r>
        <w:rPr>
          <w:spacing w:val="-5"/>
        </w:rPr>
        <w:t xml:space="preserve"> </w:t>
      </w:r>
      <w:r>
        <w:t>legislativy.</w:t>
      </w:r>
    </w:p>
    <w:p w14:paraId="391163C0" w14:textId="77777777" w:rsidR="004457AA" w:rsidRDefault="00293C5E">
      <w:pPr>
        <w:pStyle w:val="Odstavecseseznamem"/>
        <w:numPr>
          <w:ilvl w:val="0"/>
          <w:numId w:val="3"/>
        </w:numPr>
        <w:tabs>
          <w:tab w:val="left" w:pos="537"/>
        </w:tabs>
        <w:spacing w:before="62" w:line="276" w:lineRule="auto"/>
        <w:ind w:right="409"/>
        <w:jc w:val="both"/>
      </w:pPr>
      <w:r>
        <w:t xml:space="preserve">Odvoz odpadu není předmětem této smlouvy. Nájemce si zajistí svým jménem a </w:t>
      </w:r>
      <w:r>
        <w:rPr>
          <w:spacing w:val="2"/>
        </w:rPr>
        <w:t xml:space="preserve">na </w:t>
      </w:r>
      <w:r>
        <w:t>své náklady odvoz a likvidaci veškerých druhů odpadu v souladu se zákonem o odpadech. Pronajímatel poskytne nájemci součinnost v přístupu do objektu pro subjekt zajišťující pro nájemce odvoz</w:t>
      </w:r>
      <w:r>
        <w:rPr>
          <w:spacing w:val="-10"/>
        </w:rPr>
        <w:t xml:space="preserve"> </w:t>
      </w:r>
      <w:r>
        <w:t>odpadu.</w:t>
      </w:r>
    </w:p>
    <w:p w14:paraId="6B2C9071" w14:textId="77777777" w:rsidR="004457AA" w:rsidRDefault="00293C5E">
      <w:pPr>
        <w:pStyle w:val="Odstavecseseznamem"/>
        <w:numPr>
          <w:ilvl w:val="0"/>
          <w:numId w:val="3"/>
        </w:numPr>
        <w:tabs>
          <w:tab w:val="left" w:pos="537"/>
        </w:tabs>
        <w:spacing w:before="62" w:line="276" w:lineRule="auto"/>
        <w:ind w:right="409"/>
        <w:jc w:val="both"/>
      </w:pPr>
      <w:r>
        <w:t>Úhrada</w:t>
      </w:r>
      <w:r>
        <w:rPr>
          <w:spacing w:val="-4"/>
        </w:rPr>
        <w:t xml:space="preserve"> </w:t>
      </w:r>
      <w:r>
        <w:t>za</w:t>
      </w:r>
      <w:r>
        <w:rPr>
          <w:spacing w:val="-4"/>
        </w:rPr>
        <w:t xml:space="preserve"> </w:t>
      </w:r>
      <w:r>
        <w:t>nájemné</w:t>
      </w:r>
      <w:r>
        <w:rPr>
          <w:spacing w:val="-4"/>
        </w:rPr>
        <w:t xml:space="preserve"> </w:t>
      </w:r>
      <w:r>
        <w:t>uvedené</w:t>
      </w:r>
      <w:r>
        <w:rPr>
          <w:spacing w:val="-4"/>
        </w:rPr>
        <w:t xml:space="preserve"> </w:t>
      </w:r>
      <w:r>
        <w:t>v</w:t>
      </w:r>
      <w:r>
        <w:rPr>
          <w:spacing w:val="-6"/>
        </w:rPr>
        <w:t xml:space="preserve"> </w:t>
      </w:r>
      <w:r>
        <w:t>odst.</w:t>
      </w:r>
      <w:r>
        <w:rPr>
          <w:spacing w:val="-4"/>
        </w:rPr>
        <w:t xml:space="preserve"> </w:t>
      </w:r>
      <w:r>
        <w:t>1,</w:t>
      </w:r>
      <w:r>
        <w:rPr>
          <w:spacing w:val="-7"/>
        </w:rPr>
        <w:t xml:space="preserve"> </w:t>
      </w:r>
      <w:r>
        <w:t>bod</w:t>
      </w:r>
      <w:r>
        <w:rPr>
          <w:spacing w:val="-5"/>
        </w:rPr>
        <w:t xml:space="preserve"> </w:t>
      </w:r>
      <w:r>
        <w:t>a)</w:t>
      </w:r>
      <w:r>
        <w:rPr>
          <w:spacing w:val="-4"/>
        </w:rPr>
        <w:t xml:space="preserve"> </w:t>
      </w:r>
      <w:r>
        <w:t>tohoto</w:t>
      </w:r>
      <w:r>
        <w:rPr>
          <w:spacing w:val="-5"/>
        </w:rPr>
        <w:t xml:space="preserve"> </w:t>
      </w:r>
      <w:r>
        <w:t>článku,</w:t>
      </w:r>
      <w:r>
        <w:rPr>
          <w:spacing w:val="-5"/>
        </w:rPr>
        <w:t xml:space="preserve"> </w:t>
      </w:r>
      <w:r>
        <w:t>bude</w:t>
      </w:r>
      <w:r>
        <w:rPr>
          <w:spacing w:val="-4"/>
        </w:rPr>
        <w:t xml:space="preserve"> </w:t>
      </w:r>
      <w:r>
        <w:t>nájemcem</w:t>
      </w:r>
      <w:r>
        <w:rPr>
          <w:spacing w:val="-6"/>
        </w:rPr>
        <w:t xml:space="preserve"> </w:t>
      </w:r>
      <w:r>
        <w:t>prováděna na základě faktury pronajímatele ve čtyřech platbách a korespondujících termínech splatnosti, nejpozději vždy k následujícímu datu: 25. 1., 25. 4., 25. 7. a 25. 10. kalendářního roku. Platba pokrývá úhradu za 3 měsíce předem, a to vždy na období začínající</w:t>
      </w:r>
      <w:r>
        <w:rPr>
          <w:spacing w:val="-4"/>
        </w:rPr>
        <w:t xml:space="preserve"> </w:t>
      </w:r>
      <w:r>
        <w:t>počátkem</w:t>
      </w:r>
      <w:r>
        <w:rPr>
          <w:spacing w:val="-2"/>
        </w:rPr>
        <w:t xml:space="preserve"> </w:t>
      </w:r>
      <w:r>
        <w:t>měsíce,</w:t>
      </w:r>
      <w:r>
        <w:rPr>
          <w:spacing w:val="-3"/>
        </w:rPr>
        <w:t xml:space="preserve"> </w:t>
      </w:r>
      <w:r>
        <w:t>v</w:t>
      </w:r>
      <w:r>
        <w:rPr>
          <w:spacing w:val="-2"/>
        </w:rPr>
        <w:t xml:space="preserve"> </w:t>
      </w:r>
      <w:r>
        <w:t>němž</w:t>
      </w:r>
      <w:r>
        <w:rPr>
          <w:spacing w:val="-4"/>
        </w:rPr>
        <w:t xml:space="preserve"> </w:t>
      </w:r>
      <w:r>
        <w:t>je</w:t>
      </w:r>
      <w:r>
        <w:rPr>
          <w:spacing w:val="-3"/>
        </w:rPr>
        <w:t xml:space="preserve"> </w:t>
      </w:r>
      <w:r>
        <w:t>daný</w:t>
      </w:r>
      <w:r>
        <w:rPr>
          <w:spacing w:val="-3"/>
        </w:rPr>
        <w:t xml:space="preserve"> </w:t>
      </w:r>
      <w:r>
        <w:t>termín</w:t>
      </w:r>
      <w:r>
        <w:rPr>
          <w:spacing w:val="-4"/>
        </w:rPr>
        <w:t xml:space="preserve"> </w:t>
      </w:r>
      <w:r>
        <w:t>splatnosti,</w:t>
      </w:r>
      <w:r>
        <w:rPr>
          <w:spacing w:val="-3"/>
        </w:rPr>
        <w:t xml:space="preserve"> </w:t>
      </w:r>
      <w:r>
        <w:t>uvedený</w:t>
      </w:r>
      <w:r>
        <w:rPr>
          <w:spacing w:val="-3"/>
        </w:rPr>
        <w:t xml:space="preserve"> </w:t>
      </w:r>
      <w:r>
        <w:t>v</w:t>
      </w:r>
      <w:r>
        <w:rPr>
          <w:spacing w:val="-2"/>
        </w:rPr>
        <w:t xml:space="preserve"> </w:t>
      </w:r>
      <w:r>
        <w:t>předchozí</w:t>
      </w:r>
      <w:r>
        <w:rPr>
          <w:spacing w:val="-4"/>
        </w:rPr>
        <w:t xml:space="preserve"> </w:t>
      </w:r>
      <w:r>
        <w:t>větě, a</w:t>
      </w:r>
      <w:r>
        <w:rPr>
          <w:spacing w:val="-3"/>
        </w:rPr>
        <w:t xml:space="preserve"> </w:t>
      </w:r>
      <w:r>
        <w:t>končící</w:t>
      </w:r>
      <w:r>
        <w:rPr>
          <w:spacing w:val="-3"/>
        </w:rPr>
        <w:t xml:space="preserve"> </w:t>
      </w:r>
      <w:r>
        <w:t>koncem</w:t>
      </w:r>
      <w:r>
        <w:rPr>
          <w:spacing w:val="-5"/>
        </w:rPr>
        <w:t xml:space="preserve"> </w:t>
      </w:r>
      <w:r>
        <w:t>měsíce,</w:t>
      </w:r>
      <w:r>
        <w:rPr>
          <w:spacing w:val="-5"/>
        </w:rPr>
        <w:t xml:space="preserve"> </w:t>
      </w:r>
      <w:r>
        <w:t>který</w:t>
      </w:r>
      <w:r>
        <w:rPr>
          <w:spacing w:val="-3"/>
        </w:rPr>
        <w:t xml:space="preserve"> </w:t>
      </w:r>
      <w:r>
        <w:t>předchází</w:t>
      </w:r>
      <w:r>
        <w:rPr>
          <w:spacing w:val="-4"/>
        </w:rPr>
        <w:t xml:space="preserve"> </w:t>
      </w:r>
      <w:r>
        <w:t>měsíci,</w:t>
      </w:r>
      <w:r>
        <w:rPr>
          <w:spacing w:val="-6"/>
        </w:rPr>
        <w:t xml:space="preserve"> </w:t>
      </w:r>
      <w:r>
        <w:t>v</w:t>
      </w:r>
      <w:r>
        <w:rPr>
          <w:spacing w:val="-2"/>
        </w:rPr>
        <w:t xml:space="preserve"> </w:t>
      </w:r>
      <w:r>
        <w:t>němž</w:t>
      </w:r>
      <w:r>
        <w:rPr>
          <w:spacing w:val="-4"/>
        </w:rPr>
        <w:t xml:space="preserve"> </w:t>
      </w:r>
      <w:r>
        <w:t>je</w:t>
      </w:r>
      <w:r>
        <w:rPr>
          <w:spacing w:val="-3"/>
        </w:rPr>
        <w:t xml:space="preserve"> </w:t>
      </w:r>
      <w:r>
        <w:t>následující</w:t>
      </w:r>
      <w:r>
        <w:rPr>
          <w:spacing w:val="-4"/>
        </w:rPr>
        <w:t xml:space="preserve"> </w:t>
      </w:r>
      <w:r>
        <w:t>termín</w:t>
      </w:r>
      <w:r>
        <w:rPr>
          <w:spacing w:val="-7"/>
        </w:rPr>
        <w:t xml:space="preserve"> </w:t>
      </w:r>
      <w:r>
        <w:t>splatnosti. Úhrada za služby uvedené v odst. 1, bod b), c) a d) tohoto článku, bude nájemcem prováděna zpětně za uplynulé tři měsíce na základě faktury pronajímatele ve čtyřech platbách,</w:t>
      </w:r>
      <w:r>
        <w:rPr>
          <w:spacing w:val="-9"/>
        </w:rPr>
        <w:t xml:space="preserve"> </w:t>
      </w:r>
      <w:r>
        <w:t>nejpozději</w:t>
      </w:r>
      <w:r>
        <w:rPr>
          <w:spacing w:val="-12"/>
        </w:rPr>
        <w:t xml:space="preserve"> </w:t>
      </w:r>
      <w:r>
        <w:t>vždy</w:t>
      </w:r>
      <w:r>
        <w:rPr>
          <w:spacing w:val="-9"/>
        </w:rPr>
        <w:t xml:space="preserve"> </w:t>
      </w:r>
      <w:r>
        <w:t>k</w:t>
      </w:r>
      <w:r>
        <w:rPr>
          <w:spacing w:val="-12"/>
        </w:rPr>
        <w:t xml:space="preserve"> </w:t>
      </w:r>
      <w:r>
        <w:t>následujícímu</w:t>
      </w:r>
      <w:r>
        <w:rPr>
          <w:spacing w:val="-10"/>
        </w:rPr>
        <w:t xml:space="preserve"> </w:t>
      </w:r>
      <w:r>
        <w:t>datu:</w:t>
      </w:r>
      <w:r>
        <w:rPr>
          <w:spacing w:val="-9"/>
        </w:rPr>
        <w:t xml:space="preserve"> </w:t>
      </w:r>
      <w:r>
        <w:t>25.</w:t>
      </w:r>
      <w:r>
        <w:rPr>
          <w:spacing w:val="-10"/>
        </w:rPr>
        <w:t xml:space="preserve"> </w:t>
      </w:r>
      <w:r>
        <w:t>1.,</w:t>
      </w:r>
      <w:r>
        <w:rPr>
          <w:spacing w:val="-12"/>
        </w:rPr>
        <w:t xml:space="preserve"> </w:t>
      </w:r>
      <w:r>
        <w:t>25.</w:t>
      </w:r>
      <w:r>
        <w:rPr>
          <w:spacing w:val="-12"/>
        </w:rPr>
        <w:t xml:space="preserve"> </w:t>
      </w:r>
      <w:r>
        <w:t>4.,</w:t>
      </w:r>
      <w:r>
        <w:rPr>
          <w:spacing w:val="-10"/>
        </w:rPr>
        <w:t xml:space="preserve"> </w:t>
      </w:r>
      <w:r>
        <w:t>25.</w:t>
      </w:r>
      <w:r>
        <w:rPr>
          <w:spacing w:val="-10"/>
        </w:rPr>
        <w:t xml:space="preserve"> </w:t>
      </w:r>
      <w:r>
        <w:t>7.</w:t>
      </w:r>
      <w:r>
        <w:rPr>
          <w:spacing w:val="-10"/>
        </w:rPr>
        <w:t xml:space="preserve"> </w:t>
      </w:r>
      <w:r>
        <w:t>a</w:t>
      </w:r>
      <w:r>
        <w:rPr>
          <w:spacing w:val="-12"/>
        </w:rPr>
        <w:t xml:space="preserve"> </w:t>
      </w:r>
      <w:r>
        <w:t>25.</w:t>
      </w:r>
      <w:r>
        <w:rPr>
          <w:spacing w:val="-12"/>
        </w:rPr>
        <w:t xml:space="preserve"> </w:t>
      </w:r>
      <w:r>
        <w:t>10.</w:t>
      </w:r>
      <w:r>
        <w:rPr>
          <w:spacing w:val="-12"/>
        </w:rPr>
        <w:t xml:space="preserve"> </w:t>
      </w:r>
      <w:r>
        <w:t>kalendářního roku.</w:t>
      </w:r>
    </w:p>
    <w:p w14:paraId="27AE3B22" w14:textId="77777777" w:rsidR="004457AA" w:rsidRDefault="00293C5E">
      <w:pPr>
        <w:pStyle w:val="Odstavecseseznamem"/>
        <w:numPr>
          <w:ilvl w:val="0"/>
          <w:numId w:val="3"/>
        </w:numPr>
        <w:tabs>
          <w:tab w:val="left" w:pos="537"/>
        </w:tabs>
        <w:spacing w:before="62" w:line="276" w:lineRule="auto"/>
        <w:ind w:right="410"/>
        <w:jc w:val="both"/>
      </w:pPr>
      <w:r>
        <w:t>Úhrada bude provedena na účet pronajímatele u bankovního ústavu, který je uveden v záhlaví této smlouvy. Pronajímatel je oprávněn písemně sdělit nájemci jiné číslo účtu u bankovního ústavu, na nějž jsou částky dle této smlouvy splatné. Faktura pronajímatele musí</w:t>
      </w:r>
      <w:r>
        <w:rPr>
          <w:spacing w:val="-15"/>
        </w:rPr>
        <w:t xml:space="preserve"> </w:t>
      </w:r>
      <w:r>
        <w:t>mít</w:t>
      </w:r>
      <w:r>
        <w:rPr>
          <w:spacing w:val="-13"/>
        </w:rPr>
        <w:t xml:space="preserve"> </w:t>
      </w:r>
      <w:r>
        <w:t>náležitosti</w:t>
      </w:r>
      <w:r>
        <w:rPr>
          <w:spacing w:val="-13"/>
        </w:rPr>
        <w:t xml:space="preserve"> </w:t>
      </w:r>
      <w:r>
        <w:t>účetního</w:t>
      </w:r>
      <w:r>
        <w:rPr>
          <w:spacing w:val="-12"/>
        </w:rPr>
        <w:t xml:space="preserve"> </w:t>
      </w:r>
      <w:r>
        <w:t>dokladu</w:t>
      </w:r>
      <w:r>
        <w:rPr>
          <w:spacing w:val="-13"/>
        </w:rPr>
        <w:t xml:space="preserve"> </w:t>
      </w:r>
      <w:r>
        <w:t>podle</w:t>
      </w:r>
      <w:r>
        <w:rPr>
          <w:spacing w:val="-15"/>
        </w:rPr>
        <w:t xml:space="preserve"> </w:t>
      </w:r>
      <w:r>
        <w:t>zákona</w:t>
      </w:r>
      <w:r>
        <w:rPr>
          <w:spacing w:val="-13"/>
        </w:rPr>
        <w:t xml:space="preserve"> </w:t>
      </w:r>
      <w:r>
        <w:t>č.</w:t>
      </w:r>
      <w:r>
        <w:rPr>
          <w:spacing w:val="-15"/>
        </w:rPr>
        <w:t xml:space="preserve"> </w:t>
      </w:r>
      <w:r>
        <w:t>563/1991</w:t>
      </w:r>
      <w:r>
        <w:rPr>
          <w:spacing w:val="-12"/>
        </w:rPr>
        <w:t xml:space="preserve"> </w:t>
      </w:r>
      <w:r>
        <w:t>Sb.,</w:t>
      </w:r>
      <w:r>
        <w:rPr>
          <w:spacing w:val="-16"/>
        </w:rPr>
        <w:t xml:space="preserve"> </w:t>
      </w:r>
      <w:r>
        <w:t>o</w:t>
      </w:r>
      <w:r>
        <w:rPr>
          <w:spacing w:val="-12"/>
        </w:rPr>
        <w:t xml:space="preserve"> </w:t>
      </w:r>
      <w:r>
        <w:t>účetnictví,</w:t>
      </w:r>
      <w:r>
        <w:rPr>
          <w:spacing w:val="-16"/>
        </w:rPr>
        <w:t xml:space="preserve"> </w:t>
      </w:r>
      <w:r>
        <w:t>ve</w:t>
      </w:r>
      <w:r>
        <w:rPr>
          <w:spacing w:val="-12"/>
        </w:rPr>
        <w:t xml:space="preserve"> </w:t>
      </w:r>
      <w:r>
        <w:t>znění pozdějších předpisů a musí být nájemci doručena nejpozději 10 dnů před sjednaným termínem splatnosti, pokud bude faktura pronajímatele doručena nájemci později než 10 dnů před sjednaným termínem splatnosti, posouvá se splatnost této faktury o dobu prodlení pronajímatele s doručením</w:t>
      </w:r>
      <w:r>
        <w:rPr>
          <w:spacing w:val="-5"/>
        </w:rPr>
        <w:t xml:space="preserve"> </w:t>
      </w:r>
      <w:r>
        <w:t>faktury.</w:t>
      </w:r>
    </w:p>
    <w:p w14:paraId="621F5965" w14:textId="77777777" w:rsidR="004457AA" w:rsidRDefault="00293C5E">
      <w:pPr>
        <w:pStyle w:val="Odstavecseseznamem"/>
        <w:numPr>
          <w:ilvl w:val="0"/>
          <w:numId w:val="3"/>
        </w:numPr>
        <w:tabs>
          <w:tab w:val="left" w:pos="537"/>
        </w:tabs>
        <w:spacing w:before="60" w:line="276" w:lineRule="auto"/>
        <w:ind w:right="409"/>
        <w:jc w:val="both"/>
      </w:pPr>
      <w:r>
        <w:t>Pronajímatel je oprávněn počínaje od 1. 1. 2024 v následujících letech upravit v souladu s ustanovením § 2248 občanského zákoníku paušální platbu nájemného uvedenou v odst. 1 bod a) tohoto článku dle vývoje indexu cen tržních služeb v produkční sféře – služeb v oblasti nemovitostí, kdy základem pro výpočet nové výše nájemného je meziroční index tržních služeb v produkční sféře – skupina L68 Služby v oblasti nemovitostí (dle Klasifikace produkce CZ-CPA) za předchozí rok nájmu, a to podle údajů Českého statistického úřadu. V případě, že index cen tržních služeb v produkční sféře bude Českým statistickým úřadem zveřejněn v průběhu roku, doplatí nájemce nedoplatek, resp. obdrží přeplatek za předchozí měsíce příslušného roku v prvním následujícím</w:t>
      </w:r>
      <w:r>
        <w:rPr>
          <w:spacing w:val="-11"/>
        </w:rPr>
        <w:t xml:space="preserve"> </w:t>
      </w:r>
      <w:r>
        <w:t>termínu</w:t>
      </w:r>
      <w:r>
        <w:rPr>
          <w:spacing w:val="-10"/>
        </w:rPr>
        <w:t xml:space="preserve"> </w:t>
      </w:r>
      <w:r>
        <w:t>splatnosti</w:t>
      </w:r>
      <w:r>
        <w:rPr>
          <w:spacing w:val="-9"/>
        </w:rPr>
        <w:t xml:space="preserve"> </w:t>
      </w:r>
      <w:r>
        <w:t>dle</w:t>
      </w:r>
      <w:r>
        <w:rPr>
          <w:spacing w:val="-11"/>
        </w:rPr>
        <w:t xml:space="preserve"> </w:t>
      </w:r>
      <w:r>
        <w:t>odst.</w:t>
      </w:r>
      <w:r>
        <w:rPr>
          <w:spacing w:val="-11"/>
        </w:rPr>
        <w:t xml:space="preserve"> </w:t>
      </w:r>
      <w:r>
        <w:t>3</w:t>
      </w:r>
      <w:r>
        <w:rPr>
          <w:spacing w:val="-8"/>
        </w:rPr>
        <w:t xml:space="preserve"> </w:t>
      </w:r>
      <w:r>
        <w:t>tohoto</w:t>
      </w:r>
      <w:r>
        <w:rPr>
          <w:spacing w:val="-8"/>
        </w:rPr>
        <w:t xml:space="preserve"> </w:t>
      </w:r>
      <w:r>
        <w:t>článku,</w:t>
      </w:r>
      <w:r>
        <w:rPr>
          <w:spacing w:val="-9"/>
        </w:rPr>
        <w:t xml:space="preserve"> </w:t>
      </w:r>
      <w:r>
        <w:t>a</w:t>
      </w:r>
      <w:r>
        <w:rPr>
          <w:spacing w:val="-9"/>
        </w:rPr>
        <w:t xml:space="preserve"> </w:t>
      </w:r>
      <w:r>
        <w:t>to</w:t>
      </w:r>
      <w:r>
        <w:rPr>
          <w:spacing w:val="-8"/>
        </w:rPr>
        <w:t xml:space="preserve"> </w:t>
      </w:r>
      <w:r>
        <w:t>po</w:t>
      </w:r>
      <w:r>
        <w:rPr>
          <w:spacing w:val="-8"/>
        </w:rPr>
        <w:t xml:space="preserve"> </w:t>
      </w:r>
      <w:r>
        <w:t>zveřejnění</w:t>
      </w:r>
      <w:r>
        <w:rPr>
          <w:spacing w:val="-12"/>
        </w:rPr>
        <w:t xml:space="preserve"> </w:t>
      </w:r>
      <w:r>
        <w:t>meziročního</w:t>
      </w:r>
    </w:p>
    <w:p w14:paraId="67B573EC" w14:textId="77777777" w:rsidR="004457AA" w:rsidRDefault="004457AA">
      <w:pPr>
        <w:spacing w:line="276" w:lineRule="auto"/>
        <w:jc w:val="both"/>
        <w:sectPr w:rsidR="004457AA">
          <w:pgSz w:w="11910" w:h="16840"/>
          <w:pgMar w:top="1360" w:right="1680" w:bottom="960" w:left="1420" w:header="0" w:footer="773" w:gutter="0"/>
          <w:cols w:space="708"/>
        </w:sectPr>
      </w:pPr>
    </w:p>
    <w:p w14:paraId="372D04B8" w14:textId="77777777" w:rsidR="004457AA" w:rsidRDefault="00293C5E">
      <w:pPr>
        <w:pStyle w:val="Zkladntext"/>
        <w:spacing w:before="37" w:line="276" w:lineRule="auto"/>
        <w:ind w:left="536" w:right="334"/>
      </w:pPr>
      <w:r>
        <w:lastRenderedPageBreak/>
        <w:t>indexu cen tržních služeb v produkční sféře za předchozí rok. Výpočet úpravy nájemného dle tohoto ustanovení bude vždy provádět pronajímatel.</w:t>
      </w:r>
    </w:p>
    <w:p w14:paraId="551AD478" w14:textId="77777777" w:rsidR="004457AA" w:rsidRDefault="00293C5E">
      <w:pPr>
        <w:pStyle w:val="Odstavecseseznamem"/>
        <w:numPr>
          <w:ilvl w:val="0"/>
          <w:numId w:val="3"/>
        </w:numPr>
        <w:tabs>
          <w:tab w:val="left" w:pos="537"/>
        </w:tabs>
        <w:spacing w:line="276" w:lineRule="auto"/>
        <w:ind w:right="412"/>
        <w:jc w:val="both"/>
      </w:pPr>
      <w:r>
        <w:t>Veškeré</w:t>
      </w:r>
      <w:r>
        <w:rPr>
          <w:spacing w:val="-5"/>
        </w:rPr>
        <w:t xml:space="preserve"> </w:t>
      </w:r>
      <w:r>
        <w:t>v</w:t>
      </w:r>
      <w:r>
        <w:rPr>
          <w:spacing w:val="-5"/>
        </w:rPr>
        <w:t xml:space="preserve"> </w:t>
      </w:r>
      <w:r>
        <w:t>této</w:t>
      </w:r>
      <w:r>
        <w:rPr>
          <w:spacing w:val="-4"/>
        </w:rPr>
        <w:t xml:space="preserve"> </w:t>
      </w:r>
      <w:r>
        <w:t>smlouvě</w:t>
      </w:r>
      <w:r>
        <w:rPr>
          <w:spacing w:val="-5"/>
        </w:rPr>
        <w:t xml:space="preserve"> </w:t>
      </w:r>
      <w:r>
        <w:t>uvedené</w:t>
      </w:r>
      <w:r>
        <w:rPr>
          <w:spacing w:val="-4"/>
        </w:rPr>
        <w:t xml:space="preserve"> </w:t>
      </w:r>
      <w:r>
        <w:t>částky</w:t>
      </w:r>
      <w:r>
        <w:rPr>
          <w:spacing w:val="-4"/>
        </w:rPr>
        <w:t xml:space="preserve"> </w:t>
      </w:r>
      <w:r>
        <w:t>uvedené</w:t>
      </w:r>
      <w:r>
        <w:rPr>
          <w:spacing w:val="-5"/>
        </w:rPr>
        <w:t xml:space="preserve"> </w:t>
      </w:r>
      <w:r>
        <w:t>v</w:t>
      </w:r>
      <w:r>
        <w:rPr>
          <w:spacing w:val="-5"/>
        </w:rPr>
        <w:t xml:space="preserve"> </w:t>
      </w:r>
      <w:r>
        <w:t>Kč</w:t>
      </w:r>
      <w:r>
        <w:rPr>
          <w:spacing w:val="-5"/>
        </w:rPr>
        <w:t xml:space="preserve"> </w:t>
      </w:r>
      <w:r>
        <w:t>(koruna</w:t>
      </w:r>
      <w:r>
        <w:rPr>
          <w:spacing w:val="-6"/>
        </w:rPr>
        <w:t xml:space="preserve"> </w:t>
      </w:r>
      <w:r>
        <w:t>česká)</w:t>
      </w:r>
      <w:r>
        <w:rPr>
          <w:spacing w:val="-4"/>
        </w:rPr>
        <w:t xml:space="preserve"> </w:t>
      </w:r>
      <w:r>
        <w:t>budou</w:t>
      </w:r>
      <w:r>
        <w:rPr>
          <w:spacing w:val="-6"/>
        </w:rPr>
        <w:t xml:space="preserve"> </w:t>
      </w:r>
      <w:r>
        <w:t>v</w:t>
      </w:r>
      <w:r>
        <w:rPr>
          <w:spacing w:val="-3"/>
        </w:rPr>
        <w:t xml:space="preserve"> </w:t>
      </w:r>
      <w:r>
        <w:t>den</w:t>
      </w:r>
      <w:r>
        <w:rPr>
          <w:spacing w:val="-8"/>
        </w:rPr>
        <w:t xml:space="preserve"> </w:t>
      </w:r>
      <w:r>
        <w:t>zániku této měny automaticky splatné v EUR (€) či jiné měně platné v Evropské unii nebo společenství států, které Evropskou unii nahradí, a to v přepočítacím poměru ke Kč, platném v den zániku</w:t>
      </w:r>
      <w:r>
        <w:rPr>
          <w:spacing w:val="-1"/>
        </w:rPr>
        <w:t xml:space="preserve"> </w:t>
      </w:r>
      <w:r>
        <w:t>Kč.</w:t>
      </w:r>
    </w:p>
    <w:p w14:paraId="0155E055" w14:textId="77777777" w:rsidR="004457AA" w:rsidRDefault="00293C5E">
      <w:pPr>
        <w:pStyle w:val="Odstavecseseznamem"/>
        <w:numPr>
          <w:ilvl w:val="0"/>
          <w:numId w:val="3"/>
        </w:numPr>
        <w:tabs>
          <w:tab w:val="left" w:pos="537"/>
        </w:tabs>
        <w:spacing w:line="276" w:lineRule="auto"/>
        <w:ind w:right="411"/>
        <w:jc w:val="both"/>
      </w:pPr>
      <w:r>
        <w:t>Neuhradí-li nájemce nájemné nebo platby uvedené v odst. 1 tohoto článku včas, je pronajímatel oprávněn na nájemci vymáhat zákonný úrok z prodlení. Nárok na náhradu vzniklé újmy pronajímatele vůči nájemci tímto není</w:t>
      </w:r>
      <w:r>
        <w:rPr>
          <w:spacing w:val="-13"/>
        </w:rPr>
        <w:t xml:space="preserve"> </w:t>
      </w:r>
      <w:r>
        <w:t>dotčen.</w:t>
      </w:r>
    </w:p>
    <w:p w14:paraId="568BBD19" w14:textId="77777777" w:rsidR="004457AA" w:rsidRDefault="00293C5E">
      <w:pPr>
        <w:pStyle w:val="Odstavecseseznamem"/>
        <w:numPr>
          <w:ilvl w:val="0"/>
          <w:numId w:val="3"/>
        </w:numPr>
        <w:tabs>
          <w:tab w:val="left" w:pos="537"/>
        </w:tabs>
        <w:spacing w:line="276" w:lineRule="auto"/>
        <w:ind w:right="412"/>
        <w:jc w:val="both"/>
      </w:pPr>
      <w:r>
        <w:t>Smluvní strany se dohodly, že nájemné a ostatní platby dle této smlouvy za období ode dne 1. 9. 2023 do 30. 9. 2023 budou pronajímatelem fakturovány a nájemcem uhrazeny společně s nájemným a platbami za období 1.10.2023 –</w:t>
      </w:r>
      <w:r>
        <w:rPr>
          <w:spacing w:val="-16"/>
        </w:rPr>
        <w:t xml:space="preserve"> </w:t>
      </w:r>
      <w:r>
        <w:t>31.12.2023.</w:t>
      </w:r>
    </w:p>
    <w:p w14:paraId="49E245F8" w14:textId="77777777" w:rsidR="004457AA" w:rsidRDefault="004457AA">
      <w:pPr>
        <w:pStyle w:val="Zkladntext"/>
      </w:pPr>
    </w:p>
    <w:p w14:paraId="08A310E4" w14:textId="77777777" w:rsidR="004457AA" w:rsidRDefault="004457AA">
      <w:pPr>
        <w:pStyle w:val="Zkladntext"/>
        <w:spacing w:before="4"/>
        <w:rPr>
          <w:sz w:val="30"/>
        </w:rPr>
      </w:pPr>
    </w:p>
    <w:p w14:paraId="72CBAD7A" w14:textId="77777777" w:rsidR="004457AA" w:rsidRDefault="00293C5E">
      <w:pPr>
        <w:pStyle w:val="Nadpis1"/>
        <w:spacing w:before="1"/>
      </w:pPr>
      <w:r>
        <w:t>Čl. V.</w:t>
      </w:r>
    </w:p>
    <w:p w14:paraId="0ACB196F" w14:textId="77777777" w:rsidR="004457AA" w:rsidRDefault="00293C5E">
      <w:pPr>
        <w:ind w:left="313" w:right="626"/>
        <w:jc w:val="center"/>
        <w:rPr>
          <w:b/>
          <w:sz w:val="23"/>
        </w:rPr>
      </w:pPr>
      <w:r>
        <w:rPr>
          <w:b/>
          <w:sz w:val="23"/>
        </w:rPr>
        <w:t>Výpověď smlouvy o nájmu pronajímatelem nebo nájemcem, počátek běhu a délka výpovědní doby, další práva a povinnosti pronajímatele a nájemce</w:t>
      </w:r>
    </w:p>
    <w:p w14:paraId="2C9B7165" w14:textId="77777777" w:rsidR="004457AA" w:rsidRDefault="004457AA">
      <w:pPr>
        <w:pStyle w:val="Zkladntext"/>
        <w:rPr>
          <w:b/>
        </w:rPr>
      </w:pPr>
    </w:p>
    <w:p w14:paraId="625A00C3" w14:textId="77777777" w:rsidR="004457AA" w:rsidRDefault="00293C5E">
      <w:pPr>
        <w:pStyle w:val="Odstavecseseznamem"/>
        <w:numPr>
          <w:ilvl w:val="0"/>
          <w:numId w:val="2"/>
        </w:numPr>
        <w:tabs>
          <w:tab w:val="left" w:pos="538"/>
          <w:tab w:val="left" w:pos="539"/>
        </w:tabs>
        <w:spacing w:before="0"/>
        <w:ind w:hanging="427"/>
      </w:pPr>
      <w:r>
        <w:t>Nájemce může vypovědět nájem před uplynutím sjednané doby nájmu v</w:t>
      </w:r>
      <w:r>
        <w:rPr>
          <w:spacing w:val="-25"/>
        </w:rPr>
        <w:t xml:space="preserve"> </w:t>
      </w:r>
      <w:r>
        <w:t>případě:</w:t>
      </w:r>
    </w:p>
    <w:p w14:paraId="31DC2736" w14:textId="77777777" w:rsidR="004457AA" w:rsidRDefault="00293C5E">
      <w:pPr>
        <w:pStyle w:val="Odstavecseseznamem"/>
        <w:numPr>
          <w:ilvl w:val="1"/>
          <w:numId w:val="2"/>
        </w:numPr>
        <w:tabs>
          <w:tab w:val="left" w:pos="820"/>
        </w:tabs>
        <w:spacing w:before="101"/>
      </w:pPr>
      <w:r>
        <w:t>ztratí-li způsobilost k činnosti, k jejímuž výkonu je předmět nájmu</w:t>
      </w:r>
      <w:r>
        <w:rPr>
          <w:spacing w:val="-32"/>
        </w:rPr>
        <w:t xml:space="preserve"> </w:t>
      </w:r>
      <w:r>
        <w:t>určen,</w:t>
      </w:r>
    </w:p>
    <w:p w14:paraId="65D90B72" w14:textId="6B4D778C" w:rsidR="004457AA" w:rsidRDefault="00293C5E">
      <w:pPr>
        <w:pStyle w:val="Odstavecseseznamem"/>
        <w:numPr>
          <w:ilvl w:val="1"/>
          <w:numId w:val="2"/>
        </w:numPr>
        <w:tabs>
          <w:tab w:val="left" w:pos="820"/>
        </w:tabs>
        <w:spacing w:before="101"/>
      </w:pPr>
      <w:r>
        <w:t>přestane-li být předmět nájmu z objektivních důvodů způsobilý k výkonu činnosti, k</w:t>
      </w:r>
    </w:p>
    <w:p w14:paraId="52990388" w14:textId="77777777" w:rsidR="004457AA" w:rsidRDefault="00293C5E">
      <w:pPr>
        <w:pStyle w:val="Zkladntext"/>
        <w:spacing w:before="43"/>
        <w:ind w:left="819"/>
      </w:pPr>
      <w:r>
        <w:t>němuž byl určen,</w:t>
      </w:r>
    </w:p>
    <w:p w14:paraId="5329608E" w14:textId="77777777" w:rsidR="004457AA" w:rsidRDefault="00293C5E">
      <w:pPr>
        <w:pStyle w:val="Odstavecseseznamem"/>
        <w:numPr>
          <w:ilvl w:val="1"/>
          <w:numId w:val="2"/>
        </w:numPr>
        <w:tabs>
          <w:tab w:val="left" w:pos="820"/>
        </w:tabs>
        <w:spacing w:before="98"/>
      </w:pPr>
      <w:r>
        <w:t>porušuje-li pronajímatel hrubě své povinnosti vůči</w:t>
      </w:r>
      <w:r>
        <w:rPr>
          <w:spacing w:val="-16"/>
        </w:rPr>
        <w:t xml:space="preserve"> </w:t>
      </w:r>
      <w:r>
        <w:t>nájemci.</w:t>
      </w:r>
    </w:p>
    <w:p w14:paraId="756A13DB" w14:textId="77777777" w:rsidR="004457AA" w:rsidRDefault="004457AA">
      <w:pPr>
        <w:pStyle w:val="Zkladntext"/>
      </w:pPr>
    </w:p>
    <w:p w14:paraId="0188A476" w14:textId="77777777" w:rsidR="004457AA" w:rsidRDefault="00293C5E">
      <w:pPr>
        <w:pStyle w:val="Odstavecseseznamem"/>
        <w:numPr>
          <w:ilvl w:val="0"/>
          <w:numId w:val="2"/>
        </w:numPr>
        <w:tabs>
          <w:tab w:val="left" w:pos="538"/>
          <w:tab w:val="left" w:pos="539"/>
        </w:tabs>
        <w:spacing w:before="0"/>
        <w:ind w:hanging="427"/>
      </w:pPr>
      <w:r>
        <w:t>Pronajímatel může vypovědět nájem před uplynutím sjednané doby nájmu v</w:t>
      </w:r>
      <w:r>
        <w:rPr>
          <w:spacing w:val="-23"/>
        </w:rPr>
        <w:t xml:space="preserve"> </w:t>
      </w:r>
      <w:r>
        <w:t>případě:</w:t>
      </w:r>
    </w:p>
    <w:p w14:paraId="7219E58E" w14:textId="77777777" w:rsidR="004457AA" w:rsidRDefault="00293C5E">
      <w:pPr>
        <w:pStyle w:val="Odstavecseseznamem"/>
        <w:numPr>
          <w:ilvl w:val="1"/>
          <w:numId w:val="2"/>
        </w:numPr>
        <w:tabs>
          <w:tab w:val="left" w:pos="832"/>
        </w:tabs>
        <w:spacing w:before="103" w:line="276" w:lineRule="auto"/>
        <w:ind w:left="831" w:right="415" w:hanging="293"/>
        <w:jc w:val="both"/>
      </w:pPr>
      <w:r>
        <w:t>má-li být předmětná budova, v níž se předmětné prostory nacházejí, odstraněna, anebo přestavována tak, že to brání dalšímu užívání předmětného prostoru, a pronajímatel to při uzavření smlouvy nemusel ani nemohl předvídat a nejedná-li se</w:t>
      </w:r>
      <w:r>
        <w:rPr>
          <w:spacing w:val="-34"/>
        </w:rPr>
        <w:t xml:space="preserve"> </w:t>
      </w:r>
      <w:r>
        <w:t>o svévolné zneužití tohoto výpovědního důvodu pronajímatelem,</w:t>
      </w:r>
      <w:r>
        <w:rPr>
          <w:spacing w:val="-17"/>
        </w:rPr>
        <w:t xml:space="preserve"> </w:t>
      </w:r>
      <w:r>
        <w:t>nebo</w:t>
      </w:r>
    </w:p>
    <w:p w14:paraId="66887C9C" w14:textId="77777777" w:rsidR="004457AA" w:rsidRDefault="00293C5E">
      <w:pPr>
        <w:pStyle w:val="Odstavecseseznamem"/>
        <w:numPr>
          <w:ilvl w:val="1"/>
          <w:numId w:val="2"/>
        </w:numPr>
        <w:tabs>
          <w:tab w:val="left" w:pos="832"/>
        </w:tabs>
        <w:spacing w:before="62" w:line="276" w:lineRule="auto"/>
        <w:ind w:left="831" w:right="412" w:hanging="293"/>
        <w:jc w:val="both"/>
      </w:pPr>
      <w:r>
        <w:t>porušuje-li nájemce hrubě své v této smlouvě nebo v zákoně stanovené povinnosti vůči</w:t>
      </w:r>
      <w:r>
        <w:rPr>
          <w:spacing w:val="-11"/>
        </w:rPr>
        <w:t xml:space="preserve"> </w:t>
      </w:r>
      <w:r>
        <w:t>pronajímateli</w:t>
      </w:r>
      <w:r>
        <w:rPr>
          <w:spacing w:val="-18"/>
        </w:rPr>
        <w:t xml:space="preserve"> </w:t>
      </w:r>
      <w:r>
        <w:t>nebo</w:t>
      </w:r>
      <w:r>
        <w:rPr>
          <w:spacing w:val="-19"/>
        </w:rPr>
        <w:t xml:space="preserve"> </w:t>
      </w:r>
      <w:r>
        <w:t>je</w:t>
      </w:r>
      <w:r>
        <w:rPr>
          <w:spacing w:val="-19"/>
        </w:rPr>
        <w:t xml:space="preserve"> </w:t>
      </w:r>
      <w:r>
        <w:t>po</w:t>
      </w:r>
      <w:r>
        <w:rPr>
          <w:spacing w:val="-19"/>
        </w:rPr>
        <w:t xml:space="preserve"> </w:t>
      </w:r>
      <w:r>
        <w:t>dobu</w:t>
      </w:r>
      <w:r>
        <w:rPr>
          <w:spacing w:val="-21"/>
        </w:rPr>
        <w:t xml:space="preserve"> </w:t>
      </w:r>
      <w:r>
        <w:t>delší</w:t>
      </w:r>
      <w:r>
        <w:rPr>
          <w:spacing w:val="-18"/>
        </w:rPr>
        <w:t xml:space="preserve"> </w:t>
      </w:r>
      <w:r>
        <w:t>než</w:t>
      </w:r>
      <w:r>
        <w:rPr>
          <w:spacing w:val="-20"/>
        </w:rPr>
        <w:t xml:space="preserve"> </w:t>
      </w:r>
      <w:r>
        <w:t>2</w:t>
      </w:r>
      <w:r>
        <w:rPr>
          <w:spacing w:val="-22"/>
        </w:rPr>
        <w:t xml:space="preserve"> </w:t>
      </w:r>
      <w:r>
        <w:t>měsíce</w:t>
      </w:r>
      <w:r>
        <w:rPr>
          <w:spacing w:val="-19"/>
        </w:rPr>
        <w:t xml:space="preserve"> </w:t>
      </w:r>
      <w:r>
        <w:t>v</w:t>
      </w:r>
      <w:r>
        <w:rPr>
          <w:spacing w:val="-21"/>
        </w:rPr>
        <w:t xml:space="preserve"> </w:t>
      </w:r>
      <w:r>
        <w:t>prodlení</w:t>
      </w:r>
      <w:r>
        <w:rPr>
          <w:spacing w:val="-18"/>
        </w:rPr>
        <w:t xml:space="preserve"> </w:t>
      </w:r>
      <w:r>
        <w:t>s</w:t>
      </w:r>
      <w:r>
        <w:rPr>
          <w:spacing w:val="-18"/>
        </w:rPr>
        <w:t xml:space="preserve"> </w:t>
      </w:r>
      <w:r>
        <w:t>placením</w:t>
      </w:r>
      <w:r>
        <w:rPr>
          <w:spacing w:val="-17"/>
        </w:rPr>
        <w:t xml:space="preserve"> </w:t>
      </w:r>
      <w:r>
        <w:t>nájemného nebo řádně vyúčtovaných plateb za dodávku médií do předmětu nájmu uvedených v čl.</w:t>
      </w:r>
      <w:r>
        <w:rPr>
          <w:spacing w:val="-4"/>
        </w:rPr>
        <w:t xml:space="preserve"> </w:t>
      </w:r>
      <w:r>
        <w:t>IV,</w:t>
      </w:r>
      <w:r>
        <w:rPr>
          <w:spacing w:val="-3"/>
        </w:rPr>
        <w:t xml:space="preserve"> </w:t>
      </w:r>
      <w:r>
        <w:t>odst.</w:t>
      </w:r>
      <w:r>
        <w:rPr>
          <w:spacing w:val="-3"/>
        </w:rPr>
        <w:t xml:space="preserve"> </w:t>
      </w:r>
      <w:r>
        <w:t>1,</w:t>
      </w:r>
      <w:r>
        <w:rPr>
          <w:spacing w:val="-3"/>
        </w:rPr>
        <w:t xml:space="preserve"> </w:t>
      </w:r>
      <w:r>
        <w:t>písm.</w:t>
      </w:r>
      <w:r>
        <w:rPr>
          <w:spacing w:val="-4"/>
        </w:rPr>
        <w:t xml:space="preserve"> </w:t>
      </w:r>
      <w:r>
        <w:t>b)</w:t>
      </w:r>
      <w:r>
        <w:rPr>
          <w:spacing w:val="-3"/>
        </w:rPr>
        <w:t xml:space="preserve"> </w:t>
      </w:r>
      <w:r>
        <w:t>až</w:t>
      </w:r>
      <w:r>
        <w:rPr>
          <w:spacing w:val="-4"/>
        </w:rPr>
        <w:t xml:space="preserve"> </w:t>
      </w:r>
      <w:r>
        <w:t>d)</w:t>
      </w:r>
      <w:r>
        <w:rPr>
          <w:spacing w:val="-3"/>
        </w:rPr>
        <w:t xml:space="preserve"> </w:t>
      </w:r>
      <w:r>
        <w:t>této</w:t>
      </w:r>
      <w:r>
        <w:rPr>
          <w:spacing w:val="-2"/>
        </w:rPr>
        <w:t xml:space="preserve"> </w:t>
      </w:r>
      <w:r>
        <w:t>smlouvy,</w:t>
      </w:r>
      <w:r>
        <w:rPr>
          <w:spacing w:val="-3"/>
        </w:rPr>
        <w:t xml:space="preserve"> </w:t>
      </w:r>
      <w:r>
        <w:t>a</w:t>
      </w:r>
      <w:r>
        <w:rPr>
          <w:spacing w:val="-3"/>
        </w:rPr>
        <w:t xml:space="preserve"> </w:t>
      </w:r>
      <w:r>
        <w:t>to</w:t>
      </w:r>
      <w:r>
        <w:rPr>
          <w:spacing w:val="-2"/>
        </w:rPr>
        <w:t xml:space="preserve"> </w:t>
      </w:r>
      <w:r>
        <w:t>i</w:t>
      </w:r>
      <w:r>
        <w:rPr>
          <w:spacing w:val="-4"/>
        </w:rPr>
        <w:t xml:space="preserve"> </w:t>
      </w:r>
      <w:r>
        <w:t>přes</w:t>
      </w:r>
      <w:r>
        <w:rPr>
          <w:spacing w:val="-3"/>
        </w:rPr>
        <w:t xml:space="preserve"> </w:t>
      </w:r>
      <w:r>
        <w:t>písemnou</w:t>
      </w:r>
      <w:r>
        <w:rPr>
          <w:spacing w:val="-4"/>
        </w:rPr>
        <w:t xml:space="preserve"> </w:t>
      </w:r>
      <w:r>
        <w:t>výzvu</w:t>
      </w:r>
      <w:r>
        <w:rPr>
          <w:spacing w:val="-4"/>
        </w:rPr>
        <w:t xml:space="preserve"> </w:t>
      </w:r>
      <w:r>
        <w:t>pronajímatele</w:t>
      </w:r>
      <w:r>
        <w:rPr>
          <w:spacing w:val="-3"/>
        </w:rPr>
        <w:t xml:space="preserve"> </w:t>
      </w:r>
      <w:r>
        <w:t>k úhradě těchto</w:t>
      </w:r>
      <w:r>
        <w:rPr>
          <w:spacing w:val="-5"/>
        </w:rPr>
        <w:t xml:space="preserve"> </w:t>
      </w:r>
      <w:r>
        <w:t>plateb.</w:t>
      </w:r>
    </w:p>
    <w:p w14:paraId="1D215400" w14:textId="77777777" w:rsidR="004457AA" w:rsidRDefault="004457AA">
      <w:pPr>
        <w:pStyle w:val="Zkladntext"/>
        <w:spacing w:before="11"/>
        <w:rPr>
          <w:sz w:val="26"/>
        </w:rPr>
      </w:pPr>
    </w:p>
    <w:p w14:paraId="22A049FC" w14:textId="77777777" w:rsidR="004457AA" w:rsidRDefault="00293C5E">
      <w:pPr>
        <w:pStyle w:val="Odstavecseseznamem"/>
        <w:numPr>
          <w:ilvl w:val="0"/>
          <w:numId w:val="2"/>
        </w:numPr>
        <w:tabs>
          <w:tab w:val="left" w:pos="539"/>
        </w:tabs>
        <w:spacing w:before="0" w:line="276" w:lineRule="auto"/>
        <w:ind w:right="412" w:hanging="427"/>
        <w:jc w:val="both"/>
      </w:pPr>
      <w:r>
        <w:t>Písemná výpověď smlouvy musí být odůvodněna. Výpovědní doba činí devět měsíců, počítá se od prvého dne měsíce, následujícího po doručení písemné výpovědi druhé smluvní straně. Uplynutím výpovědní doby nájem</w:t>
      </w:r>
      <w:r>
        <w:rPr>
          <w:spacing w:val="-14"/>
        </w:rPr>
        <w:t xml:space="preserve"> </w:t>
      </w:r>
      <w:r>
        <w:t>končí.</w:t>
      </w:r>
    </w:p>
    <w:p w14:paraId="7A43150C" w14:textId="1196A6E4" w:rsidR="004457AA" w:rsidRDefault="00293C5E">
      <w:pPr>
        <w:pStyle w:val="Odstavecseseznamem"/>
        <w:numPr>
          <w:ilvl w:val="0"/>
          <w:numId w:val="2"/>
        </w:numPr>
        <w:tabs>
          <w:tab w:val="left" w:pos="539"/>
        </w:tabs>
        <w:spacing w:before="62" w:line="276" w:lineRule="auto"/>
        <w:ind w:right="412" w:hanging="427"/>
        <w:jc w:val="both"/>
      </w:pPr>
      <w:r>
        <w:t>Užívá-li nájemce předmět nájmu takovým způsobem, že se opotřebovává nad míru přiměřenou okolnostem nebo účelu nájmu nebo že hrozí jeho zničení, vyzve jej pronajímatel, aby jej užíval řádně, dá mu přiměřenou, nejméně však dvouměsíční lhůtu k nápravě a upozorní jej na možné následky neuposlechnutí výzvy. Výzva vyžaduje písemnou formu a musí být nájemci doručena; nezahájí-li nájemce ani do dvou měsíců od   doručení   výzvy   pronajímatele   práce   na   odstranění   následků pronajímatelem</w:t>
      </w:r>
    </w:p>
    <w:p w14:paraId="7A8B58A7" w14:textId="77777777" w:rsidR="004457AA" w:rsidRDefault="004457AA">
      <w:pPr>
        <w:spacing w:line="276" w:lineRule="auto"/>
        <w:jc w:val="both"/>
        <w:sectPr w:rsidR="004457AA">
          <w:pgSz w:w="11910" w:h="16840"/>
          <w:pgMar w:top="1360" w:right="1680" w:bottom="960" w:left="1420" w:header="0" w:footer="773" w:gutter="0"/>
          <w:cols w:space="708"/>
        </w:sectPr>
      </w:pPr>
    </w:p>
    <w:p w14:paraId="4ED50311" w14:textId="77777777" w:rsidR="004457AA" w:rsidRDefault="00293C5E">
      <w:pPr>
        <w:pStyle w:val="Zkladntext"/>
        <w:spacing w:before="37" w:line="276" w:lineRule="auto"/>
        <w:ind w:left="538" w:right="334"/>
      </w:pPr>
      <w:r>
        <w:lastRenderedPageBreak/>
        <w:t>vytknutého</w:t>
      </w:r>
      <w:r>
        <w:rPr>
          <w:spacing w:val="-10"/>
        </w:rPr>
        <w:t xml:space="preserve"> </w:t>
      </w:r>
      <w:r>
        <w:t>opotřebení</w:t>
      </w:r>
      <w:r>
        <w:rPr>
          <w:spacing w:val="-11"/>
        </w:rPr>
        <w:t xml:space="preserve"> </w:t>
      </w:r>
      <w:r>
        <w:t>nebo</w:t>
      </w:r>
      <w:r>
        <w:rPr>
          <w:spacing w:val="-10"/>
        </w:rPr>
        <w:t xml:space="preserve"> </w:t>
      </w:r>
      <w:r>
        <w:t>ničení</w:t>
      </w:r>
      <w:r>
        <w:rPr>
          <w:spacing w:val="-11"/>
        </w:rPr>
        <w:t xml:space="preserve"> </w:t>
      </w:r>
      <w:r>
        <w:t>předmětu</w:t>
      </w:r>
      <w:r>
        <w:rPr>
          <w:spacing w:val="-11"/>
        </w:rPr>
        <w:t xml:space="preserve"> </w:t>
      </w:r>
      <w:r>
        <w:t>nájmu</w:t>
      </w:r>
      <w:r>
        <w:rPr>
          <w:spacing w:val="-11"/>
        </w:rPr>
        <w:t xml:space="preserve"> </w:t>
      </w:r>
      <w:r>
        <w:t>či</w:t>
      </w:r>
      <w:r>
        <w:rPr>
          <w:spacing w:val="-13"/>
        </w:rPr>
        <w:t xml:space="preserve"> </w:t>
      </w:r>
      <w:r>
        <w:t>jeho</w:t>
      </w:r>
      <w:r>
        <w:rPr>
          <w:spacing w:val="-10"/>
        </w:rPr>
        <w:t xml:space="preserve"> </w:t>
      </w:r>
      <w:r>
        <w:t>části,</w:t>
      </w:r>
      <w:r>
        <w:rPr>
          <w:spacing w:val="-13"/>
        </w:rPr>
        <w:t xml:space="preserve"> </w:t>
      </w:r>
      <w:r>
        <w:t>má</w:t>
      </w:r>
      <w:r>
        <w:rPr>
          <w:spacing w:val="-11"/>
        </w:rPr>
        <w:t xml:space="preserve"> </w:t>
      </w:r>
      <w:r>
        <w:t>pronajímatel</w:t>
      </w:r>
      <w:r>
        <w:rPr>
          <w:spacing w:val="-16"/>
        </w:rPr>
        <w:t xml:space="preserve"> </w:t>
      </w:r>
      <w:r>
        <w:t>právo nájem vypovědět bez výpovědní</w:t>
      </w:r>
      <w:r>
        <w:rPr>
          <w:spacing w:val="-14"/>
        </w:rPr>
        <w:t xml:space="preserve"> </w:t>
      </w:r>
      <w:r>
        <w:t>doby.</w:t>
      </w:r>
    </w:p>
    <w:p w14:paraId="5CE37B84" w14:textId="77777777" w:rsidR="004457AA" w:rsidRDefault="00293C5E">
      <w:pPr>
        <w:pStyle w:val="Odstavecseseznamem"/>
        <w:numPr>
          <w:ilvl w:val="0"/>
          <w:numId w:val="2"/>
        </w:numPr>
        <w:tabs>
          <w:tab w:val="left" w:pos="539"/>
        </w:tabs>
        <w:spacing w:line="276" w:lineRule="auto"/>
        <w:ind w:right="416" w:hanging="427"/>
        <w:jc w:val="both"/>
      </w:pPr>
      <w:r>
        <w:t>Nájem dle této smlouvy může také zaniknout uzavřením písemné dohody o skončení nájmu mezi pronajímatelem a</w:t>
      </w:r>
      <w:r>
        <w:rPr>
          <w:spacing w:val="-5"/>
        </w:rPr>
        <w:t xml:space="preserve"> </w:t>
      </w:r>
      <w:r>
        <w:t>nájemcem.</w:t>
      </w:r>
    </w:p>
    <w:p w14:paraId="1E0656B7" w14:textId="77777777" w:rsidR="004457AA" w:rsidRDefault="004457AA">
      <w:pPr>
        <w:pStyle w:val="Zkladntext"/>
        <w:spacing w:before="11"/>
        <w:rPr>
          <w:sz w:val="26"/>
        </w:rPr>
      </w:pPr>
    </w:p>
    <w:p w14:paraId="74396333" w14:textId="77777777" w:rsidR="004457AA" w:rsidRDefault="00293C5E">
      <w:pPr>
        <w:pStyle w:val="Odstavecseseznamem"/>
        <w:numPr>
          <w:ilvl w:val="0"/>
          <w:numId w:val="2"/>
        </w:numPr>
        <w:tabs>
          <w:tab w:val="left" w:pos="539"/>
        </w:tabs>
        <w:spacing w:before="1" w:line="276" w:lineRule="auto"/>
        <w:ind w:right="412" w:hanging="427"/>
        <w:jc w:val="both"/>
      </w:pPr>
      <w:r>
        <w:t>Výpovědi nájmu, jakož i veškerá oznámení provedená na základě této smlouvy musí být učiněna písemnou formou a doručena na níže uvedené adresy stran této smlouvy doporučeným dopisem, prostřednictvím datové schránky nebo kurýrem s doručovacími poplatky uhrazenými předem a budou považována za doručené v okamžiku přijetí nebo odmítnutí přijetí stranou, které jsou zaslány nebo dnem jejich uložení na poště pro nepřítomnost adresáta nebo dnem vrácení zásilky jako nedoručitelné. Smluvní strany se dohodly,</w:t>
      </w:r>
      <w:r>
        <w:rPr>
          <w:spacing w:val="-9"/>
        </w:rPr>
        <w:t xml:space="preserve"> </w:t>
      </w:r>
      <w:r>
        <w:t>že</w:t>
      </w:r>
      <w:r>
        <w:rPr>
          <w:spacing w:val="-8"/>
        </w:rPr>
        <w:t xml:space="preserve"> </w:t>
      </w:r>
      <w:r>
        <w:t>veškeré</w:t>
      </w:r>
      <w:r>
        <w:rPr>
          <w:spacing w:val="-6"/>
        </w:rPr>
        <w:t xml:space="preserve"> </w:t>
      </w:r>
      <w:r>
        <w:t>zásilky,</w:t>
      </w:r>
      <w:r>
        <w:rPr>
          <w:spacing w:val="-9"/>
        </w:rPr>
        <w:t xml:space="preserve"> </w:t>
      </w:r>
      <w:r>
        <w:t>nejsou-li</w:t>
      </w:r>
      <w:r>
        <w:rPr>
          <w:spacing w:val="-7"/>
        </w:rPr>
        <w:t xml:space="preserve"> </w:t>
      </w:r>
      <w:r>
        <w:t>doručovány</w:t>
      </w:r>
      <w:r>
        <w:rPr>
          <w:spacing w:val="-8"/>
        </w:rPr>
        <w:t xml:space="preserve"> </w:t>
      </w:r>
      <w:r>
        <w:t>prostřednictvím</w:t>
      </w:r>
      <w:r>
        <w:rPr>
          <w:spacing w:val="-6"/>
        </w:rPr>
        <w:t xml:space="preserve"> </w:t>
      </w:r>
      <w:r>
        <w:t>datové</w:t>
      </w:r>
      <w:r>
        <w:rPr>
          <w:spacing w:val="-6"/>
        </w:rPr>
        <w:t xml:space="preserve"> </w:t>
      </w:r>
      <w:r>
        <w:t>schránky,</w:t>
      </w:r>
      <w:r>
        <w:rPr>
          <w:spacing w:val="-7"/>
        </w:rPr>
        <w:t xml:space="preserve"> </w:t>
      </w:r>
      <w:r>
        <w:t>musí být doručeny na níže uvedené</w:t>
      </w:r>
      <w:r>
        <w:rPr>
          <w:spacing w:val="-8"/>
        </w:rPr>
        <w:t xml:space="preserve"> </w:t>
      </w:r>
      <w:r>
        <w:t>adresy:</w:t>
      </w:r>
    </w:p>
    <w:p w14:paraId="589F889F" w14:textId="77777777" w:rsidR="004457AA" w:rsidRDefault="00293C5E">
      <w:pPr>
        <w:pStyle w:val="Odstavecseseznamem"/>
        <w:numPr>
          <w:ilvl w:val="1"/>
          <w:numId w:val="2"/>
        </w:numPr>
        <w:tabs>
          <w:tab w:val="left" w:pos="820"/>
        </w:tabs>
        <w:spacing w:before="64"/>
      </w:pPr>
      <w:r>
        <w:t>v</w:t>
      </w:r>
      <w:r>
        <w:rPr>
          <w:spacing w:val="-7"/>
        </w:rPr>
        <w:t xml:space="preserve"> </w:t>
      </w:r>
      <w:r>
        <w:t>případě</w:t>
      </w:r>
      <w:r>
        <w:rPr>
          <w:spacing w:val="-7"/>
        </w:rPr>
        <w:t xml:space="preserve"> </w:t>
      </w:r>
      <w:r>
        <w:t>pronajímatele</w:t>
      </w:r>
      <w:r>
        <w:rPr>
          <w:spacing w:val="-7"/>
        </w:rPr>
        <w:t xml:space="preserve"> </w:t>
      </w:r>
      <w:r>
        <w:t>je</w:t>
      </w:r>
      <w:r>
        <w:rPr>
          <w:spacing w:val="-12"/>
        </w:rPr>
        <w:t xml:space="preserve"> </w:t>
      </w:r>
      <w:r>
        <w:t>adresa</w:t>
      </w:r>
      <w:r>
        <w:rPr>
          <w:spacing w:val="-8"/>
        </w:rPr>
        <w:t xml:space="preserve"> </w:t>
      </w:r>
      <w:r>
        <w:t>k</w:t>
      </w:r>
      <w:r>
        <w:rPr>
          <w:spacing w:val="-8"/>
        </w:rPr>
        <w:t xml:space="preserve"> </w:t>
      </w:r>
      <w:r>
        <w:t>doručování:</w:t>
      </w:r>
      <w:r>
        <w:rPr>
          <w:spacing w:val="-6"/>
        </w:rPr>
        <w:t xml:space="preserve"> Vysoká</w:t>
      </w:r>
      <w:r>
        <w:rPr>
          <w:spacing w:val="-18"/>
        </w:rPr>
        <w:t xml:space="preserve"> </w:t>
      </w:r>
      <w:r>
        <w:t>škola</w:t>
      </w:r>
      <w:r>
        <w:rPr>
          <w:spacing w:val="-11"/>
        </w:rPr>
        <w:t xml:space="preserve"> </w:t>
      </w:r>
      <w:r>
        <w:t>chemicko-technologická</w:t>
      </w:r>
    </w:p>
    <w:p w14:paraId="7B492795" w14:textId="77777777" w:rsidR="004457AA" w:rsidRDefault="00293C5E">
      <w:pPr>
        <w:pStyle w:val="Zkladntext"/>
        <w:spacing w:before="41"/>
        <w:ind w:left="819"/>
      </w:pPr>
      <w:r>
        <w:t>v Praze, Technická 5, 166 28 Praha 6- Dejvice,</w:t>
      </w:r>
    </w:p>
    <w:p w14:paraId="40806794" w14:textId="77777777" w:rsidR="004457AA" w:rsidRDefault="00293C5E">
      <w:pPr>
        <w:pStyle w:val="Odstavecseseznamem"/>
        <w:numPr>
          <w:ilvl w:val="1"/>
          <w:numId w:val="2"/>
        </w:numPr>
        <w:tabs>
          <w:tab w:val="left" w:pos="820"/>
        </w:tabs>
        <w:spacing w:before="101" w:line="276" w:lineRule="auto"/>
        <w:ind w:right="423" w:hanging="283"/>
      </w:pPr>
      <w:r>
        <w:t>v případě nájemce je adresa k doručování: České vysoké učení technické v Praze, Jugoslávských partyzánů 1580/3, 166 36 Praha 6 –</w:t>
      </w:r>
      <w:r>
        <w:rPr>
          <w:spacing w:val="-18"/>
        </w:rPr>
        <w:t xml:space="preserve"> </w:t>
      </w:r>
      <w:r>
        <w:t>Dejvice.</w:t>
      </w:r>
    </w:p>
    <w:p w14:paraId="19127AB3" w14:textId="77777777" w:rsidR="004457AA" w:rsidRDefault="00293C5E">
      <w:pPr>
        <w:pStyle w:val="Odstavecseseznamem"/>
        <w:numPr>
          <w:ilvl w:val="0"/>
          <w:numId w:val="2"/>
        </w:numPr>
        <w:tabs>
          <w:tab w:val="left" w:pos="539"/>
        </w:tabs>
        <w:spacing w:before="61" w:line="276" w:lineRule="auto"/>
        <w:ind w:right="409" w:hanging="427"/>
        <w:jc w:val="both"/>
      </w:pPr>
      <w:r>
        <w:t>Nájemce je povinen provádět v předmětu nájmu běžnou údržbu, opravy a úpravy vlastním nákladem (v souladu s čl. 19, odst. 3. Provozního řádu předmětné budovy - příloze č. 2 této smlouvy). Veškeré stavební úpravy předmětu nájmu je nájemce oprávněn provádět pouze po předchozím písemném souhlasu pronajímatele, a to vlastním nákladem. Pronajímatel se zavazuje, že takový souhlas nájemci neodepře bez vážných důvodů. Nájemce tímto bere na vědomí, že pronajímatel není povinen jakkoli investovat do předmětu nájmu, což se týká i výměn částí předmětu nájmu. Nájemce se tímto vzdává nároků na úhradu výměn částí předmětu nájmu; tento závazek nájemce je platný po dobu nájmu i bez omezení po skončení nájmu. Nájemce se zavazuje bezodkladně realizovat pronajímatelem mu doručená veškerá rozhodnutí či doporučení orgánů státní správy, a to například v oblasti stavebního dohledu, bezpečnosti práce a požární</w:t>
      </w:r>
      <w:r>
        <w:rPr>
          <w:spacing w:val="-9"/>
        </w:rPr>
        <w:t xml:space="preserve"> </w:t>
      </w:r>
      <w:r>
        <w:t>ochrany,</w:t>
      </w:r>
      <w:r>
        <w:rPr>
          <w:spacing w:val="-9"/>
        </w:rPr>
        <w:t xml:space="preserve"> </w:t>
      </w:r>
      <w:r>
        <w:t>jinak</w:t>
      </w:r>
      <w:r>
        <w:rPr>
          <w:spacing w:val="-11"/>
        </w:rPr>
        <w:t xml:space="preserve"> </w:t>
      </w:r>
      <w:r>
        <w:t>odpovídá</w:t>
      </w:r>
      <w:r>
        <w:rPr>
          <w:spacing w:val="-12"/>
        </w:rPr>
        <w:t xml:space="preserve"> </w:t>
      </w:r>
      <w:r>
        <w:t>pronajímateli</w:t>
      </w:r>
      <w:r>
        <w:rPr>
          <w:spacing w:val="-8"/>
        </w:rPr>
        <w:t xml:space="preserve"> </w:t>
      </w:r>
      <w:r>
        <w:t>za</w:t>
      </w:r>
      <w:r>
        <w:rPr>
          <w:spacing w:val="-12"/>
        </w:rPr>
        <w:t xml:space="preserve"> </w:t>
      </w:r>
      <w:r>
        <w:t>vzniklou</w:t>
      </w:r>
      <w:r>
        <w:rPr>
          <w:spacing w:val="-10"/>
        </w:rPr>
        <w:t xml:space="preserve"> </w:t>
      </w:r>
      <w:r>
        <w:t>újmu.</w:t>
      </w:r>
      <w:r>
        <w:rPr>
          <w:spacing w:val="-9"/>
        </w:rPr>
        <w:t xml:space="preserve"> </w:t>
      </w:r>
      <w:r>
        <w:t>To</w:t>
      </w:r>
      <w:r>
        <w:rPr>
          <w:spacing w:val="-8"/>
        </w:rPr>
        <w:t xml:space="preserve"> </w:t>
      </w:r>
      <w:r>
        <w:t>neplatí</w:t>
      </w:r>
      <w:r>
        <w:rPr>
          <w:spacing w:val="-8"/>
        </w:rPr>
        <w:t xml:space="preserve"> </w:t>
      </w:r>
      <w:r>
        <w:t>v</w:t>
      </w:r>
      <w:r>
        <w:rPr>
          <w:spacing w:val="-10"/>
        </w:rPr>
        <w:t xml:space="preserve"> </w:t>
      </w:r>
      <w:r>
        <w:t>případě,</w:t>
      </w:r>
      <w:r>
        <w:rPr>
          <w:spacing w:val="-8"/>
        </w:rPr>
        <w:t xml:space="preserve"> </w:t>
      </w:r>
      <w:r>
        <w:t>kdy realizace rozhodnutí či doporučení orgánů státní správy směřuje k úpravám či opravám předmětu nájmu přesahující hranice běžné údržby, totéž platí pro další opravy a úpravy předmětu nájmu vlastním nákladem nájemce. Nájemce předloží pronajímateli do 2 měsíců od podpisu této smlouvy revize elektrických zařízení, přičemž je povinen bezodkladně odstranit závady a nedostatky těmito revizemi zjištěné a tuto skutečnost pronajímateli doložit. Výčet el. podružných rozvaděčů, jejichž údržbu, opravy a revize zajišťuje nájemce, je uveden v příloze 3, označené Seznam el. podružných rozvaděčů, jejichž údržbu, opravy a revize zajišťuje nájemce, která tvoří nedílnou součást této smlouvy. V případě, že revize elektrických zařízení dle výše uvedeného byly nájemcem předloženy na základě původní nájemní smlouvy, považují se za předložené v souladu    s touto smlouvou. V případě, že je s ohledem na platnou legislativu nezbytné přeložit nové revize elektrických zařízení, učiní tak nájemce dle tohoto</w:t>
      </w:r>
      <w:r>
        <w:rPr>
          <w:spacing w:val="-13"/>
        </w:rPr>
        <w:t xml:space="preserve"> </w:t>
      </w:r>
      <w:r>
        <w:t>ujednání.</w:t>
      </w:r>
    </w:p>
    <w:p w14:paraId="74F9E803" w14:textId="77777777" w:rsidR="004457AA" w:rsidRDefault="00293C5E">
      <w:pPr>
        <w:pStyle w:val="Odstavecseseznamem"/>
        <w:numPr>
          <w:ilvl w:val="0"/>
          <w:numId w:val="2"/>
        </w:numPr>
        <w:tabs>
          <w:tab w:val="left" w:pos="539"/>
        </w:tabs>
        <w:spacing w:line="276" w:lineRule="auto"/>
        <w:ind w:right="412" w:hanging="427"/>
        <w:jc w:val="both"/>
      </w:pPr>
      <w:r>
        <w:t xml:space="preserve">V rámci požární bezpečnosti předmětné budovy bude pronajímatel zabezpečovat provedení preventivních požárních prohlídek ve všech prostorech předmětné budovy bez ohledu na jednotlivé prostory  nájemců, dále bude  v  rámci systémového  </w:t>
      </w:r>
      <w:r>
        <w:rPr>
          <w:spacing w:val="24"/>
        </w:rPr>
        <w:t xml:space="preserve"> </w:t>
      </w:r>
      <w:r>
        <w:t>přístupu</w:t>
      </w:r>
    </w:p>
    <w:p w14:paraId="3246A3C4" w14:textId="77777777" w:rsidR="004457AA" w:rsidRDefault="004457AA">
      <w:pPr>
        <w:spacing w:line="276" w:lineRule="auto"/>
        <w:jc w:val="both"/>
        <w:sectPr w:rsidR="004457AA">
          <w:pgSz w:w="11910" w:h="16840"/>
          <w:pgMar w:top="1360" w:right="1680" w:bottom="960" w:left="1420" w:header="0" w:footer="773" w:gutter="0"/>
          <w:cols w:space="708"/>
        </w:sectPr>
      </w:pPr>
    </w:p>
    <w:p w14:paraId="5B05669A" w14:textId="77777777" w:rsidR="004457AA" w:rsidRDefault="00293C5E">
      <w:pPr>
        <w:pStyle w:val="Zkladntext"/>
        <w:spacing w:before="37" w:line="276" w:lineRule="auto"/>
        <w:ind w:left="538" w:right="413"/>
        <w:jc w:val="both"/>
      </w:pPr>
      <w:r>
        <w:lastRenderedPageBreak/>
        <w:t>zabezpečovat kontroly, prohlídky, požární revize (včetně revizí požárních ucpávek, revizí hasicích přístrojů a revizí požárních hydrantů) a odstraňování zjištěných nedostatků u požárně bezpečnostních zařízení a v oblasti řešení podmínek bezpečné evakuace osob v souladu s požárním evakuačním plánem objektu. Detailně je tato problematika rozpracována v Provozním řádu předmětné budovy - příloze č. 2 a nedílné součásti této smlouvy.</w:t>
      </w:r>
    </w:p>
    <w:p w14:paraId="793DF7F6" w14:textId="77777777" w:rsidR="004457AA" w:rsidRDefault="00293C5E">
      <w:pPr>
        <w:pStyle w:val="Odstavecseseznamem"/>
        <w:numPr>
          <w:ilvl w:val="0"/>
          <w:numId w:val="2"/>
        </w:numPr>
        <w:tabs>
          <w:tab w:val="left" w:pos="538"/>
          <w:tab w:val="left" w:pos="539"/>
        </w:tabs>
        <w:ind w:hanging="427"/>
      </w:pPr>
      <w:r>
        <w:t>Provozní řád tvoří přílohu č. 2 této</w:t>
      </w:r>
      <w:r>
        <w:rPr>
          <w:spacing w:val="-9"/>
        </w:rPr>
        <w:t xml:space="preserve"> </w:t>
      </w:r>
      <w:r>
        <w:t>smlouvy.</w:t>
      </w:r>
    </w:p>
    <w:p w14:paraId="595E8649" w14:textId="77777777" w:rsidR="004457AA" w:rsidRDefault="00293C5E">
      <w:pPr>
        <w:pStyle w:val="Odstavecseseznamem"/>
        <w:numPr>
          <w:ilvl w:val="0"/>
          <w:numId w:val="2"/>
        </w:numPr>
        <w:tabs>
          <w:tab w:val="left" w:pos="539"/>
        </w:tabs>
        <w:spacing w:before="101" w:line="276" w:lineRule="auto"/>
        <w:ind w:right="417" w:hanging="427"/>
        <w:jc w:val="both"/>
      </w:pPr>
      <w:r>
        <w:t>Nájemce má právo provést změnu věci jen s předchozím souhlasem pronajímatele, pronajímatel není oprávněn odepřít souhlas k této změně bez závažných</w:t>
      </w:r>
      <w:r>
        <w:rPr>
          <w:spacing w:val="-16"/>
        </w:rPr>
        <w:t xml:space="preserve"> </w:t>
      </w:r>
      <w:r>
        <w:t>důvodů.</w:t>
      </w:r>
    </w:p>
    <w:p w14:paraId="1A528A58" w14:textId="77777777" w:rsidR="004457AA" w:rsidRDefault="00293C5E">
      <w:pPr>
        <w:pStyle w:val="Odstavecseseznamem"/>
        <w:numPr>
          <w:ilvl w:val="0"/>
          <w:numId w:val="2"/>
        </w:numPr>
        <w:tabs>
          <w:tab w:val="left" w:pos="539"/>
        </w:tabs>
        <w:spacing w:line="276" w:lineRule="auto"/>
        <w:ind w:right="413" w:hanging="427"/>
        <w:jc w:val="both"/>
      </w:pPr>
      <w:r>
        <w:t>Nájemce tímto stvrzuje, že předmět nájmu je ke dni podpisu nájemní smlouvy způsobilý ke smluvenému užívání. Nájemce je povinen v předmětu nájmu zajišťovat pravidelný úklid.</w:t>
      </w:r>
    </w:p>
    <w:p w14:paraId="6B92140E" w14:textId="77777777" w:rsidR="004457AA" w:rsidRDefault="00293C5E">
      <w:pPr>
        <w:pStyle w:val="Odstavecseseznamem"/>
        <w:numPr>
          <w:ilvl w:val="0"/>
          <w:numId w:val="2"/>
        </w:numPr>
        <w:tabs>
          <w:tab w:val="left" w:pos="539"/>
        </w:tabs>
        <w:spacing w:before="60" w:line="276" w:lineRule="auto"/>
        <w:ind w:right="416" w:hanging="427"/>
        <w:jc w:val="both"/>
      </w:pPr>
      <w:r>
        <w:t>Pronajímatel zabezpečuje dodávku tepla, elektrické energie a vody do předmětu nájmu, dále se zavazuje umožnit nájemci používání stávajících rozvodů a sítí, nacházejících se v předmětu nájmu.</w:t>
      </w:r>
    </w:p>
    <w:p w14:paraId="5E183EDE" w14:textId="77777777" w:rsidR="004457AA" w:rsidRDefault="00293C5E">
      <w:pPr>
        <w:pStyle w:val="Odstavecseseznamem"/>
        <w:numPr>
          <w:ilvl w:val="0"/>
          <w:numId w:val="2"/>
        </w:numPr>
        <w:tabs>
          <w:tab w:val="left" w:pos="539"/>
        </w:tabs>
        <w:spacing w:before="62" w:line="276" w:lineRule="auto"/>
        <w:ind w:right="412" w:hanging="427"/>
        <w:jc w:val="both"/>
      </w:pPr>
      <w:r>
        <w:t>Nájemce se zavazuje umožnit pronajímateli, popř. jím zmocněnému zástupci a technickým pracovníkům pronajímatele, na základě jejich předchozí žádosti, přístup do předmětu nájmu. Nájemce se zavazuje zpřístupnit předmět nájmu ihned v případě havárie a mimořádné situace v předmětu nájmu, nebude-li toto možné, nájemce poskytuje tímto pronajímateli, popř. jím pověřeným zástupcům souhlas ke vstupu do předmětu nájmu v jeho nepřítomnosti. O takovém vstupu je pronajímatel povinen nájemce bezodkladně písemně informovat. Nájemce je, bez zbytečného prodlení, povinen písemně oznámit pronajímateli havárii či potřebu oprav předmětných</w:t>
      </w:r>
      <w:r>
        <w:rPr>
          <w:spacing w:val="-29"/>
        </w:rPr>
        <w:t xml:space="preserve"> </w:t>
      </w:r>
      <w:r>
        <w:t>prostor.</w:t>
      </w:r>
    </w:p>
    <w:p w14:paraId="6330A622" w14:textId="77777777" w:rsidR="004457AA" w:rsidRDefault="00293C5E">
      <w:pPr>
        <w:pStyle w:val="Odstavecseseznamem"/>
        <w:numPr>
          <w:ilvl w:val="0"/>
          <w:numId w:val="2"/>
        </w:numPr>
        <w:tabs>
          <w:tab w:val="left" w:pos="539"/>
        </w:tabs>
        <w:spacing w:before="60"/>
        <w:ind w:hanging="427"/>
      </w:pPr>
      <w:r>
        <w:t>Smluvní</w:t>
      </w:r>
      <w:r>
        <w:rPr>
          <w:spacing w:val="-6"/>
        </w:rPr>
        <w:t xml:space="preserve"> </w:t>
      </w:r>
      <w:r>
        <w:t>strany</w:t>
      </w:r>
      <w:r>
        <w:rPr>
          <w:spacing w:val="-6"/>
        </w:rPr>
        <w:t xml:space="preserve"> </w:t>
      </w:r>
      <w:r>
        <w:t>se</w:t>
      </w:r>
      <w:r>
        <w:rPr>
          <w:spacing w:val="-3"/>
        </w:rPr>
        <w:t xml:space="preserve"> </w:t>
      </w:r>
      <w:r>
        <w:t>dohodly</w:t>
      </w:r>
      <w:r>
        <w:rPr>
          <w:spacing w:val="-5"/>
        </w:rPr>
        <w:t xml:space="preserve"> </w:t>
      </w:r>
      <w:r>
        <w:t>v</w:t>
      </w:r>
      <w:r>
        <w:rPr>
          <w:spacing w:val="-2"/>
        </w:rPr>
        <w:t xml:space="preserve"> </w:t>
      </w:r>
      <w:r>
        <w:t>souladu</w:t>
      </w:r>
      <w:r>
        <w:rPr>
          <w:spacing w:val="-4"/>
        </w:rPr>
        <w:t xml:space="preserve"> </w:t>
      </w:r>
      <w:r>
        <w:t>s</w:t>
      </w:r>
      <w:r>
        <w:rPr>
          <w:spacing w:val="-6"/>
        </w:rPr>
        <w:t xml:space="preserve"> </w:t>
      </w:r>
      <w:r>
        <w:t>ustanovením</w:t>
      </w:r>
      <w:r>
        <w:rPr>
          <w:spacing w:val="-5"/>
        </w:rPr>
        <w:t xml:space="preserve"> </w:t>
      </w:r>
      <w:r>
        <w:t>§</w:t>
      </w:r>
      <w:r>
        <w:rPr>
          <w:spacing w:val="-7"/>
        </w:rPr>
        <w:t xml:space="preserve"> </w:t>
      </w:r>
      <w:r>
        <w:t>7a,</w:t>
      </w:r>
      <w:r>
        <w:rPr>
          <w:spacing w:val="-6"/>
        </w:rPr>
        <w:t xml:space="preserve"> </w:t>
      </w:r>
      <w:r>
        <w:t>odst.</w:t>
      </w:r>
      <w:r>
        <w:rPr>
          <w:spacing w:val="-6"/>
        </w:rPr>
        <w:t xml:space="preserve"> </w:t>
      </w:r>
      <w:r>
        <w:t>9</w:t>
      </w:r>
      <w:r>
        <w:rPr>
          <w:spacing w:val="-5"/>
        </w:rPr>
        <w:t xml:space="preserve"> </w:t>
      </w:r>
      <w:r>
        <w:t>zákona</w:t>
      </w:r>
      <w:r>
        <w:rPr>
          <w:spacing w:val="-6"/>
        </w:rPr>
        <w:t xml:space="preserve"> </w:t>
      </w:r>
      <w:r>
        <w:t>č.</w:t>
      </w:r>
      <w:r>
        <w:rPr>
          <w:spacing w:val="-3"/>
        </w:rPr>
        <w:t xml:space="preserve"> </w:t>
      </w:r>
      <w:r>
        <w:t>406/2000</w:t>
      </w:r>
      <w:r>
        <w:rPr>
          <w:spacing w:val="-3"/>
        </w:rPr>
        <w:t xml:space="preserve"> </w:t>
      </w:r>
      <w:r>
        <w:t>Sb.,</w:t>
      </w:r>
    </w:p>
    <w:p w14:paraId="5C625E3C" w14:textId="77777777" w:rsidR="004457AA" w:rsidRDefault="00293C5E">
      <w:pPr>
        <w:pStyle w:val="Zkladntext"/>
        <w:spacing w:before="41"/>
        <w:ind w:left="538"/>
        <w:jc w:val="both"/>
      </w:pPr>
      <w:r>
        <w:t>o hospodaření energií, že se průkaz energetické náročnosti neopatřuje.</w:t>
      </w:r>
    </w:p>
    <w:p w14:paraId="44C6159D" w14:textId="77777777" w:rsidR="004457AA" w:rsidRDefault="00293C5E">
      <w:pPr>
        <w:pStyle w:val="Odstavecseseznamem"/>
        <w:numPr>
          <w:ilvl w:val="0"/>
          <w:numId w:val="2"/>
        </w:numPr>
        <w:tabs>
          <w:tab w:val="left" w:pos="539"/>
        </w:tabs>
        <w:spacing w:before="104" w:line="276" w:lineRule="auto"/>
        <w:ind w:right="412" w:hanging="427"/>
        <w:jc w:val="both"/>
      </w:pPr>
      <w:r>
        <w:t>Smluvní strany potvrzují, že předmět nájmu byl pronajímatelem nájemci předán na základě původní nájemní smlouvy nezařízený, s veškerými potřebnými rozvody medií a ve</w:t>
      </w:r>
      <w:r>
        <w:rPr>
          <w:spacing w:val="-8"/>
        </w:rPr>
        <w:t xml:space="preserve"> </w:t>
      </w:r>
      <w:r>
        <w:t>stavu</w:t>
      </w:r>
      <w:r>
        <w:rPr>
          <w:spacing w:val="-10"/>
        </w:rPr>
        <w:t xml:space="preserve"> </w:t>
      </w:r>
      <w:r>
        <w:t>způsobilém</w:t>
      </w:r>
      <w:r>
        <w:rPr>
          <w:spacing w:val="-8"/>
        </w:rPr>
        <w:t xml:space="preserve"> </w:t>
      </w:r>
      <w:r>
        <w:t>k</w:t>
      </w:r>
      <w:r>
        <w:rPr>
          <w:spacing w:val="-9"/>
        </w:rPr>
        <w:t xml:space="preserve"> </w:t>
      </w:r>
      <w:r>
        <w:t>užívání</w:t>
      </w:r>
      <w:r>
        <w:rPr>
          <w:spacing w:val="-9"/>
        </w:rPr>
        <w:t xml:space="preserve"> </w:t>
      </w:r>
      <w:r>
        <w:t>ke</w:t>
      </w:r>
      <w:r>
        <w:rPr>
          <w:spacing w:val="-8"/>
        </w:rPr>
        <w:t xml:space="preserve"> </w:t>
      </w:r>
      <w:r>
        <w:t>smluvenému</w:t>
      </w:r>
      <w:r>
        <w:rPr>
          <w:spacing w:val="-10"/>
        </w:rPr>
        <w:t xml:space="preserve"> </w:t>
      </w:r>
      <w:r>
        <w:t>účelu.</w:t>
      </w:r>
      <w:r>
        <w:rPr>
          <w:spacing w:val="-8"/>
        </w:rPr>
        <w:t xml:space="preserve"> </w:t>
      </w:r>
      <w:r>
        <w:t>Z</w:t>
      </w:r>
      <w:r>
        <w:rPr>
          <w:spacing w:val="-4"/>
        </w:rPr>
        <w:t xml:space="preserve"> </w:t>
      </w:r>
      <w:r>
        <w:t>tohoto</w:t>
      </w:r>
      <w:r>
        <w:rPr>
          <w:spacing w:val="-10"/>
        </w:rPr>
        <w:t xml:space="preserve"> </w:t>
      </w:r>
      <w:r>
        <w:t>důvodu</w:t>
      </w:r>
      <w:r>
        <w:rPr>
          <w:spacing w:val="-10"/>
        </w:rPr>
        <w:t xml:space="preserve"> </w:t>
      </w:r>
      <w:r>
        <w:t>nebude</w:t>
      </w:r>
      <w:r>
        <w:rPr>
          <w:spacing w:val="-8"/>
        </w:rPr>
        <w:t xml:space="preserve"> </w:t>
      </w:r>
      <w:r>
        <w:t>smluvními stranami protokolárně předmět nájmu předáván. Do dne skončení nájmu je nájemce povinen protokolárně předat předmět nájmu pronajímateli vyklizený a ve stavu odpovídajícím obvyklému opotřebení s přihlédnutím k charakteru činností nájemce. Pronajímatel je povinen poskytnout nájemci k protokolárnímu předání předmětu nájmu potřebnou součinnost. Nepředá-li nájemce bez uvedení jakéhokoliv důvodu předmět nájmu pronajímateli tak, jak stanoví předchozí věta, je pronajímatel oprávněn tyto prostory převzít i bez přítomnosti nájemce, jeho zaměstnanců nebo zástupce, s tím, že movité</w:t>
      </w:r>
      <w:r>
        <w:rPr>
          <w:spacing w:val="-6"/>
        </w:rPr>
        <w:t xml:space="preserve"> </w:t>
      </w:r>
      <w:r>
        <w:t>věci</w:t>
      </w:r>
      <w:r>
        <w:rPr>
          <w:spacing w:val="-6"/>
        </w:rPr>
        <w:t xml:space="preserve"> </w:t>
      </w:r>
      <w:r>
        <w:t>náležící</w:t>
      </w:r>
      <w:r>
        <w:rPr>
          <w:spacing w:val="-7"/>
        </w:rPr>
        <w:t xml:space="preserve"> </w:t>
      </w:r>
      <w:r>
        <w:t>nájemci</w:t>
      </w:r>
      <w:r>
        <w:rPr>
          <w:spacing w:val="-7"/>
        </w:rPr>
        <w:t xml:space="preserve"> </w:t>
      </w:r>
      <w:r>
        <w:t>je</w:t>
      </w:r>
      <w:r>
        <w:rPr>
          <w:spacing w:val="-6"/>
        </w:rPr>
        <w:t xml:space="preserve"> </w:t>
      </w:r>
      <w:r>
        <w:t>pronajímatel</w:t>
      </w:r>
      <w:r>
        <w:rPr>
          <w:spacing w:val="-9"/>
        </w:rPr>
        <w:t xml:space="preserve"> </w:t>
      </w:r>
      <w:r>
        <w:t>oprávněn</w:t>
      </w:r>
      <w:r>
        <w:rPr>
          <w:spacing w:val="-11"/>
        </w:rPr>
        <w:t xml:space="preserve"> </w:t>
      </w:r>
      <w:r>
        <w:t>uskladnit</w:t>
      </w:r>
      <w:r>
        <w:rPr>
          <w:spacing w:val="-5"/>
        </w:rPr>
        <w:t xml:space="preserve"> </w:t>
      </w:r>
      <w:r>
        <w:t>na</w:t>
      </w:r>
      <w:r>
        <w:rPr>
          <w:spacing w:val="-7"/>
        </w:rPr>
        <w:t xml:space="preserve"> </w:t>
      </w:r>
      <w:r>
        <w:t>náklady</w:t>
      </w:r>
      <w:r>
        <w:rPr>
          <w:spacing w:val="-8"/>
        </w:rPr>
        <w:t xml:space="preserve"> </w:t>
      </w:r>
      <w:r>
        <w:t>nájemce.</w:t>
      </w:r>
      <w:r>
        <w:rPr>
          <w:spacing w:val="-7"/>
        </w:rPr>
        <w:t xml:space="preserve"> </w:t>
      </w:r>
      <w:r>
        <w:t>Pro tento případ nájemce tímto souhlasí s výše uvedeným postupem</w:t>
      </w:r>
      <w:r>
        <w:rPr>
          <w:spacing w:val="-18"/>
        </w:rPr>
        <w:t xml:space="preserve"> </w:t>
      </w:r>
      <w:r>
        <w:t>pronajímatele.</w:t>
      </w:r>
    </w:p>
    <w:p w14:paraId="7E37FE80" w14:textId="77777777" w:rsidR="004457AA" w:rsidRDefault="00293C5E">
      <w:pPr>
        <w:pStyle w:val="Odstavecseseznamem"/>
        <w:numPr>
          <w:ilvl w:val="0"/>
          <w:numId w:val="2"/>
        </w:numPr>
        <w:tabs>
          <w:tab w:val="left" w:pos="539"/>
        </w:tabs>
        <w:spacing w:before="61"/>
        <w:ind w:hanging="427"/>
      </w:pPr>
      <w:r>
        <w:t xml:space="preserve">Nájemce  je  oprávněn  přenechat  předmět  nájmu  nebo  jeho  část  do  podnájmu </w:t>
      </w:r>
      <w:r>
        <w:rPr>
          <w:spacing w:val="44"/>
        </w:rPr>
        <w:t xml:space="preserve"> </w:t>
      </w:r>
      <w:r>
        <w:t>jen</w:t>
      </w:r>
    </w:p>
    <w:p w14:paraId="452B65DE" w14:textId="77777777" w:rsidR="004457AA" w:rsidRDefault="00293C5E">
      <w:pPr>
        <w:pStyle w:val="Zkladntext"/>
        <w:spacing w:before="40"/>
        <w:ind w:left="538"/>
        <w:jc w:val="both"/>
      </w:pPr>
      <w:r>
        <w:t>s předchozím písemným souhlasem pronajímatele, jinak je podnájem neplatný.</w:t>
      </w:r>
    </w:p>
    <w:p w14:paraId="2CEFC8BF" w14:textId="77777777" w:rsidR="004457AA" w:rsidRDefault="004457AA">
      <w:pPr>
        <w:pStyle w:val="Zkladntext"/>
        <w:spacing w:before="4"/>
        <w:rPr>
          <w:sz w:val="25"/>
        </w:rPr>
      </w:pPr>
    </w:p>
    <w:p w14:paraId="05F50BBA" w14:textId="77777777" w:rsidR="004457AA" w:rsidRDefault="00293C5E">
      <w:pPr>
        <w:pStyle w:val="Nadpis2"/>
        <w:ind w:left="313" w:right="618"/>
        <w:jc w:val="center"/>
      </w:pPr>
      <w:r>
        <w:t>Čl. VI.</w:t>
      </w:r>
    </w:p>
    <w:p w14:paraId="24CF84DC" w14:textId="77777777" w:rsidR="004457AA" w:rsidRDefault="00293C5E">
      <w:pPr>
        <w:ind w:left="313" w:right="621"/>
        <w:jc w:val="center"/>
        <w:rPr>
          <w:b/>
        </w:rPr>
      </w:pPr>
      <w:r>
        <w:rPr>
          <w:b/>
        </w:rPr>
        <w:t>Závěrečná a přechodná ustanovení</w:t>
      </w:r>
    </w:p>
    <w:p w14:paraId="4828BECB" w14:textId="77777777" w:rsidR="004457AA" w:rsidRDefault="004457AA">
      <w:pPr>
        <w:pStyle w:val="Zkladntext"/>
        <w:spacing w:before="1"/>
        <w:rPr>
          <w:b/>
          <w:sz w:val="27"/>
        </w:rPr>
      </w:pPr>
    </w:p>
    <w:p w14:paraId="5E2C478A" w14:textId="59EA38EB" w:rsidR="004457AA" w:rsidRDefault="00293C5E">
      <w:pPr>
        <w:pStyle w:val="Odstavecseseznamem"/>
        <w:numPr>
          <w:ilvl w:val="0"/>
          <w:numId w:val="1"/>
        </w:numPr>
        <w:tabs>
          <w:tab w:val="left" w:pos="538"/>
          <w:tab w:val="left" w:pos="539"/>
        </w:tabs>
        <w:spacing w:before="0"/>
        <w:ind w:hanging="827"/>
        <w:jc w:val="left"/>
      </w:pPr>
      <w:r>
        <w:t xml:space="preserve">Dispozitivní   ustanovení obecně   závazných  právních   předpisů,   která   jsou  s  </w:t>
      </w:r>
      <w:r>
        <w:rPr>
          <w:spacing w:val="22"/>
        </w:rPr>
        <w:t xml:space="preserve"> </w:t>
      </w:r>
      <w:r>
        <w:t>touto</w:t>
      </w:r>
    </w:p>
    <w:p w14:paraId="63C15225" w14:textId="77777777" w:rsidR="004457AA" w:rsidRDefault="004457AA">
      <w:pPr>
        <w:sectPr w:rsidR="004457AA">
          <w:pgSz w:w="11910" w:h="16840"/>
          <w:pgMar w:top="1360" w:right="1680" w:bottom="960" w:left="1420" w:header="0" w:footer="773" w:gutter="0"/>
          <w:cols w:space="708"/>
        </w:sectPr>
      </w:pPr>
    </w:p>
    <w:p w14:paraId="0A794D8E" w14:textId="77777777" w:rsidR="004457AA" w:rsidRDefault="00293C5E">
      <w:pPr>
        <w:pStyle w:val="Zkladntext"/>
        <w:spacing w:before="37" w:line="276" w:lineRule="auto"/>
        <w:ind w:left="938" w:right="411"/>
        <w:jc w:val="both"/>
      </w:pPr>
      <w:r>
        <w:lastRenderedPageBreak/>
        <w:t>smlouvou v rozporu, se nepoužijí. Odpověď strany této smlouvy, podle § 1740, odst. 3 občanského zákoníku, s dodatkem nebo odchylkou, není přijetím nabídky na uzavření této smlouvy, ani když podstatně nemění podmínky nabídky.</w:t>
      </w:r>
    </w:p>
    <w:p w14:paraId="6AA0FA94" w14:textId="77777777" w:rsidR="004457AA" w:rsidRDefault="00293C5E">
      <w:pPr>
        <w:pStyle w:val="Odstavecseseznamem"/>
        <w:numPr>
          <w:ilvl w:val="0"/>
          <w:numId w:val="1"/>
        </w:numPr>
        <w:tabs>
          <w:tab w:val="left" w:pos="939"/>
        </w:tabs>
        <w:spacing w:before="61" w:line="276" w:lineRule="auto"/>
        <w:ind w:right="411" w:hanging="427"/>
        <w:jc w:val="both"/>
      </w:pPr>
      <w:r>
        <w:t>Žádný</w:t>
      </w:r>
      <w:r>
        <w:rPr>
          <w:spacing w:val="-19"/>
        </w:rPr>
        <w:t xml:space="preserve"> </w:t>
      </w:r>
      <w:r>
        <w:t>závazek</w:t>
      </w:r>
      <w:r>
        <w:rPr>
          <w:spacing w:val="-17"/>
        </w:rPr>
        <w:t xml:space="preserve"> </w:t>
      </w:r>
      <w:r>
        <w:t>dle</w:t>
      </w:r>
      <w:r>
        <w:rPr>
          <w:spacing w:val="-16"/>
        </w:rPr>
        <w:t xml:space="preserve"> </w:t>
      </w:r>
      <w:r>
        <w:t>této</w:t>
      </w:r>
      <w:r>
        <w:rPr>
          <w:spacing w:val="-15"/>
        </w:rPr>
        <w:t xml:space="preserve"> </w:t>
      </w:r>
      <w:r>
        <w:t>smlouvy</w:t>
      </w:r>
      <w:r>
        <w:rPr>
          <w:spacing w:val="-20"/>
        </w:rPr>
        <w:t xml:space="preserve"> </w:t>
      </w:r>
      <w:r>
        <w:t>není</w:t>
      </w:r>
      <w:r>
        <w:rPr>
          <w:spacing w:val="-17"/>
        </w:rPr>
        <w:t xml:space="preserve"> </w:t>
      </w:r>
      <w:r>
        <w:t>fixním</w:t>
      </w:r>
      <w:r>
        <w:rPr>
          <w:spacing w:val="-17"/>
        </w:rPr>
        <w:t xml:space="preserve"> </w:t>
      </w:r>
      <w:r>
        <w:t>závazkem</w:t>
      </w:r>
      <w:r>
        <w:rPr>
          <w:spacing w:val="-17"/>
        </w:rPr>
        <w:t xml:space="preserve"> </w:t>
      </w:r>
      <w:r>
        <w:t>podle</w:t>
      </w:r>
      <w:r>
        <w:rPr>
          <w:spacing w:val="-17"/>
        </w:rPr>
        <w:t xml:space="preserve"> </w:t>
      </w:r>
      <w:r>
        <w:t>§</w:t>
      </w:r>
      <w:r>
        <w:rPr>
          <w:spacing w:val="1"/>
        </w:rPr>
        <w:t xml:space="preserve"> </w:t>
      </w:r>
      <w:r>
        <w:t>1980</w:t>
      </w:r>
      <w:r>
        <w:rPr>
          <w:spacing w:val="-19"/>
        </w:rPr>
        <w:t xml:space="preserve"> </w:t>
      </w:r>
      <w:r>
        <w:t>občanského</w:t>
      </w:r>
      <w:r>
        <w:rPr>
          <w:spacing w:val="-15"/>
        </w:rPr>
        <w:t xml:space="preserve"> </w:t>
      </w:r>
      <w:r>
        <w:t>zákoníku. Bude-li kterékoliv ustanovení této smlouvy shledáno příslušným soudem nebo jiným orgánem</w:t>
      </w:r>
      <w:r>
        <w:rPr>
          <w:spacing w:val="-10"/>
        </w:rPr>
        <w:t xml:space="preserve"> </w:t>
      </w:r>
      <w:r>
        <w:t>neplatným,</w:t>
      </w:r>
      <w:r>
        <w:rPr>
          <w:spacing w:val="-11"/>
        </w:rPr>
        <w:t xml:space="preserve"> </w:t>
      </w:r>
      <w:r>
        <w:t>neúčinným,</w:t>
      </w:r>
      <w:r>
        <w:rPr>
          <w:spacing w:val="-11"/>
        </w:rPr>
        <w:t xml:space="preserve"> </w:t>
      </w:r>
      <w:r>
        <w:t>nevymahatelným,</w:t>
      </w:r>
      <w:r>
        <w:rPr>
          <w:spacing w:val="-11"/>
        </w:rPr>
        <w:t xml:space="preserve"> </w:t>
      </w:r>
      <w:r>
        <w:t>nebo</w:t>
      </w:r>
      <w:r>
        <w:rPr>
          <w:spacing w:val="-11"/>
        </w:rPr>
        <w:t xml:space="preserve"> </w:t>
      </w:r>
      <w:r>
        <w:t>takovým,</w:t>
      </w:r>
      <w:r>
        <w:rPr>
          <w:spacing w:val="-11"/>
        </w:rPr>
        <w:t xml:space="preserve"> </w:t>
      </w:r>
      <w:r>
        <w:t>že</w:t>
      </w:r>
      <w:r>
        <w:rPr>
          <w:spacing w:val="-11"/>
        </w:rPr>
        <w:t xml:space="preserve"> </w:t>
      </w:r>
      <w:r>
        <w:t>se</w:t>
      </w:r>
      <w:r>
        <w:rPr>
          <w:spacing w:val="-11"/>
        </w:rPr>
        <w:t xml:space="preserve"> </w:t>
      </w:r>
      <w:r>
        <w:t>k</w:t>
      </w:r>
      <w:r>
        <w:rPr>
          <w:spacing w:val="-11"/>
        </w:rPr>
        <w:t xml:space="preserve"> </w:t>
      </w:r>
      <w:r>
        <w:t>němu</w:t>
      </w:r>
      <w:r>
        <w:rPr>
          <w:spacing w:val="-14"/>
        </w:rPr>
        <w:t xml:space="preserve"> </w:t>
      </w:r>
      <w:r>
        <w:t>nebude přihlížet, bude takové ustanovení považováno za vypuštěné z této smlouvy a ostatní ustanovení této smlouvy zůstanou v plném rozsahu v platnosti a účinnosti, pokud z povahy takového ustanovení nebo z jeho obsahu anebo z okolností, za nichž bylo uzavřeno,</w:t>
      </w:r>
      <w:r>
        <w:rPr>
          <w:spacing w:val="-11"/>
        </w:rPr>
        <w:t xml:space="preserve"> </w:t>
      </w:r>
      <w:r>
        <w:t>nevyplývá,</w:t>
      </w:r>
      <w:r>
        <w:rPr>
          <w:spacing w:val="-20"/>
        </w:rPr>
        <w:t xml:space="preserve"> </w:t>
      </w:r>
      <w:r>
        <w:t>že</w:t>
      </w:r>
      <w:r>
        <w:rPr>
          <w:spacing w:val="-20"/>
        </w:rPr>
        <w:t xml:space="preserve"> </w:t>
      </w:r>
      <w:r>
        <w:t>je</w:t>
      </w:r>
      <w:r>
        <w:rPr>
          <w:spacing w:val="-20"/>
        </w:rPr>
        <w:t xml:space="preserve"> </w:t>
      </w:r>
      <w:r>
        <w:t>nelze</w:t>
      </w:r>
      <w:r>
        <w:rPr>
          <w:spacing w:val="-23"/>
        </w:rPr>
        <w:t xml:space="preserve"> </w:t>
      </w:r>
      <w:r>
        <w:t>oddělit</w:t>
      </w:r>
      <w:r>
        <w:rPr>
          <w:spacing w:val="-23"/>
        </w:rPr>
        <w:t xml:space="preserve"> </w:t>
      </w:r>
      <w:r>
        <w:t>od</w:t>
      </w:r>
      <w:r>
        <w:rPr>
          <w:spacing w:val="-22"/>
        </w:rPr>
        <w:t xml:space="preserve"> </w:t>
      </w:r>
      <w:r>
        <w:t>ostatního</w:t>
      </w:r>
      <w:r>
        <w:rPr>
          <w:spacing w:val="-22"/>
        </w:rPr>
        <w:t xml:space="preserve"> </w:t>
      </w:r>
      <w:r>
        <w:t>obsahu</w:t>
      </w:r>
      <w:r>
        <w:rPr>
          <w:spacing w:val="-21"/>
        </w:rPr>
        <w:t xml:space="preserve"> </w:t>
      </w:r>
      <w:r>
        <w:t>této</w:t>
      </w:r>
      <w:r>
        <w:rPr>
          <w:spacing w:val="-20"/>
        </w:rPr>
        <w:t xml:space="preserve"> </w:t>
      </w:r>
      <w:r>
        <w:t>smlouvy.</w:t>
      </w:r>
      <w:r>
        <w:rPr>
          <w:spacing w:val="-21"/>
        </w:rPr>
        <w:t xml:space="preserve"> </w:t>
      </w:r>
      <w:r>
        <w:t>Smluvní</w:t>
      </w:r>
      <w:r>
        <w:rPr>
          <w:spacing w:val="-24"/>
        </w:rPr>
        <w:t xml:space="preserve"> </w:t>
      </w:r>
      <w:r>
        <w:t>strany v takovém případě uzavřou takové dodatky k této smlouvě, které budou nezbytné k dosažení</w:t>
      </w:r>
      <w:r>
        <w:rPr>
          <w:spacing w:val="-23"/>
        </w:rPr>
        <w:t xml:space="preserve"> </w:t>
      </w:r>
      <w:r>
        <w:t>výsledku</w:t>
      </w:r>
      <w:r>
        <w:rPr>
          <w:spacing w:val="-16"/>
        </w:rPr>
        <w:t xml:space="preserve"> </w:t>
      </w:r>
      <w:r>
        <w:t>stejného,</w:t>
      </w:r>
      <w:r>
        <w:rPr>
          <w:spacing w:val="-13"/>
        </w:rPr>
        <w:t xml:space="preserve"> </w:t>
      </w:r>
      <w:r>
        <w:t>a</w:t>
      </w:r>
      <w:r>
        <w:rPr>
          <w:spacing w:val="-13"/>
        </w:rPr>
        <w:t xml:space="preserve"> </w:t>
      </w:r>
      <w:r>
        <w:t>pokud</w:t>
      </w:r>
      <w:r>
        <w:rPr>
          <w:spacing w:val="-14"/>
        </w:rPr>
        <w:t xml:space="preserve"> </w:t>
      </w:r>
      <w:r>
        <w:t>to</w:t>
      </w:r>
      <w:r>
        <w:rPr>
          <w:spacing w:val="-12"/>
        </w:rPr>
        <w:t xml:space="preserve"> </w:t>
      </w:r>
      <w:r>
        <w:t>není</w:t>
      </w:r>
      <w:r>
        <w:rPr>
          <w:spacing w:val="-16"/>
        </w:rPr>
        <w:t xml:space="preserve"> </w:t>
      </w:r>
      <w:r>
        <w:t>možné,</w:t>
      </w:r>
      <w:r>
        <w:rPr>
          <w:spacing w:val="-12"/>
        </w:rPr>
        <w:t xml:space="preserve"> </w:t>
      </w:r>
      <w:r>
        <w:t>pak</w:t>
      </w:r>
      <w:r>
        <w:rPr>
          <w:spacing w:val="-13"/>
        </w:rPr>
        <w:t xml:space="preserve"> </w:t>
      </w:r>
      <w:r>
        <w:t>co</w:t>
      </w:r>
      <w:r>
        <w:rPr>
          <w:spacing w:val="-12"/>
        </w:rPr>
        <w:t xml:space="preserve"> </w:t>
      </w:r>
      <w:r>
        <w:t>nejbližšího</w:t>
      </w:r>
      <w:r>
        <w:rPr>
          <w:spacing w:val="-14"/>
        </w:rPr>
        <w:t xml:space="preserve"> </w:t>
      </w:r>
      <w:r>
        <w:t>tomu,</w:t>
      </w:r>
      <w:r>
        <w:rPr>
          <w:spacing w:val="-15"/>
        </w:rPr>
        <w:t xml:space="preserve"> </w:t>
      </w:r>
      <w:r>
        <w:t>jakého</w:t>
      </w:r>
      <w:r>
        <w:rPr>
          <w:spacing w:val="-15"/>
        </w:rPr>
        <w:t xml:space="preserve"> </w:t>
      </w:r>
      <w:r>
        <w:t>mělo být dosaženo neplatným ustanovením, nevymahatelným ustanovením, nebo ustanovením, ke kterému se</w:t>
      </w:r>
      <w:r>
        <w:rPr>
          <w:spacing w:val="-28"/>
        </w:rPr>
        <w:t xml:space="preserve"> </w:t>
      </w:r>
      <w:r>
        <w:t>nepřihlíželo.</w:t>
      </w:r>
    </w:p>
    <w:p w14:paraId="3CB9F03C" w14:textId="77777777" w:rsidR="004457AA" w:rsidRDefault="00293C5E">
      <w:pPr>
        <w:pStyle w:val="Odstavecseseznamem"/>
        <w:numPr>
          <w:ilvl w:val="0"/>
          <w:numId w:val="1"/>
        </w:numPr>
        <w:tabs>
          <w:tab w:val="left" w:pos="939"/>
        </w:tabs>
        <w:spacing w:before="61" w:line="276" w:lineRule="auto"/>
        <w:ind w:right="411" w:hanging="427"/>
        <w:jc w:val="both"/>
      </w:pPr>
      <w:r>
        <w:t>Tato smlouva je vyhotovena ve dvou exemplářích, z nichž jeden obdrží pronajímatel a jeden nájemce. V případě, že je tato smlouva vyhotovena v elektronické podobě, pak bude oprávněnými zástupci smluvních stran podepsána minimálně zaručeným elektronickým podpisem v souladu se zák. č. 297/2016 Sb., o službách vytvářejících důvěru pro elektronické transakce a Nařízením eIDAS. V takovém případě každá</w:t>
      </w:r>
      <w:r>
        <w:rPr>
          <w:spacing w:val="-25"/>
        </w:rPr>
        <w:t xml:space="preserve"> </w:t>
      </w:r>
      <w:r>
        <w:t>smluvní strana obdrží elektronické vyhotovení smlouvy včetně platných elektronických podpisů oprávněných</w:t>
      </w:r>
      <w:r>
        <w:rPr>
          <w:spacing w:val="-13"/>
        </w:rPr>
        <w:t xml:space="preserve"> </w:t>
      </w:r>
      <w:r>
        <w:t>zástupců</w:t>
      </w:r>
      <w:r>
        <w:rPr>
          <w:spacing w:val="-13"/>
        </w:rPr>
        <w:t xml:space="preserve"> </w:t>
      </w:r>
      <w:r>
        <w:t>smluvních</w:t>
      </w:r>
      <w:r>
        <w:rPr>
          <w:spacing w:val="-14"/>
        </w:rPr>
        <w:t xml:space="preserve"> </w:t>
      </w:r>
      <w:r>
        <w:t>stran.</w:t>
      </w:r>
      <w:r>
        <w:rPr>
          <w:spacing w:val="-13"/>
        </w:rPr>
        <w:t xml:space="preserve"> </w:t>
      </w:r>
      <w:r>
        <w:t>Změny</w:t>
      </w:r>
      <w:r>
        <w:rPr>
          <w:spacing w:val="-12"/>
        </w:rPr>
        <w:t xml:space="preserve"> </w:t>
      </w:r>
      <w:r>
        <w:t>a</w:t>
      </w:r>
      <w:r>
        <w:rPr>
          <w:spacing w:val="-13"/>
        </w:rPr>
        <w:t xml:space="preserve"> </w:t>
      </w:r>
      <w:r>
        <w:t>doplňky</w:t>
      </w:r>
      <w:r>
        <w:rPr>
          <w:spacing w:val="-12"/>
        </w:rPr>
        <w:t xml:space="preserve"> </w:t>
      </w:r>
      <w:r>
        <w:t>této</w:t>
      </w:r>
      <w:r>
        <w:rPr>
          <w:spacing w:val="-11"/>
        </w:rPr>
        <w:t xml:space="preserve"> </w:t>
      </w:r>
      <w:r>
        <w:t>smlouvy</w:t>
      </w:r>
      <w:r>
        <w:rPr>
          <w:spacing w:val="-12"/>
        </w:rPr>
        <w:t xml:space="preserve"> </w:t>
      </w:r>
      <w:r>
        <w:t>jsou</w:t>
      </w:r>
      <w:r>
        <w:rPr>
          <w:spacing w:val="-16"/>
        </w:rPr>
        <w:t xml:space="preserve"> </w:t>
      </w:r>
      <w:r>
        <w:t>možné</w:t>
      </w:r>
      <w:r>
        <w:rPr>
          <w:spacing w:val="-12"/>
        </w:rPr>
        <w:t xml:space="preserve"> </w:t>
      </w:r>
      <w:r>
        <w:t>pouze formou písemných dodatků k této smlouvě, schválených a podepsaných oběma smluvními</w:t>
      </w:r>
      <w:r>
        <w:rPr>
          <w:spacing w:val="-16"/>
        </w:rPr>
        <w:t xml:space="preserve"> </w:t>
      </w:r>
      <w:r>
        <w:t>stranami.</w:t>
      </w:r>
    </w:p>
    <w:p w14:paraId="4441F9ED" w14:textId="77777777" w:rsidR="004457AA" w:rsidRDefault="00293C5E">
      <w:pPr>
        <w:pStyle w:val="Odstavecseseznamem"/>
        <w:numPr>
          <w:ilvl w:val="0"/>
          <w:numId w:val="1"/>
        </w:numPr>
        <w:tabs>
          <w:tab w:val="left" w:pos="939"/>
        </w:tabs>
        <w:spacing w:before="61" w:line="276" w:lineRule="auto"/>
        <w:ind w:right="408" w:hanging="427"/>
        <w:jc w:val="both"/>
      </w:pPr>
      <w:r>
        <w:t>Smluvní</w:t>
      </w:r>
      <w:r>
        <w:rPr>
          <w:spacing w:val="-9"/>
        </w:rPr>
        <w:t xml:space="preserve"> </w:t>
      </w:r>
      <w:r>
        <w:t>strany</w:t>
      </w:r>
      <w:r>
        <w:rPr>
          <w:spacing w:val="-8"/>
        </w:rPr>
        <w:t xml:space="preserve"> </w:t>
      </w:r>
      <w:r>
        <w:t>berou</w:t>
      </w:r>
      <w:r>
        <w:rPr>
          <w:spacing w:val="-9"/>
        </w:rPr>
        <w:t xml:space="preserve"> </w:t>
      </w:r>
      <w:r>
        <w:t>na</w:t>
      </w:r>
      <w:r>
        <w:rPr>
          <w:spacing w:val="-11"/>
        </w:rPr>
        <w:t xml:space="preserve"> </w:t>
      </w:r>
      <w:r>
        <w:t>vědomí,</w:t>
      </w:r>
      <w:r>
        <w:rPr>
          <w:spacing w:val="-11"/>
        </w:rPr>
        <w:t xml:space="preserve"> </w:t>
      </w:r>
      <w:r>
        <w:t>že</w:t>
      </w:r>
      <w:r>
        <w:rPr>
          <w:spacing w:val="-8"/>
        </w:rPr>
        <w:t xml:space="preserve"> </w:t>
      </w:r>
      <w:r>
        <w:t>tato</w:t>
      </w:r>
      <w:r>
        <w:rPr>
          <w:spacing w:val="-8"/>
        </w:rPr>
        <w:t xml:space="preserve"> </w:t>
      </w:r>
      <w:r>
        <w:t>smlouva</w:t>
      </w:r>
      <w:r>
        <w:rPr>
          <w:spacing w:val="-8"/>
        </w:rPr>
        <w:t xml:space="preserve"> </w:t>
      </w:r>
      <w:r>
        <w:t>naplňuje</w:t>
      </w:r>
      <w:r>
        <w:rPr>
          <w:spacing w:val="-8"/>
        </w:rPr>
        <w:t xml:space="preserve"> </w:t>
      </w:r>
      <w:r>
        <w:t>požadavky,</w:t>
      </w:r>
      <w:r>
        <w:rPr>
          <w:spacing w:val="-8"/>
        </w:rPr>
        <w:t xml:space="preserve"> </w:t>
      </w:r>
      <w:r>
        <w:t>uvedené</w:t>
      </w:r>
      <w:r>
        <w:rPr>
          <w:spacing w:val="-10"/>
        </w:rPr>
        <w:t xml:space="preserve"> </w:t>
      </w:r>
      <w:r>
        <w:t>v</w:t>
      </w:r>
      <w:r>
        <w:rPr>
          <w:spacing w:val="-9"/>
        </w:rPr>
        <w:t xml:space="preserve"> </w:t>
      </w:r>
      <w:r>
        <w:t>zákoně č. 340/2015 Sb., ve znění pozdějších předpisů, a podléhá tímto povinnosti uveřejnění v registru smluv, a s tímto uveřejněním v zákonném rozsahu</w:t>
      </w:r>
      <w:r>
        <w:rPr>
          <w:spacing w:val="-17"/>
        </w:rPr>
        <w:t xml:space="preserve"> </w:t>
      </w:r>
      <w:r>
        <w:t>souhlasí.</w:t>
      </w:r>
    </w:p>
    <w:p w14:paraId="321DC18E" w14:textId="77777777" w:rsidR="004457AA" w:rsidRDefault="00293C5E">
      <w:pPr>
        <w:pStyle w:val="Odstavecseseznamem"/>
        <w:numPr>
          <w:ilvl w:val="0"/>
          <w:numId w:val="1"/>
        </w:numPr>
        <w:tabs>
          <w:tab w:val="left" w:pos="939"/>
        </w:tabs>
        <w:spacing w:before="61" w:line="276" w:lineRule="auto"/>
        <w:ind w:right="410" w:hanging="427"/>
        <w:jc w:val="both"/>
      </w:pPr>
      <w:r>
        <w:t>Tato smlouva je uzavřena a nabývá platnosti dnem podpisu oběma smluvními stranami a</w:t>
      </w:r>
      <w:r>
        <w:rPr>
          <w:spacing w:val="-11"/>
        </w:rPr>
        <w:t xml:space="preserve"> </w:t>
      </w:r>
      <w:r>
        <w:t>účinnosti</w:t>
      </w:r>
      <w:r>
        <w:rPr>
          <w:spacing w:val="-10"/>
        </w:rPr>
        <w:t xml:space="preserve"> </w:t>
      </w:r>
      <w:r>
        <w:t>dnem</w:t>
      </w:r>
      <w:r>
        <w:rPr>
          <w:spacing w:val="-9"/>
        </w:rPr>
        <w:t xml:space="preserve"> </w:t>
      </w:r>
      <w:r>
        <w:t>uveřejnění</w:t>
      </w:r>
      <w:r>
        <w:rPr>
          <w:spacing w:val="-10"/>
        </w:rPr>
        <w:t xml:space="preserve"> </w:t>
      </w:r>
      <w:r>
        <w:t>smlouvy</w:t>
      </w:r>
      <w:r>
        <w:rPr>
          <w:spacing w:val="-12"/>
        </w:rPr>
        <w:t xml:space="preserve"> </w:t>
      </w:r>
      <w:r>
        <w:t>v</w:t>
      </w:r>
      <w:r>
        <w:rPr>
          <w:spacing w:val="-9"/>
        </w:rPr>
        <w:t xml:space="preserve"> </w:t>
      </w:r>
      <w:r>
        <w:t>Registru</w:t>
      </w:r>
      <w:r>
        <w:rPr>
          <w:spacing w:val="-11"/>
        </w:rPr>
        <w:t xml:space="preserve"> </w:t>
      </w:r>
      <w:r>
        <w:t>smluv</w:t>
      </w:r>
      <w:r>
        <w:rPr>
          <w:spacing w:val="-12"/>
        </w:rPr>
        <w:t xml:space="preserve"> </w:t>
      </w:r>
      <w:r>
        <w:t>v</w:t>
      </w:r>
      <w:r>
        <w:rPr>
          <w:spacing w:val="-9"/>
        </w:rPr>
        <w:t xml:space="preserve"> </w:t>
      </w:r>
      <w:r>
        <w:t>souladu</w:t>
      </w:r>
      <w:r>
        <w:rPr>
          <w:spacing w:val="-11"/>
        </w:rPr>
        <w:t xml:space="preserve"> </w:t>
      </w:r>
      <w:r>
        <w:t>se</w:t>
      </w:r>
      <w:r>
        <w:rPr>
          <w:spacing w:val="-10"/>
        </w:rPr>
        <w:t xml:space="preserve"> </w:t>
      </w:r>
      <w:r>
        <w:t>zákonem</w:t>
      </w:r>
      <w:r>
        <w:rPr>
          <w:spacing w:val="-9"/>
        </w:rPr>
        <w:t xml:space="preserve"> </w:t>
      </w:r>
      <w:r>
        <w:t>č.</w:t>
      </w:r>
      <w:r>
        <w:rPr>
          <w:spacing w:val="-13"/>
        </w:rPr>
        <w:t xml:space="preserve"> </w:t>
      </w:r>
      <w:r>
        <w:t>340/2015 Sb.,</w:t>
      </w:r>
      <w:r>
        <w:rPr>
          <w:spacing w:val="-5"/>
        </w:rPr>
        <w:t xml:space="preserve"> </w:t>
      </w:r>
      <w:r>
        <w:t>ve</w:t>
      </w:r>
      <w:r>
        <w:rPr>
          <w:spacing w:val="-6"/>
        </w:rPr>
        <w:t xml:space="preserve"> </w:t>
      </w:r>
      <w:r>
        <w:t>znění</w:t>
      </w:r>
      <w:r>
        <w:rPr>
          <w:spacing w:val="-5"/>
        </w:rPr>
        <w:t xml:space="preserve"> </w:t>
      </w:r>
      <w:r>
        <w:t>pozdějších</w:t>
      </w:r>
      <w:r>
        <w:rPr>
          <w:spacing w:val="-7"/>
        </w:rPr>
        <w:t xml:space="preserve"> </w:t>
      </w:r>
      <w:r>
        <w:t>předpisů.</w:t>
      </w:r>
      <w:r>
        <w:rPr>
          <w:spacing w:val="-5"/>
        </w:rPr>
        <w:t xml:space="preserve"> </w:t>
      </w:r>
      <w:r>
        <w:t>Smluvní</w:t>
      </w:r>
      <w:r>
        <w:rPr>
          <w:spacing w:val="-7"/>
        </w:rPr>
        <w:t xml:space="preserve"> </w:t>
      </w:r>
      <w:r>
        <w:t>strany</w:t>
      </w:r>
      <w:r>
        <w:rPr>
          <w:spacing w:val="-3"/>
        </w:rPr>
        <w:t xml:space="preserve"> </w:t>
      </w:r>
      <w:r>
        <w:t>se</w:t>
      </w:r>
      <w:r>
        <w:rPr>
          <w:spacing w:val="-4"/>
        </w:rPr>
        <w:t xml:space="preserve"> </w:t>
      </w:r>
      <w:r>
        <w:t>dohodly,</w:t>
      </w:r>
      <w:r>
        <w:rPr>
          <w:spacing w:val="-6"/>
        </w:rPr>
        <w:t xml:space="preserve"> </w:t>
      </w:r>
      <w:r>
        <w:t>že</w:t>
      </w:r>
      <w:r>
        <w:rPr>
          <w:spacing w:val="-3"/>
        </w:rPr>
        <w:t xml:space="preserve"> </w:t>
      </w:r>
      <w:r>
        <w:t>zveřejnění</w:t>
      </w:r>
      <w:r>
        <w:rPr>
          <w:spacing w:val="-7"/>
        </w:rPr>
        <w:t xml:space="preserve"> </w:t>
      </w:r>
      <w:r>
        <w:t>této</w:t>
      </w:r>
      <w:r>
        <w:rPr>
          <w:spacing w:val="-5"/>
        </w:rPr>
        <w:t xml:space="preserve"> </w:t>
      </w:r>
      <w:r>
        <w:t>smlouvu v registru smluv zajistí pronajímatel bez zbytečného odkladu po jejím uzavření. O skutečnosti uveřejnění této smlouvy v registru smluv se smluvní strany budou vzájemně informovat.</w:t>
      </w:r>
    </w:p>
    <w:p w14:paraId="3A9730DD" w14:textId="77777777" w:rsidR="004457AA" w:rsidRDefault="00293C5E">
      <w:pPr>
        <w:pStyle w:val="Odstavecseseznamem"/>
        <w:numPr>
          <w:ilvl w:val="0"/>
          <w:numId w:val="1"/>
        </w:numPr>
        <w:tabs>
          <w:tab w:val="left" w:pos="939"/>
        </w:tabs>
        <w:spacing w:before="61" w:line="276" w:lineRule="auto"/>
        <w:ind w:right="413" w:hanging="427"/>
        <w:jc w:val="both"/>
      </w:pPr>
      <w:r>
        <w:t>Smluvní</w:t>
      </w:r>
      <w:r>
        <w:rPr>
          <w:spacing w:val="-3"/>
        </w:rPr>
        <w:t xml:space="preserve"> </w:t>
      </w:r>
      <w:r>
        <w:t>strany</w:t>
      </w:r>
      <w:r>
        <w:rPr>
          <w:spacing w:val="-3"/>
        </w:rPr>
        <w:t xml:space="preserve"> </w:t>
      </w:r>
      <w:r>
        <w:t>prohlašují,</w:t>
      </w:r>
      <w:r>
        <w:rPr>
          <w:spacing w:val="-4"/>
        </w:rPr>
        <w:t xml:space="preserve"> </w:t>
      </w:r>
      <w:r>
        <w:t>že</w:t>
      </w:r>
      <w:r>
        <w:rPr>
          <w:spacing w:val="-3"/>
        </w:rPr>
        <w:t xml:space="preserve"> </w:t>
      </w:r>
      <w:r>
        <w:t>tato</w:t>
      </w:r>
      <w:r>
        <w:rPr>
          <w:spacing w:val="-2"/>
        </w:rPr>
        <w:t xml:space="preserve"> </w:t>
      </w:r>
      <w:r>
        <w:t>smlouva</w:t>
      </w:r>
      <w:r>
        <w:rPr>
          <w:spacing w:val="-3"/>
        </w:rPr>
        <w:t xml:space="preserve"> </w:t>
      </w:r>
      <w:r>
        <w:t>odpovídá</w:t>
      </w:r>
      <w:r>
        <w:rPr>
          <w:spacing w:val="-3"/>
        </w:rPr>
        <w:t xml:space="preserve"> </w:t>
      </w:r>
      <w:r>
        <w:t>jejich</w:t>
      </w:r>
      <w:r>
        <w:rPr>
          <w:spacing w:val="-4"/>
        </w:rPr>
        <w:t xml:space="preserve"> </w:t>
      </w:r>
      <w:r>
        <w:t>svobodné</w:t>
      </w:r>
      <w:r>
        <w:rPr>
          <w:spacing w:val="-3"/>
        </w:rPr>
        <w:t xml:space="preserve"> </w:t>
      </w:r>
      <w:r>
        <w:t>a</w:t>
      </w:r>
      <w:r>
        <w:rPr>
          <w:spacing w:val="-3"/>
        </w:rPr>
        <w:t xml:space="preserve"> </w:t>
      </w:r>
      <w:r>
        <w:t>vážné</w:t>
      </w:r>
      <w:r>
        <w:rPr>
          <w:spacing w:val="-5"/>
        </w:rPr>
        <w:t xml:space="preserve"> </w:t>
      </w:r>
      <w:r>
        <w:t>vůli,</w:t>
      </w:r>
      <w:r>
        <w:rPr>
          <w:spacing w:val="-6"/>
        </w:rPr>
        <w:t xml:space="preserve"> </w:t>
      </w:r>
      <w:r>
        <w:t>prosté omylu,</w:t>
      </w:r>
      <w:r>
        <w:rPr>
          <w:spacing w:val="-16"/>
        </w:rPr>
        <w:t xml:space="preserve"> </w:t>
      </w:r>
      <w:r>
        <w:t>že</w:t>
      </w:r>
      <w:r>
        <w:rPr>
          <w:spacing w:val="-17"/>
        </w:rPr>
        <w:t xml:space="preserve"> </w:t>
      </w:r>
      <w:r>
        <w:t>si</w:t>
      </w:r>
      <w:r>
        <w:rPr>
          <w:spacing w:val="-16"/>
        </w:rPr>
        <w:t xml:space="preserve"> </w:t>
      </w:r>
      <w:r>
        <w:t>ji</w:t>
      </w:r>
      <w:r>
        <w:rPr>
          <w:spacing w:val="-16"/>
        </w:rPr>
        <w:t xml:space="preserve"> </w:t>
      </w:r>
      <w:r>
        <w:t>řádně</w:t>
      </w:r>
      <w:r>
        <w:rPr>
          <w:spacing w:val="-16"/>
        </w:rPr>
        <w:t xml:space="preserve"> </w:t>
      </w:r>
      <w:r>
        <w:t>přečetly</w:t>
      </w:r>
      <w:r>
        <w:rPr>
          <w:spacing w:val="-18"/>
        </w:rPr>
        <w:t xml:space="preserve"> </w:t>
      </w:r>
      <w:r>
        <w:t>a</w:t>
      </w:r>
      <w:r>
        <w:rPr>
          <w:spacing w:val="-16"/>
        </w:rPr>
        <w:t xml:space="preserve"> </w:t>
      </w:r>
      <w:r>
        <w:t>že</w:t>
      </w:r>
      <w:r>
        <w:rPr>
          <w:spacing w:val="-16"/>
        </w:rPr>
        <w:t xml:space="preserve"> </w:t>
      </w:r>
      <w:r>
        <w:t>souhlasí</w:t>
      </w:r>
      <w:r>
        <w:rPr>
          <w:spacing w:val="-17"/>
        </w:rPr>
        <w:t xml:space="preserve"> </w:t>
      </w:r>
      <w:r>
        <w:t>s</w:t>
      </w:r>
      <w:r>
        <w:rPr>
          <w:spacing w:val="-2"/>
        </w:rPr>
        <w:t xml:space="preserve"> </w:t>
      </w:r>
      <w:r>
        <w:t>jejím</w:t>
      </w:r>
      <w:r>
        <w:rPr>
          <w:spacing w:val="-17"/>
        </w:rPr>
        <w:t xml:space="preserve"> </w:t>
      </w:r>
      <w:r>
        <w:t>obsahem,</w:t>
      </w:r>
      <w:r>
        <w:rPr>
          <w:spacing w:val="-15"/>
        </w:rPr>
        <w:t xml:space="preserve"> </w:t>
      </w:r>
      <w:r>
        <w:t>na</w:t>
      </w:r>
      <w:r>
        <w:rPr>
          <w:spacing w:val="-18"/>
        </w:rPr>
        <w:t xml:space="preserve"> </w:t>
      </w:r>
      <w:r>
        <w:t>důkaz</w:t>
      </w:r>
      <w:r>
        <w:rPr>
          <w:spacing w:val="-17"/>
        </w:rPr>
        <w:t xml:space="preserve"> </w:t>
      </w:r>
      <w:r>
        <w:t>čehož</w:t>
      </w:r>
      <w:r>
        <w:rPr>
          <w:spacing w:val="-17"/>
        </w:rPr>
        <w:t xml:space="preserve"> </w:t>
      </w:r>
      <w:r>
        <w:t>připojují</w:t>
      </w:r>
      <w:r>
        <w:rPr>
          <w:spacing w:val="-5"/>
        </w:rPr>
        <w:t xml:space="preserve"> </w:t>
      </w:r>
      <w:r>
        <w:t>k</w:t>
      </w:r>
      <w:r>
        <w:rPr>
          <w:spacing w:val="-6"/>
        </w:rPr>
        <w:t xml:space="preserve"> </w:t>
      </w:r>
      <w:r>
        <w:t>této smlouvě své</w:t>
      </w:r>
      <w:r>
        <w:rPr>
          <w:spacing w:val="-8"/>
        </w:rPr>
        <w:t xml:space="preserve"> </w:t>
      </w:r>
      <w:r>
        <w:t>podpisy.</w:t>
      </w:r>
    </w:p>
    <w:p w14:paraId="553A64AD" w14:textId="77777777" w:rsidR="004457AA" w:rsidRDefault="004457AA">
      <w:pPr>
        <w:pStyle w:val="Zkladntext"/>
        <w:spacing w:before="9"/>
        <w:rPr>
          <w:sz w:val="25"/>
        </w:rPr>
      </w:pPr>
    </w:p>
    <w:p w14:paraId="3C352B3F" w14:textId="69AB7ED0" w:rsidR="004457AA" w:rsidRDefault="00293C5E">
      <w:pPr>
        <w:pStyle w:val="Zkladntext"/>
        <w:tabs>
          <w:tab w:val="left" w:pos="3411"/>
          <w:tab w:val="left" w:pos="5352"/>
          <w:tab w:val="left" w:pos="8368"/>
        </w:tabs>
        <w:spacing w:before="56"/>
        <w:ind w:left="396"/>
      </w:pPr>
      <w:r>
        <w:t>V</w:t>
      </w:r>
      <w:r>
        <w:rPr>
          <w:spacing w:val="-1"/>
        </w:rPr>
        <w:t xml:space="preserve"> </w:t>
      </w:r>
      <w:r>
        <w:t>Praze</w:t>
      </w:r>
      <w:r>
        <w:rPr>
          <w:spacing w:val="-1"/>
        </w:rPr>
        <w:t xml:space="preserve"> </w:t>
      </w:r>
      <w:r>
        <w:t>dne</w:t>
      </w:r>
      <w:r w:rsidR="005B6E3A">
        <w:t xml:space="preserve"> </w:t>
      </w:r>
      <w:r w:rsidR="005B6E3A" w:rsidRPr="005B6E3A">
        <w:t>25.</w:t>
      </w:r>
      <w:r w:rsidR="003D2043">
        <w:t xml:space="preserve"> </w:t>
      </w:r>
      <w:r w:rsidR="005B6E3A" w:rsidRPr="005B6E3A">
        <w:t>8.</w:t>
      </w:r>
      <w:r w:rsidR="005B6E3A">
        <w:t xml:space="preserve"> </w:t>
      </w:r>
      <w:r w:rsidR="005B6E3A" w:rsidRPr="005B6E3A">
        <w:t>2023</w:t>
      </w:r>
      <w:r>
        <w:tab/>
      </w:r>
      <w:r w:rsidR="005B6E3A">
        <w:t xml:space="preserve">                                      </w:t>
      </w:r>
      <w:r>
        <w:t>V Praze</w:t>
      </w:r>
      <w:r>
        <w:rPr>
          <w:spacing w:val="-4"/>
        </w:rPr>
        <w:t xml:space="preserve"> </w:t>
      </w:r>
      <w:r>
        <w:t>dne</w:t>
      </w:r>
      <w:r w:rsidR="003D2043">
        <w:t xml:space="preserve"> </w:t>
      </w:r>
      <w:r w:rsidR="005B6E3A">
        <w:rPr>
          <w:spacing w:val="2"/>
        </w:rPr>
        <w:t>28. 8. 2023</w:t>
      </w:r>
    </w:p>
    <w:p w14:paraId="5EC8E707" w14:textId="77777777" w:rsidR="004457AA" w:rsidRDefault="004457AA">
      <w:pPr>
        <w:pStyle w:val="Zkladntext"/>
        <w:spacing w:before="5"/>
        <w:rPr>
          <w:sz w:val="17"/>
        </w:rPr>
      </w:pPr>
    </w:p>
    <w:p w14:paraId="5C53DAE5" w14:textId="77777777" w:rsidR="004457AA" w:rsidRDefault="00293C5E">
      <w:pPr>
        <w:pStyle w:val="Zkladntext"/>
        <w:tabs>
          <w:tab w:val="left" w:pos="5352"/>
        </w:tabs>
        <w:spacing w:before="56"/>
        <w:ind w:left="396"/>
      </w:pPr>
      <w:r>
        <w:t>Pronajímatel</w:t>
      </w:r>
      <w:r>
        <w:tab/>
        <w:t>Nájemce</w:t>
      </w:r>
    </w:p>
    <w:p w14:paraId="18017DDA" w14:textId="77777777" w:rsidR="004457AA" w:rsidRDefault="004457AA">
      <w:pPr>
        <w:sectPr w:rsidR="004457AA">
          <w:pgSz w:w="11910" w:h="16840"/>
          <w:pgMar w:top="1360" w:right="1680" w:bottom="960" w:left="1020" w:header="0" w:footer="773" w:gutter="0"/>
          <w:cols w:space="708"/>
        </w:sectPr>
      </w:pPr>
    </w:p>
    <w:p w14:paraId="6E06AC43" w14:textId="41058779" w:rsidR="005B6E3A" w:rsidRDefault="00293C5E" w:rsidP="005B6E3A">
      <w:pPr>
        <w:spacing w:before="87" w:line="244" w:lineRule="auto"/>
        <w:ind w:left="89" w:right="-17"/>
        <w:rPr>
          <w:sz w:val="17"/>
        </w:rPr>
      </w:pPr>
      <w:r>
        <w:br w:type="column"/>
      </w:r>
    </w:p>
    <w:p w14:paraId="110B8592" w14:textId="4A80CA7F" w:rsidR="004457AA" w:rsidRDefault="004457AA">
      <w:pPr>
        <w:pStyle w:val="Zkladntext"/>
        <w:rPr>
          <w:sz w:val="17"/>
        </w:rPr>
      </w:pPr>
    </w:p>
    <w:p w14:paraId="6CAADC35" w14:textId="77777777" w:rsidR="004457AA" w:rsidRDefault="004457AA">
      <w:pPr>
        <w:spacing w:line="193" w:lineRule="exact"/>
        <w:rPr>
          <w:rFonts w:ascii="Arial"/>
          <w:sz w:val="18"/>
        </w:rPr>
        <w:sectPr w:rsidR="004457AA">
          <w:type w:val="continuous"/>
          <w:pgSz w:w="11910" w:h="16840"/>
          <w:pgMar w:top="1380" w:right="1680" w:bottom="960" w:left="1020" w:header="708" w:footer="708" w:gutter="0"/>
          <w:cols w:num="2" w:space="708" w:equalWidth="0">
            <w:col w:w="7011" w:space="40"/>
            <w:col w:w="2159"/>
          </w:cols>
        </w:sectPr>
      </w:pPr>
    </w:p>
    <w:p w14:paraId="71CEC21B" w14:textId="77777777" w:rsidR="004457AA" w:rsidRDefault="004457AA">
      <w:pPr>
        <w:pStyle w:val="Zkladntext"/>
        <w:spacing w:before="3"/>
        <w:rPr>
          <w:rFonts w:ascii="Arial"/>
          <w:sz w:val="9"/>
        </w:rPr>
      </w:pPr>
    </w:p>
    <w:p w14:paraId="23F97288" w14:textId="1D449699" w:rsidR="004457AA" w:rsidRDefault="004457AA">
      <w:pPr>
        <w:pStyle w:val="Zkladntext"/>
        <w:spacing w:line="20" w:lineRule="exact"/>
        <w:ind w:left="5345"/>
        <w:rPr>
          <w:rFonts w:ascii="Arial"/>
          <w:sz w:val="2"/>
        </w:rPr>
      </w:pPr>
    </w:p>
    <w:p w14:paraId="66E1F21C" w14:textId="776DB01E" w:rsidR="005B6E3A" w:rsidRDefault="005B6E3A">
      <w:pPr>
        <w:pStyle w:val="Zkladntext"/>
        <w:tabs>
          <w:tab w:val="left" w:pos="5352"/>
        </w:tabs>
        <w:spacing w:before="14"/>
        <w:ind w:left="396"/>
      </w:pPr>
      <w:r>
        <w:t>__________________________</w:t>
      </w:r>
      <w:r w:rsidR="00656B46">
        <w:t xml:space="preserve">                                          </w:t>
      </w:r>
      <w:r w:rsidR="00656B46">
        <w:t>__________________________</w:t>
      </w:r>
    </w:p>
    <w:p w14:paraId="33AB9476" w14:textId="0C27BA01" w:rsidR="004457AA" w:rsidRDefault="00656B46">
      <w:pPr>
        <w:pStyle w:val="Zkladntext"/>
        <w:tabs>
          <w:tab w:val="left" w:pos="5352"/>
        </w:tabs>
        <w:spacing w:before="14"/>
        <w:ind w:left="396"/>
      </w:pPr>
      <w:r>
        <w:t>xxxxx</w:t>
      </w:r>
      <w:r w:rsidR="00293C5E">
        <w:tab/>
      </w:r>
      <w:r>
        <w:t>xxxxx</w:t>
      </w:r>
    </w:p>
    <w:p w14:paraId="586B5087" w14:textId="77777777" w:rsidR="004457AA" w:rsidRDefault="00293C5E">
      <w:pPr>
        <w:pStyle w:val="Zkladntext"/>
        <w:tabs>
          <w:tab w:val="left" w:pos="5352"/>
        </w:tabs>
        <w:ind w:left="396"/>
      </w:pPr>
      <w:r>
        <w:t>rektor</w:t>
      </w:r>
      <w:r>
        <w:tab/>
        <w:t>rektor</w:t>
      </w:r>
    </w:p>
    <w:p w14:paraId="27FD26D5" w14:textId="77777777" w:rsidR="004457AA" w:rsidRDefault="004457AA">
      <w:pPr>
        <w:sectPr w:rsidR="004457AA">
          <w:type w:val="continuous"/>
          <w:pgSz w:w="11910" w:h="16840"/>
          <w:pgMar w:top="1380" w:right="1680" w:bottom="960" w:left="1020" w:header="708" w:footer="708" w:gutter="0"/>
          <w:cols w:space="708"/>
        </w:sectPr>
      </w:pPr>
    </w:p>
    <w:p w14:paraId="35C78069" w14:textId="77777777" w:rsidR="004457AA" w:rsidRDefault="004457AA">
      <w:pPr>
        <w:pStyle w:val="Zkladntext"/>
        <w:spacing w:before="5"/>
        <w:rPr>
          <w:sz w:val="24"/>
        </w:rPr>
      </w:pPr>
    </w:p>
    <w:p w14:paraId="41961D7A" w14:textId="77777777" w:rsidR="004457AA" w:rsidRDefault="00293C5E">
      <w:pPr>
        <w:pStyle w:val="Nadpis2"/>
        <w:spacing w:before="57"/>
        <w:ind w:left="116"/>
      </w:pPr>
      <w:r>
        <w:t>Přílohy:</w:t>
      </w:r>
    </w:p>
    <w:p w14:paraId="36F5A949" w14:textId="77777777" w:rsidR="004457AA" w:rsidRDefault="00293C5E">
      <w:pPr>
        <w:pStyle w:val="Zkladntext"/>
        <w:ind w:left="116" w:right="3189"/>
      </w:pPr>
      <w:r>
        <w:t>Příloha č. 1: Specifikace pronajímaných prostor, včetně výměry Příloha č. 2: Provozní řád předmětné budovy</w:t>
      </w:r>
    </w:p>
    <w:p w14:paraId="096C38CE" w14:textId="77777777" w:rsidR="004457AA" w:rsidRDefault="00293C5E">
      <w:pPr>
        <w:pStyle w:val="Zkladntext"/>
        <w:ind w:left="116" w:right="234"/>
      </w:pPr>
      <w:r>
        <w:t>Příloha č. 3: Seznam elektrických podružných rozvaděčů, jejichž údržbu, opravy a revize zajišťuje nájemce</w:t>
      </w:r>
    </w:p>
    <w:p w14:paraId="17CBDDCD" w14:textId="77777777" w:rsidR="004457AA" w:rsidRDefault="004457AA">
      <w:pPr>
        <w:sectPr w:rsidR="004457AA">
          <w:pgSz w:w="11910" w:h="16840"/>
          <w:pgMar w:top="1580" w:right="1680" w:bottom="960" w:left="1300" w:header="0" w:footer="773" w:gutter="0"/>
          <w:cols w:space="708"/>
        </w:sectPr>
      </w:pPr>
    </w:p>
    <w:p w14:paraId="0308C656" w14:textId="77777777" w:rsidR="004457AA" w:rsidRDefault="00293C5E">
      <w:pPr>
        <w:pStyle w:val="Nadpis2"/>
        <w:spacing w:before="37"/>
      </w:pPr>
      <w:r>
        <w:lastRenderedPageBreak/>
        <w:t>Příloha č. 1: Specifikace pronajímaných prostor, včetně výměry</w:t>
      </w:r>
    </w:p>
    <w:p w14:paraId="02AD81F3" w14:textId="77777777" w:rsidR="004457AA" w:rsidRDefault="004457AA">
      <w:pPr>
        <w:pStyle w:val="Zkladntext"/>
        <w:rPr>
          <w:b/>
          <w:sz w:val="20"/>
        </w:rPr>
      </w:pPr>
    </w:p>
    <w:p w14:paraId="555EFD4D" w14:textId="77777777" w:rsidR="004457AA" w:rsidRDefault="004457AA">
      <w:pPr>
        <w:pStyle w:val="Zkladntext"/>
        <w:spacing w:before="6" w:after="1"/>
        <w:rPr>
          <w:b/>
          <w:sz w:val="11"/>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7"/>
        <w:gridCol w:w="1558"/>
        <w:gridCol w:w="994"/>
        <w:gridCol w:w="2127"/>
        <w:gridCol w:w="2134"/>
        <w:gridCol w:w="917"/>
        <w:gridCol w:w="922"/>
      </w:tblGrid>
      <w:tr w:rsidR="004457AA" w14:paraId="732F78ED" w14:textId="77777777">
        <w:trPr>
          <w:trHeight w:hRule="exact" w:val="703"/>
        </w:trPr>
        <w:tc>
          <w:tcPr>
            <w:tcW w:w="857" w:type="dxa"/>
          </w:tcPr>
          <w:p w14:paraId="38286263" w14:textId="77777777" w:rsidR="004457AA" w:rsidRDefault="004457AA">
            <w:pPr>
              <w:pStyle w:val="TableParagraph"/>
              <w:spacing w:before="11"/>
              <w:rPr>
                <w:b/>
                <w:sz w:val="20"/>
              </w:rPr>
            </w:pPr>
          </w:p>
          <w:p w14:paraId="005345FD" w14:textId="77777777" w:rsidR="004457AA" w:rsidRDefault="00293C5E">
            <w:pPr>
              <w:pStyle w:val="TableParagraph"/>
              <w:spacing w:before="1"/>
              <w:ind w:left="67"/>
              <w:rPr>
                <w:b/>
                <w:sz w:val="20"/>
              </w:rPr>
            </w:pPr>
            <w:r>
              <w:rPr>
                <w:b/>
                <w:sz w:val="20"/>
              </w:rPr>
              <w:t>Poř. č.</w:t>
            </w:r>
          </w:p>
        </w:tc>
        <w:tc>
          <w:tcPr>
            <w:tcW w:w="1558" w:type="dxa"/>
          </w:tcPr>
          <w:p w14:paraId="15B09C1B" w14:textId="77777777" w:rsidR="004457AA" w:rsidRDefault="004457AA">
            <w:pPr>
              <w:pStyle w:val="TableParagraph"/>
              <w:spacing w:before="11"/>
              <w:rPr>
                <w:b/>
                <w:sz w:val="20"/>
              </w:rPr>
            </w:pPr>
          </w:p>
          <w:p w14:paraId="33617D32" w14:textId="77777777" w:rsidR="004457AA" w:rsidRDefault="00293C5E">
            <w:pPr>
              <w:pStyle w:val="TableParagraph"/>
              <w:spacing w:before="1"/>
              <w:ind w:left="64"/>
              <w:rPr>
                <w:b/>
                <w:sz w:val="20"/>
              </w:rPr>
            </w:pPr>
            <w:r>
              <w:rPr>
                <w:b/>
                <w:sz w:val="20"/>
              </w:rPr>
              <w:t>Číslo místnosti</w:t>
            </w:r>
          </w:p>
        </w:tc>
        <w:tc>
          <w:tcPr>
            <w:tcW w:w="994" w:type="dxa"/>
          </w:tcPr>
          <w:p w14:paraId="3E0CB0A7" w14:textId="77777777" w:rsidR="004457AA" w:rsidRPr="00BF19E8" w:rsidRDefault="00293C5E">
            <w:pPr>
              <w:pStyle w:val="TableParagraph"/>
              <w:spacing w:before="1" w:line="242" w:lineRule="exact"/>
              <w:ind w:left="83" w:right="83"/>
              <w:jc w:val="center"/>
              <w:rPr>
                <w:b/>
                <w:sz w:val="18"/>
                <w:szCs w:val="18"/>
              </w:rPr>
            </w:pPr>
            <w:r w:rsidRPr="00BF19E8">
              <w:rPr>
                <w:b/>
                <w:sz w:val="18"/>
                <w:szCs w:val="18"/>
              </w:rPr>
              <w:t>Plocha</w:t>
            </w:r>
          </w:p>
          <w:p w14:paraId="07E1B948" w14:textId="77777777" w:rsidR="004457AA" w:rsidRPr="00BF19E8" w:rsidRDefault="00293C5E">
            <w:pPr>
              <w:pStyle w:val="TableParagraph"/>
              <w:spacing w:before="0" w:line="241" w:lineRule="exact"/>
              <w:ind w:left="87" w:right="83"/>
              <w:jc w:val="center"/>
              <w:rPr>
                <w:b/>
                <w:sz w:val="18"/>
                <w:szCs w:val="18"/>
              </w:rPr>
            </w:pPr>
            <w:r w:rsidRPr="00BF19E8">
              <w:rPr>
                <w:b/>
                <w:sz w:val="18"/>
                <w:szCs w:val="18"/>
              </w:rPr>
              <w:t>místnosti</w:t>
            </w:r>
          </w:p>
          <w:p w14:paraId="798DC4FC" w14:textId="1EA4A585" w:rsidR="004457AA" w:rsidRDefault="00BF19E8">
            <w:pPr>
              <w:pStyle w:val="TableParagraph"/>
              <w:spacing w:before="0" w:line="243" w:lineRule="exact"/>
              <w:ind w:left="168"/>
              <w:jc w:val="center"/>
              <w:rPr>
                <w:b/>
                <w:sz w:val="20"/>
              </w:rPr>
            </w:pPr>
            <w:r>
              <w:rPr>
                <w:b/>
                <w:w w:val="99"/>
                <w:sz w:val="18"/>
                <w:szCs w:val="18"/>
              </w:rPr>
              <w:t>(m</w:t>
            </w:r>
            <w:r w:rsidR="00293C5E" w:rsidRPr="00BF19E8">
              <w:rPr>
                <w:b/>
                <w:w w:val="99"/>
                <w:sz w:val="18"/>
                <w:szCs w:val="18"/>
              </w:rPr>
              <w:t>2</w:t>
            </w:r>
            <w:r>
              <w:rPr>
                <w:b/>
                <w:w w:val="99"/>
                <w:sz w:val="18"/>
                <w:szCs w:val="18"/>
              </w:rPr>
              <w:t>)</w:t>
            </w:r>
          </w:p>
        </w:tc>
        <w:tc>
          <w:tcPr>
            <w:tcW w:w="2127" w:type="dxa"/>
          </w:tcPr>
          <w:p w14:paraId="4ECB02D7" w14:textId="77777777" w:rsidR="004457AA" w:rsidRDefault="004457AA">
            <w:pPr>
              <w:pStyle w:val="TableParagraph"/>
              <w:spacing w:before="11"/>
              <w:rPr>
                <w:b/>
                <w:sz w:val="20"/>
              </w:rPr>
            </w:pPr>
          </w:p>
          <w:p w14:paraId="5D38BF5B" w14:textId="77777777" w:rsidR="004457AA" w:rsidRDefault="00293C5E">
            <w:pPr>
              <w:pStyle w:val="TableParagraph"/>
              <w:spacing w:before="1"/>
              <w:ind w:left="64"/>
              <w:rPr>
                <w:b/>
                <w:sz w:val="20"/>
              </w:rPr>
            </w:pPr>
            <w:r>
              <w:rPr>
                <w:b/>
                <w:sz w:val="20"/>
              </w:rPr>
              <w:t>Druh využití místnosti</w:t>
            </w:r>
          </w:p>
        </w:tc>
        <w:tc>
          <w:tcPr>
            <w:tcW w:w="2134" w:type="dxa"/>
          </w:tcPr>
          <w:p w14:paraId="6511EA50" w14:textId="77777777" w:rsidR="004457AA" w:rsidRDefault="004457AA">
            <w:pPr>
              <w:pStyle w:val="TableParagraph"/>
              <w:spacing w:before="11"/>
              <w:rPr>
                <w:b/>
                <w:sz w:val="20"/>
              </w:rPr>
            </w:pPr>
          </w:p>
          <w:p w14:paraId="7B56DA3F" w14:textId="77777777" w:rsidR="004457AA" w:rsidRDefault="00293C5E">
            <w:pPr>
              <w:pStyle w:val="TableParagraph"/>
              <w:spacing w:before="1"/>
              <w:ind w:left="69"/>
              <w:rPr>
                <w:b/>
                <w:sz w:val="20"/>
              </w:rPr>
            </w:pPr>
            <w:r>
              <w:rPr>
                <w:b/>
                <w:sz w:val="20"/>
              </w:rPr>
              <w:t>Podlaží</w:t>
            </w:r>
          </w:p>
        </w:tc>
        <w:tc>
          <w:tcPr>
            <w:tcW w:w="917" w:type="dxa"/>
          </w:tcPr>
          <w:p w14:paraId="4DFFA543" w14:textId="77777777" w:rsidR="004457AA" w:rsidRDefault="00293C5E">
            <w:pPr>
              <w:pStyle w:val="TableParagraph"/>
              <w:spacing w:before="116"/>
              <w:ind w:left="170" w:firstLine="112"/>
              <w:rPr>
                <w:b/>
                <w:sz w:val="20"/>
              </w:rPr>
            </w:pPr>
            <w:r>
              <w:rPr>
                <w:b/>
                <w:sz w:val="20"/>
              </w:rPr>
              <w:t xml:space="preserve">Typ </w:t>
            </w:r>
            <w:r>
              <w:rPr>
                <w:b/>
                <w:w w:val="90"/>
                <w:sz w:val="20"/>
              </w:rPr>
              <w:t>plochy</w:t>
            </w:r>
          </w:p>
        </w:tc>
        <w:tc>
          <w:tcPr>
            <w:tcW w:w="922" w:type="dxa"/>
          </w:tcPr>
          <w:p w14:paraId="6373D746" w14:textId="77777777" w:rsidR="004457AA" w:rsidRDefault="004457AA">
            <w:pPr>
              <w:pStyle w:val="TableParagraph"/>
              <w:spacing w:before="11"/>
              <w:rPr>
                <w:b/>
                <w:sz w:val="20"/>
              </w:rPr>
            </w:pPr>
          </w:p>
          <w:p w14:paraId="6E1693C2" w14:textId="77777777" w:rsidR="004457AA" w:rsidRDefault="00293C5E">
            <w:pPr>
              <w:pStyle w:val="TableParagraph"/>
              <w:spacing w:before="1"/>
              <w:ind w:left="68" w:right="72"/>
              <w:jc w:val="center"/>
              <w:rPr>
                <w:b/>
                <w:sz w:val="20"/>
              </w:rPr>
            </w:pPr>
            <w:r>
              <w:rPr>
                <w:b/>
                <w:sz w:val="20"/>
              </w:rPr>
              <w:t>Segment</w:t>
            </w:r>
          </w:p>
        </w:tc>
      </w:tr>
      <w:tr w:rsidR="004457AA" w14:paraId="67F8D0DC" w14:textId="77777777">
        <w:trPr>
          <w:trHeight w:hRule="exact" w:val="264"/>
        </w:trPr>
        <w:tc>
          <w:tcPr>
            <w:tcW w:w="857" w:type="dxa"/>
          </w:tcPr>
          <w:p w14:paraId="7F3F1B3F" w14:textId="77777777" w:rsidR="004457AA" w:rsidRDefault="00293C5E">
            <w:pPr>
              <w:pStyle w:val="TableParagraph"/>
              <w:ind w:right="2"/>
              <w:jc w:val="center"/>
              <w:rPr>
                <w:sz w:val="20"/>
              </w:rPr>
            </w:pPr>
            <w:r>
              <w:rPr>
                <w:w w:val="97"/>
                <w:sz w:val="20"/>
              </w:rPr>
              <w:t>1</w:t>
            </w:r>
          </w:p>
        </w:tc>
        <w:tc>
          <w:tcPr>
            <w:tcW w:w="1558" w:type="dxa"/>
          </w:tcPr>
          <w:p w14:paraId="33054988" w14:textId="77777777" w:rsidR="004457AA" w:rsidRDefault="00293C5E">
            <w:pPr>
              <w:pStyle w:val="TableParagraph"/>
              <w:ind w:left="64"/>
              <w:rPr>
                <w:sz w:val="20"/>
              </w:rPr>
            </w:pPr>
            <w:r>
              <w:rPr>
                <w:sz w:val="20"/>
              </w:rPr>
              <w:t>Z B3-110</w:t>
            </w:r>
          </w:p>
        </w:tc>
        <w:tc>
          <w:tcPr>
            <w:tcW w:w="994" w:type="dxa"/>
          </w:tcPr>
          <w:p w14:paraId="6CE2B3CE" w14:textId="77777777" w:rsidR="004457AA" w:rsidRDefault="00293C5E">
            <w:pPr>
              <w:pStyle w:val="TableParagraph"/>
              <w:ind w:left="83" w:right="83"/>
              <w:jc w:val="center"/>
              <w:rPr>
                <w:sz w:val="20"/>
              </w:rPr>
            </w:pPr>
            <w:r>
              <w:rPr>
                <w:sz w:val="20"/>
              </w:rPr>
              <w:t>31,8</w:t>
            </w:r>
          </w:p>
        </w:tc>
        <w:tc>
          <w:tcPr>
            <w:tcW w:w="2127" w:type="dxa"/>
          </w:tcPr>
          <w:p w14:paraId="5018D807" w14:textId="77777777" w:rsidR="004457AA" w:rsidRDefault="00293C5E">
            <w:pPr>
              <w:pStyle w:val="TableParagraph"/>
              <w:ind w:left="64"/>
              <w:rPr>
                <w:sz w:val="20"/>
              </w:rPr>
            </w:pPr>
            <w:r>
              <w:rPr>
                <w:sz w:val="20"/>
              </w:rPr>
              <w:t>kancelář</w:t>
            </w:r>
          </w:p>
        </w:tc>
        <w:tc>
          <w:tcPr>
            <w:tcW w:w="2134" w:type="dxa"/>
          </w:tcPr>
          <w:p w14:paraId="6424577D" w14:textId="77777777" w:rsidR="004457AA" w:rsidRDefault="00293C5E">
            <w:pPr>
              <w:pStyle w:val="TableParagraph"/>
              <w:ind w:left="69"/>
              <w:rPr>
                <w:sz w:val="20"/>
              </w:rPr>
            </w:pPr>
            <w:r>
              <w:rPr>
                <w:sz w:val="20"/>
              </w:rPr>
              <w:t>Budova ZB, přízemí</w:t>
            </w:r>
          </w:p>
        </w:tc>
        <w:tc>
          <w:tcPr>
            <w:tcW w:w="917" w:type="dxa"/>
          </w:tcPr>
          <w:p w14:paraId="613D332B" w14:textId="77777777" w:rsidR="004457AA" w:rsidRDefault="00293C5E">
            <w:pPr>
              <w:pStyle w:val="TableParagraph"/>
              <w:ind w:right="1"/>
              <w:jc w:val="center"/>
              <w:rPr>
                <w:sz w:val="20"/>
              </w:rPr>
            </w:pPr>
            <w:r>
              <w:rPr>
                <w:w w:val="97"/>
                <w:sz w:val="20"/>
              </w:rPr>
              <w:t>1</w:t>
            </w:r>
          </w:p>
        </w:tc>
        <w:tc>
          <w:tcPr>
            <w:tcW w:w="922" w:type="dxa"/>
          </w:tcPr>
          <w:p w14:paraId="03E0F3E2" w14:textId="77777777" w:rsidR="004457AA" w:rsidRDefault="00293C5E">
            <w:pPr>
              <w:pStyle w:val="TableParagraph"/>
              <w:ind w:left="68" w:right="68"/>
              <w:jc w:val="center"/>
              <w:rPr>
                <w:sz w:val="20"/>
              </w:rPr>
            </w:pPr>
            <w:r>
              <w:rPr>
                <w:sz w:val="20"/>
              </w:rPr>
              <w:t>R4</w:t>
            </w:r>
          </w:p>
        </w:tc>
      </w:tr>
      <w:tr w:rsidR="004457AA" w14:paraId="325B6467" w14:textId="77777777">
        <w:trPr>
          <w:trHeight w:hRule="exact" w:val="264"/>
        </w:trPr>
        <w:tc>
          <w:tcPr>
            <w:tcW w:w="857" w:type="dxa"/>
          </w:tcPr>
          <w:p w14:paraId="4F7164C2" w14:textId="77777777" w:rsidR="004457AA" w:rsidRDefault="00293C5E">
            <w:pPr>
              <w:pStyle w:val="TableParagraph"/>
              <w:ind w:right="2"/>
              <w:jc w:val="center"/>
              <w:rPr>
                <w:sz w:val="20"/>
              </w:rPr>
            </w:pPr>
            <w:r>
              <w:rPr>
                <w:w w:val="97"/>
                <w:sz w:val="20"/>
              </w:rPr>
              <w:t>2</w:t>
            </w:r>
          </w:p>
        </w:tc>
        <w:tc>
          <w:tcPr>
            <w:tcW w:w="1558" w:type="dxa"/>
          </w:tcPr>
          <w:p w14:paraId="4C334257" w14:textId="77777777" w:rsidR="004457AA" w:rsidRDefault="00293C5E">
            <w:pPr>
              <w:pStyle w:val="TableParagraph"/>
              <w:ind w:left="64"/>
              <w:rPr>
                <w:sz w:val="20"/>
              </w:rPr>
            </w:pPr>
            <w:r>
              <w:rPr>
                <w:sz w:val="20"/>
              </w:rPr>
              <w:t>Z B3-111</w:t>
            </w:r>
          </w:p>
        </w:tc>
        <w:tc>
          <w:tcPr>
            <w:tcW w:w="994" w:type="dxa"/>
          </w:tcPr>
          <w:p w14:paraId="6584D19B" w14:textId="77777777" w:rsidR="004457AA" w:rsidRDefault="00293C5E">
            <w:pPr>
              <w:pStyle w:val="TableParagraph"/>
              <w:ind w:left="83" w:right="83"/>
              <w:jc w:val="center"/>
              <w:rPr>
                <w:sz w:val="20"/>
              </w:rPr>
            </w:pPr>
            <w:r>
              <w:rPr>
                <w:sz w:val="20"/>
              </w:rPr>
              <w:t>8,9</w:t>
            </w:r>
          </w:p>
        </w:tc>
        <w:tc>
          <w:tcPr>
            <w:tcW w:w="2127" w:type="dxa"/>
          </w:tcPr>
          <w:p w14:paraId="336A0485" w14:textId="77777777" w:rsidR="004457AA" w:rsidRDefault="00293C5E">
            <w:pPr>
              <w:pStyle w:val="TableParagraph"/>
              <w:ind w:left="64"/>
              <w:rPr>
                <w:sz w:val="20"/>
              </w:rPr>
            </w:pPr>
            <w:r>
              <w:rPr>
                <w:sz w:val="20"/>
              </w:rPr>
              <w:t>WC, sprcha</w:t>
            </w:r>
          </w:p>
        </w:tc>
        <w:tc>
          <w:tcPr>
            <w:tcW w:w="2134" w:type="dxa"/>
          </w:tcPr>
          <w:p w14:paraId="053C3AA9" w14:textId="77777777" w:rsidR="004457AA" w:rsidRDefault="00293C5E">
            <w:pPr>
              <w:pStyle w:val="TableParagraph"/>
              <w:ind w:left="69"/>
              <w:rPr>
                <w:sz w:val="20"/>
              </w:rPr>
            </w:pPr>
            <w:r>
              <w:rPr>
                <w:sz w:val="20"/>
              </w:rPr>
              <w:t>Budova ZB, přízemí</w:t>
            </w:r>
          </w:p>
        </w:tc>
        <w:tc>
          <w:tcPr>
            <w:tcW w:w="917" w:type="dxa"/>
          </w:tcPr>
          <w:p w14:paraId="72A31EC9" w14:textId="77777777" w:rsidR="004457AA" w:rsidRDefault="00293C5E">
            <w:pPr>
              <w:pStyle w:val="TableParagraph"/>
              <w:ind w:right="1"/>
              <w:jc w:val="center"/>
              <w:rPr>
                <w:sz w:val="20"/>
              </w:rPr>
            </w:pPr>
            <w:r>
              <w:rPr>
                <w:w w:val="97"/>
                <w:sz w:val="20"/>
              </w:rPr>
              <w:t>5</w:t>
            </w:r>
          </w:p>
        </w:tc>
        <w:tc>
          <w:tcPr>
            <w:tcW w:w="922" w:type="dxa"/>
          </w:tcPr>
          <w:p w14:paraId="76E10A77" w14:textId="77777777" w:rsidR="004457AA" w:rsidRDefault="00293C5E">
            <w:pPr>
              <w:pStyle w:val="TableParagraph"/>
              <w:ind w:left="68" w:right="68"/>
              <w:jc w:val="center"/>
              <w:rPr>
                <w:sz w:val="20"/>
              </w:rPr>
            </w:pPr>
            <w:r>
              <w:rPr>
                <w:sz w:val="20"/>
              </w:rPr>
              <w:t>R4</w:t>
            </w:r>
          </w:p>
        </w:tc>
      </w:tr>
      <w:tr w:rsidR="004457AA" w14:paraId="5BD13582" w14:textId="77777777">
        <w:trPr>
          <w:trHeight w:hRule="exact" w:val="264"/>
        </w:trPr>
        <w:tc>
          <w:tcPr>
            <w:tcW w:w="857" w:type="dxa"/>
          </w:tcPr>
          <w:p w14:paraId="77278FEB" w14:textId="77777777" w:rsidR="004457AA" w:rsidRDefault="00293C5E">
            <w:pPr>
              <w:pStyle w:val="TableParagraph"/>
              <w:ind w:right="2"/>
              <w:jc w:val="center"/>
              <w:rPr>
                <w:sz w:val="20"/>
              </w:rPr>
            </w:pPr>
            <w:r>
              <w:rPr>
                <w:w w:val="97"/>
                <w:sz w:val="20"/>
              </w:rPr>
              <w:t>3</w:t>
            </w:r>
          </w:p>
        </w:tc>
        <w:tc>
          <w:tcPr>
            <w:tcW w:w="1558" w:type="dxa"/>
          </w:tcPr>
          <w:p w14:paraId="43C915AB" w14:textId="77777777" w:rsidR="004457AA" w:rsidRDefault="00293C5E">
            <w:pPr>
              <w:pStyle w:val="TableParagraph"/>
              <w:ind w:left="64"/>
              <w:rPr>
                <w:sz w:val="20"/>
              </w:rPr>
            </w:pPr>
            <w:r>
              <w:rPr>
                <w:sz w:val="20"/>
              </w:rPr>
              <w:t>Z B3-112</w:t>
            </w:r>
          </w:p>
        </w:tc>
        <w:tc>
          <w:tcPr>
            <w:tcW w:w="994" w:type="dxa"/>
          </w:tcPr>
          <w:p w14:paraId="14511F29" w14:textId="77777777" w:rsidR="004457AA" w:rsidRDefault="00293C5E">
            <w:pPr>
              <w:pStyle w:val="TableParagraph"/>
              <w:ind w:left="83" w:right="83"/>
              <w:jc w:val="center"/>
              <w:rPr>
                <w:sz w:val="20"/>
              </w:rPr>
            </w:pPr>
            <w:r>
              <w:rPr>
                <w:sz w:val="20"/>
              </w:rPr>
              <w:t>24,6</w:t>
            </w:r>
          </w:p>
        </w:tc>
        <w:tc>
          <w:tcPr>
            <w:tcW w:w="2127" w:type="dxa"/>
          </w:tcPr>
          <w:p w14:paraId="072519CD" w14:textId="77777777" w:rsidR="004457AA" w:rsidRDefault="00293C5E">
            <w:pPr>
              <w:pStyle w:val="TableParagraph"/>
              <w:ind w:left="64"/>
              <w:rPr>
                <w:sz w:val="20"/>
              </w:rPr>
            </w:pPr>
            <w:r>
              <w:rPr>
                <w:sz w:val="20"/>
              </w:rPr>
              <w:t>chodba</w:t>
            </w:r>
          </w:p>
        </w:tc>
        <w:tc>
          <w:tcPr>
            <w:tcW w:w="2134" w:type="dxa"/>
          </w:tcPr>
          <w:p w14:paraId="355B7FE6" w14:textId="77777777" w:rsidR="004457AA" w:rsidRDefault="00293C5E">
            <w:pPr>
              <w:pStyle w:val="TableParagraph"/>
              <w:ind w:left="69"/>
              <w:rPr>
                <w:sz w:val="20"/>
              </w:rPr>
            </w:pPr>
            <w:r>
              <w:rPr>
                <w:sz w:val="20"/>
              </w:rPr>
              <w:t>Budova ZB, přízemí</w:t>
            </w:r>
          </w:p>
        </w:tc>
        <w:tc>
          <w:tcPr>
            <w:tcW w:w="917" w:type="dxa"/>
          </w:tcPr>
          <w:p w14:paraId="12467DC3" w14:textId="77777777" w:rsidR="004457AA" w:rsidRDefault="00293C5E">
            <w:pPr>
              <w:pStyle w:val="TableParagraph"/>
              <w:ind w:right="1"/>
              <w:jc w:val="center"/>
              <w:rPr>
                <w:sz w:val="20"/>
              </w:rPr>
            </w:pPr>
            <w:r>
              <w:rPr>
                <w:w w:val="97"/>
                <w:sz w:val="20"/>
              </w:rPr>
              <w:t>6</w:t>
            </w:r>
          </w:p>
        </w:tc>
        <w:tc>
          <w:tcPr>
            <w:tcW w:w="922" w:type="dxa"/>
          </w:tcPr>
          <w:p w14:paraId="35536833" w14:textId="77777777" w:rsidR="004457AA" w:rsidRDefault="00293C5E">
            <w:pPr>
              <w:pStyle w:val="TableParagraph"/>
              <w:ind w:left="68" w:right="68"/>
              <w:jc w:val="center"/>
              <w:rPr>
                <w:sz w:val="20"/>
              </w:rPr>
            </w:pPr>
            <w:r>
              <w:rPr>
                <w:sz w:val="20"/>
              </w:rPr>
              <w:t>R4</w:t>
            </w:r>
          </w:p>
        </w:tc>
      </w:tr>
      <w:tr w:rsidR="004457AA" w14:paraId="2F0F5D1B" w14:textId="77777777">
        <w:trPr>
          <w:trHeight w:hRule="exact" w:val="266"/>
        </w:trPr>
        <w:tc>
          <w:tcPr>
            <w:tcW w:w="857" w:type="dxa"/>
          </w:tcPr>
          <w:p w14:paraId="03FE92EC" w14:textId="77777777" w:rsidR="004457AA" w:rsidRDefault="00293C5E">
            <w:pPr>
              <w:pStyle w:val="TableParagraph"/>
              <w:spacing w:before="8"/>
              <w:ind w:right="2"/>
              <w:jc w:val="center"/>
              <w:rPr>
                <w:sz w:val="20"/>
              </w:rPr>
            </w:pPr>
            <w:r>
              <w:rPr>
                <w:w w:val="97"/>
                <w:sz w:val="20"/>
              </w:rPr>
              <w:t>4</w:t>
            </w:r>
          </w:p>
        </w:tc>
        <w:tc>
          <w:tcPr>
            <w:tcW w:w="1558" w:type="dxa"/>
          </w:tcPr>
          <w:p w14:paraId="58572147" w14:textId="77777777" w:rsidR="004457AA" w:rsidRDefault="00293C5E">
            <w:pPr>
              <w:pStyle w:val="TableParagraph"/>
              <w:spacing w:before="8"/>
              <w:ind w:left="64"/>
              <w:rPr>
                <w:sz w:val="20"/>
              </w:rPr>
            </w:pPr>
            <w:r>
              <w:rPr>
                <w:sz w:val="20"/>
              </w:rPr>
              <w:t>B3-118</w:t>
            </w:r>
          </w:p>
        </w:tc>
        <w:tc>
          <w:tcPr>
            <w:tcW w:w="994" w:type="dxa"/>
          </w:tcPr>
          <w:p w14:paraId="21A48DD1" w14:textId="77777777" w:rsidR="004457AA" w:rsidRDefault="00293C5E">
            <w:pPr>
              <w:pStyle w:val="TableParagraph"/>
              <w:spacing w:before="8"/>
              <w:ind w:left="83" w:right="83"/>
              <w:jc w:val="center"/>
              <w:rPr>
                <w:sz w:val="20"/>
              </w:rPr>
            </w:pPr>
            <w:r>
              <w:rPr>
                <w:sz w:val="20"/>
              </w:rPr>
              <w:t>47,0</w:t>
            </w:r>
          </w:p>
        </w:tc>
        <w:tc>
          <w:tcPr>
            <w:tcW w:w="2127" w:type="dxa"/>
          </w:tcPr>
          <w:p w14:paraId="40E1496B" w14:textId="77777777" w:rsidR="004457AA" w:rsidRDefault="00293C5E">
            <w:pPr>
              <w:pStyle w:val="TableParagraph"/>
              <w:spacing w:before="8"/>
              <w:ind w:left="64"/>
              <w:rPr>
                <w:sz w:val="20"/>
              </w:rPr>
            </w:pPr>
            <w:r>
              <w:rPr>
                <w:sz w:val="20"/>
              </w:rPr>
              <w:t>ústředna</w:t>
            </w:r>
          </w:p>
        </w:tc>
        <w:tc>
          <w:tcPr>
            <w:tcW w:w="2134" w:type="dxa"/>
          </w:tcPr>
          <w:p w14:paraId="1DCA5415" w14:textId="77777777" w:rsidR="004457AA" w:rsidRDefault="00293C5E">
            <w:pPr>
              <w:pStyle w:val="TableParagraph"/>
              <w:spacing w:before="8"/>
              <w:ind w:left="69"/>
              <w:rPr>
                <w:sz w:val="20"/>
              </w:rPr>
            </w:pPr>
            <w:r>
              <w:rPr>
                <w:sz w:val="20"/>
              </w:rPr>
              <w:t>Budova ZB, přízemí</w:t>
            </w:r>
          </w:p>
        </w:tc>
        <w:tc>
          <w:tcPr>
            <w:tcW w:w="917" w:type="dxa"/>
          </w:tcPr>
          <w:p w14:paraId="760864AB" w14:textId="77777777" w:rsidR="004457AA" w:rsidRDefault="00293C5E">
            <w:pPr>
              <w:pStyle w:val="TableParagraph"/>
              <w:spacing w:before="8"/>
              <w:ind w:right="1"/>
              <w:jc w:val="center"/>
              <w:rPr>
                <w:sz w:val="20"/>
              </w:rPr>
            </w:pPr>
            <w:r>
              <w:rPr>
                <w:w w:val="97"/>
                <w:sz w:val="20"/>
              </w:rPr>
              <w:t>3</w:t>
            </w:r>
          </w:p>
        </w:tc>
        <w:tc>
          <w:tcPr>
            <w:tcW w:w="922" w:type="dxa"/>
          </w:tcPr>
          <w:p w14:paraId="3B0AF96B" w14:textId="77777777" w:rsidR="004457AA" w:rsidRDefault="00293C5E">
            <w:pPr>
              <w:pStyle w:val="TableParagraph"/>
              <w:spacing w:before="8"/>
              <w:ind w:left="68" w:right="68"/>
              <w:jc w:val="center"/>
              <w:rPr>
                <w:sz w:val="20"/>
              </w:rPr>
            </w:pPr>
            <w:r>
              <w:rPr>
                <w:sz w:val="20"/>
              </w:rPr>
              <w:t>R4</w:t>
            </w:r>
          </w:p>
        </w:tc>
      </w:tr>
    </w:tbl>
    <w:p w14:paraId="7B73A979" w14:textId="77777777" w:rsidR="004457AA" w:rsidRDefault="004457AA">
      <w:pPr>
        <w:pStyle w:val="Zkladntext"/>
        <w:rPr>
          <w:b/>
          <w:sz w:val="20"/>
        </w:rPr>
      </w:pPr>
    </w:p>
    <w:p w14:paraId="1F3990E7" w14:textId="77777777" w:rsidR="004457AA" w:rsidRDefault="004457AA">
      <w:pPr>
        <w:pStyle w:val="Zkladntext"/>
        <w:spacing w:before="6"/>
        <w:rPr>
          <w:b/>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7"/>
        <w:gridCol w:w="1592"/>
      </w:tblGrid>
      <w:tr w:rsidR="004457AA" w14:paraId="7646D46A" w14:textId="77777777">
        <w:trPr>
          <w:trHeight w:hRule="exact" w:val="828"/>
        </w:trPr>
        <w:tc>
          <w:tcPr>
            <w:tcW w:w="4827" w:type="dxa"/>
          </w:tcPr>
          <w:p w14:paraId="7E78B0D3" w14:textId="77777777" w:rsidR="004457AA" w:rsidRDefault="004457AA">
            <w:pPr>
              <w:pStyle w:val="TableParagraph"/>
              <w:spacing w:before="7"/>
              <w:rPr>
                <w:b/>
                <w:sz w:val="20"/>
              </w:rPr>
            </w:pPr>
          </w:p>
          <w:p w14:paraId="772496B8" w14:textId="77777777" w:rsidR="004457AA" w:rsidRDefault="00293C5E">
            <w:pPr>
              <w:pStyle w:val="TableParagraph"/>
              <w:spacing w:before="0"/>
              <w:ind w:left="67"/>
              <w:rPr>
                <w:b/>
                <w:sz w:val="20"/>
              </w:rPr>
            </w:pPr>
            <w:r>
              <w:rPr>
                <w:b/>
                <w:sz w:val="20"/>
              </w:rPr>
              <w:t>Typ plochy</w:t>
            </w:r>
          </w:p>
        </w:tc>
        <w:tc>
          <w:tcPr>
            <w:tcW w:w="1592" w:type="dxa"/>
          </w:tcPr>
          <w:p w14:paraId="51B70BA7" w14:textId="77777777" w:rsidR="004457AA" w:rsidRDefault="00293C5E">
            <w:pPr>
              <w:pStyle w:val="TableParagraph"/>
              <w:spacing w:before="229" w:line="168" w:lineRule="auto"/>
              <w:ind w:left="590" w:right="260" w:hanging="502"/>
              <w:rPr>
                <w:b/>
                <w:sz w:val="20"/>
              </w:rPr>
            </w:pPr>
            <w:r>
              <w:rPr>
                <w:b/>
                <w:sz w:val="20"/>
              </w:rPr>
              <w:t>Celkem plocha (m</w:t>
            </w:r>
            <w:r>
              <w:rPr>
                <w:b/>
                <w:position w:val="8"/>
                <w:sz w:val="20"/>
              </w:rPr>
              <w:t>2</w:t>
            </w:r>
            <w:r>
              <w:rPr>
                <w:b/>
                <w:sz w:val="20"/>
              </w:rPr>
              <w:t>)</w:t>
            </w:r>
          </w:p>
        </w:tc>
      </w:tr>
      <w:tr w:rsidR="004457AA" w14:paraId="6C3A8ADE" w14:textId="77777777">
        <w:trPr>
          <w:trHeight w:hRule="exact" w:val="302"/>
        </w:trPr>
        <w:tc>
          <w:tcPr>
            <w:tcW w:w="4827" w:type="dxa"/>
          </w:tcPr>
          <w:p w14:paraId="164FE30B" w14:textId="77777777" w:rsidR="004457AA" w:rsidRDefault="00293C5E">
            <w:pPr>
              <w:pStyle w:val="TableParagraph"/>
              <w:spacing w:before="13"/>
              <w:ind w:left="67"/>
              <w:rPr>
                <w:sz w:val="20"/>
              </w:rPr>
            </w:pPr>
            <w:r>
              <w:rPr>
                <w:sz w:val="20"/>
              </w:rPr>
              <w:t>1 - administrativa, pracovny</w:t>
            </w:r>
          </w:p>
        </w:tc>
        <w:tc>
          <w:tcPr>
            <w:tcW w:w="1592" w:type="dxa"/>
          </w:tcPr>
          <w:p w14:paraId="11C5CC47" w14:textId="77777777" w:rsidR="004457AA" w:rsidRDefault="00293C5E">
            <w:pPr>
              <w:pStyle w:val="TableParagraph"/>
              <w:spacing w:before="8"/>
              <w:ind w:right="588"/>
              <w:jc w:val="right"/>
              <w:rPr>
                <w:sz w:val="20"/>
              </w:rPr>
            </w:pPr>
            <w:r>
              <w:rPr>
                <w:sz w:val="20"/>
              </w:rPr>
              <w:t>32</w:t>
            </w:r>
          </w:p>
        </w:tc>
      </w:tr>
      <w:tr w:rsidR="004457AA" w14:paraId="6A27F3B0" w14:textId="77777777">
        <w:trPr>
          <w:trHeight w:hRule="exact" w:val="301"/>
        </w:trPr>
        <w:tc>
          <w:tcPr>
            <w:tcW w:w="4827" w:type="dxa"/>
          </w:tcPr>
          <w:p w14:paraId="1CEE6701" w14:textId="77777777" w:rsidR="004457AA" w:rsidRDefault="00293C5E">
            <w:pPr>
              <w:pStyle w:val="TableParagraph"/>
              <w:spacing w:before="14"/>
              <w:ind w:left="67"/>
              <w:rPr>
                <w:sz w:val="20"/>
              </w:rPr>
            </w:pPr>
            <w:r>
              <w:rPr>
                <w:sz w:val="20"/>
              </w:rPr>
              <w:t>2 - učebny, knihovny</w:t>
            </w:r>
          </w:p>
        </w:tc>
        <w:tc>
          <w:tcPr>
            <w:tcW w:w="1592" w:type="dxa"/>
          </w:tcPr>
          <w:p w14:paraId="00F24AB0" w14:textId="77777777" w:rsidR="004457AA" w:rsidRDefault="00293C5E">
            <w:pPr>
              <w:pStyle w:val="TableParagraph"/>
              <w:spacing w:before="7"/>
              <w:ind w:right="588"/>
              <w:jc w:val="right"/>
              <w:rPr>
                <w:sz w:val="20"/>
              </w:rPr>
            </w:pPr>
            <w:r>
              <w:rPr>
                <w:w w:val="99"/>
                <w:sz w:val="20"/>
              </w:rPr>
              <w:t>0</w:t>
            </w:r>
          </w:p>
        </w:tc>
      </w:tr>
      <w:tr w:rsidR="004457AA" w14:paraId="14EA6E39" w14:textId="77777777">
        <w:trPr>
          <w:trHeight w:hRule="exact" w:val="302"/>
        </w:trPr>
        <w:tc>
          <w:tcPr>
            <w:tcW w:w="4827" w:type="dxa"/>
          </w:tcPr>
          <w:p w14:paraId="19BC9828" w14:textId="77777777" w:rsidR="004457AA" w:rsidRDefault="00293C5E">
            <w:pPr>
              <w:pStyle w:val="TableParagraph"/>
              <w:spacing w:before="13"/>
              <w:ind w:left="67"/>
              <w:rPr>
                <w:sz w:val="20"/>
              </w:rPr>
            </w:pPr>
            <w:r>
              <w:rPr>
                <w:sz w:val="20"/>
              </w:rPr>
              <w:t>3 - laboratoře, zkušebny, dílny</w:t>
            </w:r>
          </w:p>
        </w:tc>
        <w:tc>
          <w:tcPr>
            <w:tcW w:w="1592" w:type="dxa"/>
          </w:tcPr>
          <w:p w14:paraId="73260714" w14:textId="77777777" w:rsidR="004457AA" w:rsidRDefault="00293C5E">
            <w:pPr>
              <w:pStyle w:val="TableParagraph"/>
              <w:ind w:right="588"/>
              <w:jc w:val="right"/>
              <w:rPr>
                <w:sz w:val="20"/>
              </w:rPr>
            </w:pPr>
            <w:r>
              <w:rPr>
                <w:sz w:val="20"/>
              </w:rPr>
              <w:t>47</w:t>
            </w:r>
          </w:p>
        </w:tc>
      </w:tr>
      <w:tr w:rsidR="004457AA" w14:paraId="3D026749" w14:textId="77777777">
        <w:trPr>
          <w:trHeight w:hRule="exact" w:val="300"/>
        </w:trPr>
        <w:tc>
          <w:tcPr>
            <w:tcW w:w="4827" w:type="dxa"/>
          </w:tcPr>
          <w:p w14:paraId="0093402D" w14:textId="77777777" w:rsidR="004457AA" w:rsidRDefault="00293C5E">
            <w:pPr>
              <w:pStyle w:val="TableParagraph"/>
              <w:spacing w:before="13"/>
              <w:ind w:left="67"/>
              <w:rPr>
                <w:sz w:val="20"/>
              </w:rPr>
            </w:pPr>
            <w:r>
              <w:rPr>
                <w:sz w:val="20"/>
              </w:rPr>
              <w:t>4 - sklady, archivy, komory, půda</w:t>
            </w:r>
          </w:p>
        </w:tc>
        <w:tc>
          <w:tcPr>
            <w:tcW w:w="1592" w:type="dxa"/>
          </w:tcPr>
          <w:p w14:paraId="2C11AC0E" w14:textId="77777777" w:rsidR="004457AA" w:rsidRDefault="00293C5E">
            <w:pPr>
              <w:pStyle w:val="TableParagraph"/>
              <w:ind w:right="588"/>
              <w:jc w:val="right"/>
              <w:rPr>
                <w:sz w:val="20"/>
              </w:rPr>
            </w:pPr>
            <w:r>
              <w:rPr>
                <w:w w:val="99"/>
                <w:sz w:val="20"/>
              </w:rPr>
              <w:t>0</w:t>
            </w:r>
          </w:p>
        </w:tc>
      </w:tr>
      <w:tr w:rsidR="004457AA" w14:paraId="4608A7D4" w14:textId="77777777">
        <w:trPr>
          <w:trHeight w:hRule="exact" w:val="300"/>
        </w:trPr>
        <w:tc>
          <w:tcPr>
            <w:tcW w:w="4827" w:type="dxa"/>
          </w:tcPr>
          <w:p w14:paraId="20412477" w14:textId="77777777" w:rsidR="004457AA" w:rsidRDefault="00293C5E">
            <w:pPr>
              <w:pStyle w:val="TableParagraph"/>
              <w:spacing w:before="13"/>
              <w:ind w:left="67"/>
              <w:rPr>
                <w:sz w:val="20"/>
              </w:rPr>
            </w:pPr>
            <w:r>
              <w:rPr>
                <w:sz w:val="20"/>
              </w:rPr>
              <w:t>5 - WC, umývárny, šatny, úklid, kuchyňka</w:t>
            </w:r>
          </w:p>
        </w:tc>
        <w:tc>
          <w:tcPr>
            <w:tcW w:w="1592" w:type="dxa"/>
          </w:tcPr>
          <w:p w14:paraId="7E20A937" w14:textId="77777777" w:rsidR="004457AA" w:rsidRDefault="00293C5E">
            <w:pPr>
              <w:pStyle w:val="TableParagraph"/>
              <w:ind w:right="588"/>
              <w:jc w:val="right"/>
              <w:rPr>
                <w:sz w:val="20"/>
              </w:rPr>
            </w:pPr>
            <w:r>
              <w:rPr>
                <w:w w:val="99"/>
                <w:sz w:val="20"/>
              </w:rPr>
              <w:t>9</w:t>
            </w:r>
          </w:p>
        </w:tc>
      </w:tr>
      <w:tr w:rsidR="004457AA" w14:paraId="6253F9FB" w14:textId="77777777">
        <w:trPr>
          <w:trHeight w:hRule="exact" w:val="300"/>
        </w:trPr>
        <w:tc>
          <w:tcPr>
            <w:tcW w:w="4827" w:type="dxa"/>
          </w:tcPr>
          <w:p w14:paraId="551B4BCD" w14:textId="77777777" w:rsidR="004457AA" w:rsidRDefault="00293C5E">
            <w:pPr>
              <w:pStyle w:val="TableParagraph"/>
              <w:spacing w:before="13"/>
              <w:ind w:left="67"/>
              <w:rPr>
                <w:sz w:val="20"/>
              </w:rPr>
            </w:pPr>
            <w:r>
              <w:rPr>
                <w:sz w:val="20"/>
              </w:rPr>
              <w:t>6 - chodby, schodiště, předsíně</w:t>
            </w:r>
          </w:p>
        </w:tc>
        <w:tc>
          <w:tcPr>
            <w:tcW w:w="1592" w:type="dxa"/>
          </w:tcPr>
          <w:p w14:paraId="1337E4DF" w14:textId="77777777" w:rsidR="004457AA" w:rsidRDefault="00293C5E">
            <w:pPr>
              <w:pStyle w:val="TableParagraph"/>
              <w:ind w:right="588"/>
              <w:jc w:val="right"/>
              <w:rPr>
                <w:sz w:val="20"/>
              </w:rPr>
            </w:pPr>
            <w:r>
              <w:rPr>
                <w:sz w:val="20"/>
              </w:rPr>
              <w:t>25</w:t>
            </w:r>
          </w:p>
        </w:tc>
      </w:tr>
      <w:tr w:rsidR="004457AA" w14:paraId="5A18F451" w14:textId="77777777">
        <w:trPr>
          <w:trHeight w:hRule="exact" w:val="302"/>
        </w:trPr>
        <w:tc>
          <w:tcPr>
            <w:tcW w:w="4827" w:type="dxa"/>
          </w:tcPr>
          <w:p w14:paraId="4AA9EA26" w14:textId="77777777" w:rsidR="004457AA" w:rsidRDefault="00293C5E">
            <w:pPr>
              <w:pStyle w:val="TableParagraph"/>
              <w:spacing w:before="20"/>
              <w:ind w:left="67"/>
              <w:rPr>
                <w:b/>
                <w:sz w:val="20"/>
              </w:rPr>
            </w:pPr>
            <w:r>
              <w:rPr>
                <w:b/>
                <w:sz w:val="20"/>
              </w:rPr>
              <w:t>Celkem</w:t>
            </w:r>
          </w:p>
        </w:tc>
        <w:tc>
          <w:tcPr>
            <w:tcW w:w="1592" w:type="dxa"/>
          </w:tcPr>
          <w:p w14:paraId="73889715" w14:textId="77777777" w:rsidR="004457AA" w:rsidRDefault="00293C5E">
            <w:pPr>
              <w:pStyle w:val="TableParagraph"/>
              <w:spacing w:before="13"/>
              <w:ind w:right="590"/>
              <w:jc w:val="right"/>
              <w:rPr>
                <w:b/>
                <w:sz w:val="20"/>
              </w:rPr>
            </w:pPr>
            <w:r>
              <w:rPr>
                <w:b/>
                <w:sz w:val="20"/>
              </w:rPr>
              <w:t>112</w:t>
            </w:r>
          </w:p>
        </w:tc>
      </w:tr>
    </w:tbl>
    <w:p w14:paraId="0A61B2A7" w14:textId="77777777" w:rsidR="004457AA" w:rsidRDefault="004457AA">
      <w:pPr>
        <w:pStyle w:val="Zkladntext"/>
        <w:spacing w:before="6"/>
        <w:rPr>
          <w:b/>
          <w:sz w:val="28"/>
        </w:rPr>
      </w:pPr>
    </w:p>
    <w:p w14:paraId="610F615F" w14:textId="77777777" w:rsidR="004457AA" w:rsidRDefault="00FF0CB5">
      <w:pPr>
        <w:tabs>
          <w:tab w:val="left" w:pos="5159"/>
        </w:tabs>
        <w:spacing w:before="1"/>
        <w:ind w:left="193"/>
        <w:rPr>
          <w:sz w:val="20"/>
        </w:rPr>
      </w:pPr>
      <w:r>
        <w:pict w14:anchorId="2DEBDF76">
          <v:shapetype id="_x0000_t202" coordsize="21600,21600" o:spt="202" path="m,l,21600r21600,l21600,xe">
            <v:stroke joinstyle="miter"/>
            <v:path gradientshapeok="t" o:connecttype="rect"/>
          </v:shapetype>
          <v:shape id="_x0000_s1026" type="#_x0000_t202" style="position:absolute;left:0;text-align:left;margin-left:265.5pt;margin-top:5.9pt;width:64.45pt;height:50.4pt;z-index:1120;mso-position-horizontal-relative:page"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tblGrid>
                  <w:tr w:rsidR="004457AA" w14:paraId="5042C8F0" w14:textId="77777777">
                    <w:trPr>
                      <w:trHeight w:hRule="exact" w:val="264"/>
                    </w:trPr>
                    <w:tc>
                      <w:tcPr>
                        <w:tcW w:w="1274" w:type="dxa"/>
                      </w:tcPr>
                      <w:p w14:paraId="756574E7" w14:textId="77777777" w:rsidR="004457AA" w:rsidRDefault="00293C5E">
                        <w:pPr>
                          <w:pStyle w:val="TableParagraph"/>
                          <w:spacing w:before="8"/>
                          <w:ind w:right="338"/>
                          <w:jc w:val="right"/>
                          <w:rPr>
                            <w:sz w:val="20"/>
                          </w:rPr>
                        </w:pPr>
                        <w:r>
                          <w:rPr>
                            <w:sz w:val="20"/>
                          </w:rPr>
                          <w:t>40 639</w:t>
                        </w:r>
                      </w:p>
                    </w:tc>
                  </w:tr>
                  <w:tr w:rsidR="004457AA" w14:paraId="46BE3E01" w14:textId="77777777">
                    <w:trPr>
                      <w:trHeight w:hRule="exact" w:val="264"/>
                    </w:trPr>
                    <w:tc>
                      <w:tcPr>
                        <w:tcW w:w="1274" w:type="dxa"/>
                      </w:tcPr>
                      <w:p w14:paraId="2D238551" w14:textId="77777777" w:rsidR="004457AA" w:rsidRDefault="00293C5E">
                        <w:pPr>
                          <w:pStyle w:val="TableParagraph"/>
                          <w:spacing w:before="8"/>
                          <w:ind w:right="341"/>
                          <w:jc w:val="right"/>
                          <w:rPr>
                            <w:sz w:val="20"/>
                          </w:rPr>
                        </w:pPr>
                        <w:r>
                          <w:rPr>
                            <w:sz w:val="20"/>
                          </w:rPr>
                          <w:t>112</w:t>
                        </w:r>
                      </w:p>
                    </w:tc>
                  </w:tr>
                  <w:tr w:rsidR="004457AA" w14:paraId="201471FE" w14:textId="77777777">
                    <w:trPr>
                      <w:trHeight w:hRule="exact" w:val="470"/>
                    </w:trPr>
                    <w:tc>
                      <w:tcPr>
                        <w:tcW w:w="1274" w:type="dxa"/>
                      </w:tcPr>
                      <w:p w14:paraId="0B5D9471" w14:textId="77777777" w:rsidR="004457AA" w:rsidRDefault="00293C5E">
                        <w:pPr>
                          <w:pStyle w:val="TableParagraph"/>
                          <w:spacing w:before="104"/>
                          <w:ind w:right="298"/>
                          <w:jc w:val="right"/>
                          <w:rPr>
                            <w:b/>
                            <w:sz w:val="20"/>
                          </w:rPr>
                        </w:pPr>
                        <w:r>
                          <w:rPr>
                            <w:b/>
                            <w:sz w:val="20"/>
                          </w:rPr>
                          <w:t>0,28 %</w:t>
                        </w:r>
                      </w:p>
                    </w:tc>
                  </w:tr>
                </w:tbl>
                <w:p w14:paraId="4B65E6ED" w14:textId="77777777" w:rsidR="004457AA" w:rsidRDefault="004457AA">
                  <w:pPr>
                    <w:pStyle w:val="Zkladntext"/>
                  </w:pPr>
                </w:p>
              </w:txbxContent>
            </v:textbox>
            <w10:wrap anchorx="page"/>
          </v:shape>
        </w:pict>
      </w:r>
      <w:r w:rsidR="00293C5E">
        <w:rPr>
          <w:sz w:val="20"/>
        </w:rPr>
        <w:t>Celková plocha budovy č.p.</w:t>
      </w:r>
      <w:r w:rsidR="00293C5E">
        <w:rPr>
          <w:spacing w:val="-5"/>
          <w:sz w:val="20"/>
        </w:rPr>
        <w:t xml:space="preserve"> </w:t>
      </w:r>
      <w:r w:rsidR="00293C5E">
        <w:rPr>
          <w:sz w:val="20"/>
        </w:rPr>
        <w:t>1903</w:t>
      </w:r>
      <w:r w:rsidR="00293C5E">
        <w:rPr>
          <w:spacing w:val="-2"/>
          <w:sz w:val="20"/>
        </w:rPr>
        <w:t xml:space="preserve"> </w:t>
      </w:r>
      <w:r w:rsidR="00293C5E">
        <w:rPr>
          <w:sz w:val="20"/>
        </w:rPr>
        <w:t>(m</w:t>
      </w:r>
      <w:r w:rsidR="00293C5E">
        <w:rPr>
          <w:position w:val="8"/>
          <w:sz w:val="20"/>
        </w:rPr>
        <w:t>2</w:t>
      </w:r>
      <w:r w:rsidR="00293C5E">
        <w:rPr>
          <w:sz w:val="20"/>
        </w:rPr>
        <w:t>)</w:t>
      </w:r>
      <w:r w:rsidR="00293C5E">
        <w:rPr>
          <w:sz w:val="20"/>
        </w:rPr>
        <w:tab/>
        <w:t>bez</w:t>
      </w:r>
      <w:r w:rsidR="00293C5E">
        <w:rPr>
          <w:spacing w:val="-7"/>
          <w:sz w:val="20"/>
        </w:rPr>
        <w:t xml:space="preserve"> </w:t>
      </w:r>
      <w:r w:rsidR="00293C5E">
        <w:rPr>
          <w:sz w:val="20"/>
        </w:rPr>
        <w:t>dvorů</w:t>
      </w:r>
    </w:p>
    <w:p w14:paraId="261755E6" w14:textId="77777777" w:rsidR="004457AA" w:rsidRDefault="00293C5E">
      <w:pPr>
        <w:tabs>
          <w:tab w:val="left" w:pos="5159"/>
        </w:tabs>
        <w:spacing w:before="96"/>
        <w:ind w:left="193"/>
        <w:rPr>
          <w:sz w:val="20"/>
        </w:rPr>
      </w:pPr>
      <w:r>
        <w:rPr>
          <w:sz w:val="20"/>
        </w:rPr>
        <w:t>Pronajímaná</w:t>
      </w:r>
      <w:r>
        <w:rPr>
          <w:spacing w:val="-2"/>
          <w:sz w:val="20"/>
        </w:rPr>
        <w:t xml:space="preserve"> </w:t>
      </w:r>
      <w:r>
        <w:rPr>
          <w:sz w:val="20"/>
        </w:rPr>
        <w:t>plocha</w:t>
      </w:r>
      <w:r>
        <w:rPr>
          <w:spacing w:val="-2"/>
          <w:sz w:val="20"/>
        </w:rPr>
        <w:t xml:space="preserve"> </w:t>
      </w:r>
      <w:r>
        <w:rPr>
          <w:sz w:val="20"/>
        </w:rPr>
        <w:t>(m</w:t>
      </w:r>
      <w:r>
        <w:rPr>
          <w:position w:val="8"/>
          <w:sz w:val="20"/>
        </w:rPr>
        <w:t>2</w:t>
      </w:r>
      <w:r>
        <w:rPr>
          <w:sz w:val="20"/>
        </w:rPr>
        <w:t>)</w:t>
      </w:r>
      <w:r>
        <w:rPr>
          <w:sz w:val="20"/>
        </w:rPr>
        <w:tab/>
        <w:t>bez</w:t>
      </w:r>
      <w:r>
        <w:rPr>
          <w:spacing w:val="-7"/>
          <w:sz w:val="20"/>
        </w:rPr>
        <w:t xml:space="preserve"> </w:t>
      </w:r>
      <w:r>
        <w:rPr>
          <w:sz w:val="20"/>
        </w:rPr>
        <w:t>dvorů</w:t>
      </w:r>
    </w:p>
    <w:p w14:paraId="684730F8" w14:textId="77777777" w:rsidR="004457AA" w:rsidRDefault="00293C5E">
      <w:pPr>
        <w:tabs>
          <w:tab w:val="left" w:pos="5159"/>
        </w:tabs>
        <w:spacing w:before="113" w:line="348" w:lineRule="auto"/>
        <w:ind w:left="5159" w:right="1551" w:hanging="4967"/>
        <w:rPr>
          <w:sz w:val="20"/>
        </w:rPr>
      </w:pPr>
      <w:r>
        <w:rPr>
          <w:sz w:val="20"/>
        </w:rPr>
        <w:t>Podíl pronajaté</w:t>
      </w:r>
      <w:r>
        <w:rPr>
          <w:spacing w:val="-5"/>
          <w:sz w:val="20"/>
        </w:rPr>
        <w:t xml:space="preserve"> </w:t>
      </w:r>
      <w:r>
        <w:rPr>
          <w:sz w:val="20"/>
        </w:rPr>
        <w:t>plochy</w:t>
      </w:r>
      <w:r>
        <w:rPr>
          <w:spacing w:val="-2"/>
          <w:sz w:val="20"/>
        </w:rPr>
        <w:t xml:space="preserve"> </w:t>
      </w:r>
      <w:r>
        <w:rPr>
          <w:sz w:val="20"/>
        </w:rPr>
        <w:t>(%):</w:t>
      </w:r>
      <w:r>
        <w:rPr>
          <w:sz w:val="20"/>
        </w:rPr>
        <w:tab/>
        <w:t>pro výpočet platby za</w:t>
      </w:r>
      <w:r>
        <w:rPr>
          <w:spacing w:val="-9"/>
          <w:sz w:val="20"/>
        </w:rPr>
        <w:t xml:space="preserve"> </w:t>
      </w:r>
      <w:r>
        <w:rPr>
          <w:sz w:val="20"/>
        </w:rPr>
        <w:t>spotřebu</w:t>
      </w:r>
      <w:r>
        <w:rPr>
          <w:spacing w:val="-3"/>
          <w:sz w:val="20"/>
        </w:rPr>
        <w:t xml:space="preserve"> </w:t>
      </w:r>
      <w:r>
        <w:rPr>
          <w:sz w:val="20"/>
        </w:rPr>
        <w:t>tepla,</w:t>
      </w:r>
      <w:r>
        <w:rPr>
          <w:w w:val="99"/>
          <w:sz w:val="20"/>
        </w:rPr>
        <w:t xml:space="preserve"> </w:t>
      </w:r>
      <w:r>
        <w:rPr>
          <w:sz w:val="20"/>
        </w:rPr>
        <w:t>vody a za</w:t>
      </w:r>
      <w:r>
        <w:rPr>
          <w:spacing w:val="-4"/>
          <w:sz w:val="20"/>
        </w:rPr>
        <w:t xml:space="preserve"> </w:t>
      </w:r>
      <w:r>
        <w:rPr>
          <w:sz w:val="20"/>
        </w:rPr>
        <w:t>stočné</w:t>
      </w:r>
    </w:p>
    <w:p w14:paraId="0E2E80D3" w14:textId="77777777" w:rsidR="004457AA" w:rsidRDefault="004457AA">
      <w:pPr>
        <w:spacing w:line="348" w:lineRule="auto"/>
        <w:rPr>
          <w:sz w:val="20"/>
        </w:rPr>
        <w:sectPr w:rsidR="004457AA">
          <w:pgSz w:w="11910" w:h="16840"/>
          <w:pgMar w:top="1360" w:right="680" w:bottom="960" w:left="1480" w:header="0" w:footer="773" w:gutter="0"/>
          <w:cols w:space="708"/>
        </w:sectPr>
      </w:pPr>
    </w:p>
    <w:p w14:paraId="2910D341" w14:textId="77777777" w:rsidR="004457AA" w:rsidRDefault="00293C5E">
      <w:pPr>
        <w:pStyle w:val="Nadpis2"/>
        <w:spacing w:before="37"/>
      </w:pPr>
      <w:r>
        <w:lastRenderedPageBreak/>
        <w:t>Příloha č. 2: Provozní řád</w:t>
      </w:r>
    </w:p>
    <w:p w14:paraId="05852BB9" w14:textId="77777777" w:rsidR="004457AA" w:rsidRDefault="004457AA">
      <w:pPr>
        <w:pStyle w:val="Zkladntext"/>
        <w:rPr>
          <w:b/>
        </w:rPr>
      </w:pPr>
    </w:p>
    <w:p w14:paraId="60EB1A24" w14:textId="77777777" w:rsidR="004457AA" w:rsidRDefault="00293C5E">
      <w:pPr>
        <w:spacing w:before="181"/>
        <w:ind w:left="118"/>
        <w:rPr>
          <w:b/>
        </w:rPr>
      </w:pPr>
      <w:r>
        <w:rPr>
          <w:b/>
        </w:rPr>
        <w:t xml:space="preserve">Aktuální znění na webových stránkách </w:t>
      </w:r>
      <w:hyperlink r:id="rId8">
        <w:r>
          <w:rPr>
            <w:b/>
            <w:color w:val="0000FF"/>
            <w:u w:val="single" w:color="0000FF"/>
          </w:rPr>
          <w:t>www.vscht.cz</w:t>
        </w:r>
      </w:hyperlink>
    </w:p>
    <w:p w14:paraId="3656D149" w14:textId="77777777" w:rsidR="004457AA" w:rsidRDefault="004457AA">
      <w:pPr>
        <w:sectPr w:rsidR="004457AA">
          <w:pgSz w:w="11910" w:h="16840"/>
          <w:pgMar w:top="1360" w:right="1680" w:bottom="960" w:left="1480" w:header="0" w:footer="773" w:gutter="0"/>
          <w:cols w:space="708"/>
        </w:sectPr>
      </w:pPr>
    </w:p>
    <w:p w14:paraId="3BA7C12D" w14:textId="77777777" w:rsidR="004457AA" w:rsidRDefault="00293C5E">
      <w:pPr>
        <w:spacing w:before="37" w:line="278" w:lineRule="auto"/>
        <w:ind w:left="1530" w:right="1233" w:hanging="1419"/>
        <w:rPr>
          <w:b/>
        </w:rPr>
      </w:pPr>
      <w:r>
        <w:rPr>
          <w:b/>
        </w:rPr>
        <w:lastRenderedPageBreak/>
        <w:t>Příloha č. 3: Seznam elektrických podružných rozvaděčů, jejichž údržbu, opravy a revize zajišťuje nájemce</w:t>
      </w:r>
    </w:p>
    <w:p w14:paraId="2DAAA527" w14:textId="77777777" w:rsidR="004457AA" w:rsidRDefault="004457AA">
      <w:pPr>
        <w:pStyle w:val="Zkladntext"/>
        <w:spacing w:before="2"/>
        <w:rPr>
          <w:b/>
          <w:sz w:val="17"/>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4"/>
        <w:gridCol w:w="3612"/>
        <w:gridCol w:w="2381"/>
      </w:tblGrid>
      <w:tr w:rsidR="004457AA" w14:paraId="4B2481EB" w14:textId="77777777">
        <w:trPr>
          <w:trHeight w:hRule="exact" w:val="302"/>
        </w:trPr>
        <w:tc>
          <w:tcPr>
            <w:tcW w:w="3034" w:type="dxa"/>
          </w:tcPr>
          <w:p w14:paraId="068E9FCA" w14:textId="77777777" w:rsidR="004457AA" w:rsidRDefault="00293C5E">
            <w:pPr>
              <w:pStyle w:val="TableParagraph"/>
              <w:spacing w:before="0" w:line="261" w:lineRule="exact"/>
              <w:ind w:left="105"/>
              <w:rPr>
                <w:b/>
              </w:rPr>
            </w:pPr>
            <w:r>
              <w:rPr>
                <w:b/>
              </w:rPr>
              <w:t>Označení rozvaděče</w:t>
            </w:r>
          </w:p>
        </w:tc>
        <w:tc>
          <w:tcPr>
            <w:tcW w:w="3612" w:type="dxa"/>
          </w:tcPr>
          <w:p w14:paraId="2894BAF6" w14:textId="77777777" w:rsidR="004457AA" w:rsidRDefault="00293C5E">
            <w:pPr>
              <w:pStyle w:val="TableParagraph"/>
              <w:spacing w:before="0" w:line="261" w:lineRule="exact"/>
              <w:ind w:left="103"/>
              <w:rPr>
                <w:b/>
              </w:rPr>
            </w:pPr>
            <w:r>
              <w:rPr>
                <w:b/>
              </w:rPr>
              <w:t>Umístění rozvaděče</w:t>
            </w:r>
          </w:p>
        </w:tc>
        <w:tc>
          <w:tcPr>
            <w:tcW w:w="2381" w:type="dxa"/>
          </w:tcPr>
          <w:p w14:paraId="6CD53A25" w14:textId="77777777" w:rsidR="004457AA" w:rsidRDefault="00293C5E">
            <w:pPr>
              <w:pStyle w:val="TableParagraph"/>
              <w:spacing w:before="0" w:line="261" w:lineRule="exact"/>
              <w:ind w:left="105"/>
              <w:rPr>
                <w:b/>
              </w:rPr>
            </w:pPr>
            <w:r>
              <w:rPr>
                <w:b/>
              </w:rPr>
              <w:t>Segment budovy</w:t>
            </w:r>
          </w:p>
        </w:tc>
      </w:tr>
      <w:tr w:rsidR="004457AA" w14:paraId="229B6F15" w14:textId="77777777">
        <w:trPr>
          <w:trHeight w:hRule="exact" w:val="300"/>
        </w:trPr>
        <w:tc>
          <w:tcPr>
            <w:tcW w:w="3034" w:type="dxa"/>
          </w:tcPr>
          <w:p w14:paraId="5299048A" w14:textId="77777777" w:rsidR="004457AA" w:rsidRDefault="00293C5E">
            <w:pPr>
              <w:pStyle w:val="TableParagraph"/>
              <w:spacing w:before="0" w:line="256" w:lineRule="exact"/>
              <w:ind w:left="105"/>
            </w:pPr>
            <w:r>
              <w:t>RA 2-1</w:t>
            </w:r>
          </w:p>
        </w:tc>
        <w:tc>
          <w:tcPr>
            <w:tcW w:w="3612" w:type="dxa"/>
          </w:tcPr>
          <w:p w14:paraId="534FF8C0" w14:textId="77777777" w:rsidR="004457AA" w:rsidRDefault="00293C5E">
            <w:pPr>
              <w:pStyle w:val="TableParagraph"/>
              <w:spacing w:before="0" w:line="256" w:lineRule="exact"/>
              <w:ind w:left="103"/>
            </w:pPr>
            <w:r>
              <w:t>Budova ZB, přízemí (B3-112)</w:t>
            </w:r>
          </w:p>
        </w:tc>
        <w:tc>
          <w:tcPr>
            <w:tcW w:w="2381" w:type="dxa"/>
          </w:tcPr>
          <w:p w14:paraId="3E06B6B1" w14:textId="77777777" w:rsidR="004457AA" w:rsidRDefault="00293C5E">
            <w:pPr>
              <w:pStyle w:val="TableParagraph"/>
              <w:spacing w:before="0" w:line="256" w:lineRule="exact"/>
              <w:ind w:left="105"/>
            </w:pPr>
            <w:r>
              <w:t>R4</w:t>
            </w:r>
          </w:p>
        </w:tc>
      </w:tr>
      <w:tr w:rsidR="004457AA" w14:paraId="733DACEB" w14:textId="77777777">
        <w:trPr>
          <w:trHeight w:hRule="exact" w:val="302"/>
        </w:trPr>
        <w:tc>
          <w:tcPr>
            <w:tcW w:w="3034" w:type="dxa"/>
          </w:tcPr>
          <w:p w14:paraId="400136BF" w14:textId="77777777" w:rsidR="004457AA" w:rsidRDefault="00293C5E">
            <w:pPr>
              <w:pStyle w:val="TableParagraph"/>
              <w:spacing w:before="0" w:line="256" w:lineRule="exact"/>
              <w:ind w:left="105"/>
            </w:pPr>
            <w:r>
              <w:t>RB 2-1</w:t>
            </w:r>
          </w:p>
        </w:tc>
        <w:tc>
          <w:tcPr>
            <w:tcW w:w="3612" w:type="dxa"/>
          </w:tcPr>
          <w:p w14:paraId="099E071F" w14:textId="77777777" w:rsidR="004457AA" w:rsidRDefault="00293C5E">
            <w:pPr>
              <w:pStyle w:val="TableParagraph"/>
              <w:spacing w:before="0" w:line="256" w:lineRule="exact"/>
              <w:ind w:left="103"/>
            </w:pPr>
            <w:r>
              <w:t>Budova ZB, přízemí (B3-112)</w:t>
            </w:r>
          </w:p>
        </w:tc>
        <w:tc>
          <w:tcPr>
            <w:tcW w:w="2381" w:type="dxa"/>
          </w:tcPr>
          <w:p w14:paraId="0E83D98D" w14:textId="77777777" w:rsidR="004457AA" w:rsidRDefault="00293C5E">
            <w:pPr>
              <w:pStyle w:val="TableParagraph"/>
              <w:spacing w:before="0" w:line="256" w:lineRule="exact"/>
              <w:ind w:left="105"/>
            </w:pPr>
            <w:r>
              <w:t>R4</w:t>
            </w:r>
          </w:p>
        </w:tc>
      </w:tr>
    </w:tbl>
    <w:p w14:paraId="201FA424" w14:textId="77777777" w:rsidR="00293C5E" w:rsidRDefault="00293C5E"/>
    <w:sectPr w:rsidR="00293C5E">
      <w:pgSz w:w="11910" w:h="16840"/>
      <w:pgMar w:top="1360" w:right="1180" w:bottom="960" w:left="1420" w:header="0" w:footer="77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A47EF" w14:textId="77777777" w:rsidR="00FF0CB5" w:rsidRDefault="00FF0CB5">
      <w:r>
        <w:separator/>
      </w:r>
    </w:p>
  </w:endnote>
  <w:endnote w:type="continuationSeparator" w:id="0">
    <w:p w14:paraId="3F0B7867" w14:textId="77777777" w:rsidR="00FF0CB5" w:rsidRDefault="00FF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4E69" w14:textId="77777777" w:rsidR="004457AA" w:rsidRDefault="00FF0CB5">
    <w:pPr>
      <w:pStyle w:val="Zkladntext"/>
      <w:spacing w:line="14" w:lineRule="auto"/>
      <w:rPr>
        <w:sz w:val="20"/>
      </w:rPr>
    </w:pPr>
    <w:r>
      <w:pict w14:anchorId="2E725747">
        <v:shapetype id="_x0000_t202" coordsize="21600,21600" o:spt="202" path="m,l,21600r21600,l21600,xe">
          <v:stroke joinstyle="miter"/>
          <v:path gradientshapeok="t" o:connecttype="rect"/>
        </v:shapetype>
        <v:shape id="_x0000_s2049" type="#_x0000_t202" style="position:absolute;margin-left:460.8pt;margin-top:792.3pt;width:36.4pt;height:15.3pt;z-index:-251658752;mso-position-horizontal-relative:page;mso-position-vertical-relative:page" filled="f" stroked="f">
          <v:textbox inset="0,0,0,0">
            <w:txbxContent>
              <w:p w14:paraId="38BD0B5F" w14:textId="77777777" w:rsidR="004457AA" w:rsidRDefault="00293C5E">
                <w:pPr>
                  <w:spacing w:before="10"/>
                  <w:ind w:left="40"/>
                  <w:rPr>
                    <w:rFonts w:ascii="Times New Roman"/>
                    <w:sz w:val="24"/>
                  </w:rPr>
                </w:pPr>
                <w:r>
                  <w:fldChar w:fldCharType="begin"/>
                </w:r>
                <w:r>
                  <w:rPr>
                    <w:rFonts w:ascii="Times New Roman"/>
                    <w:sz w:val="24"/>
                  </w:rPr>
                  <w:instrText xml:space="preserve"> PAGE </w:instrText>
                </w:r>
                <w:r>
                  <w:fldChar w:fldCharType="separate"/>
                </w:r>
                <w:r>
                  <w:t>10</w:t>
                </w:r>
                <w:r>
                  <w:fldChar w:fldCharType="end"/>
                </w:r>
                <w:r>
                  <w:rPr>
                    <w:rFonts w:ascii="Times New Roman"/>
                    <w:sz w:val="24"/>
                  </w:rPr>
                  <w:t xml:space="preserve"> / 11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52C17" w14:textId="77777777" w:rsidR="00FF0CB5" w:rsidRDefault="00FF0CB5">
      <w:r>
        <w:separator/>
      </w:r>
    </w:p>
  </w:footnote>
  <w:footnote w:type="continuationSeparator" w:id="0">
    <w:p w14:paraId="48F4E8B9" w14:textId="77777777" w:rsidR="00FF0CB5" w:rsidRDefault="00FF0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E4523"/>
    <w:multiLevelType w:val="hybridMultilevel"/>
    <w:tmpl w:val="2A848A22"/>
    <w:lvl w:ilvl="0" w:tplc="CC127122">
      <w:start w:val="1"/>
      <w:numFmt w:val="decimal"/>
      <w:lvlText w:val="%1)"/>
      <w:lvlJc w:val="left"/>
      <w:pPr>
        <w:ind w:left="538" w:hanging="428"/>
        <w:jc w:val="left"/>
      </w:pPr>
      <w:rPr>
        <w:rFonts w:ascii="Calibri" w:eastAsia="Calibri" w:hAnsi="Calibri" w:cs="Calibri" w:hint="default"/>
        <w:spacing w:val="-4"/>
        <w:w w:val="98"/>
        <w:sz w:val="22"/>
        <w:szCs w:val="22"/>
      </w:rPr>
    </w:lvl>
    <w:lvl w:ilvl="1" w:tplc="98D6BFE6">
      <w:start w:val="1"/>
      <w:numFmt w:val="lowerLetter"/>
      <w:lvlText w:val="%2)"/>
      <w:lvlJc w:val="left"/>
      <w:pPr>
        <w:ind w:left="819" w:hanging="281"/>
        <w:jc w:val="left"/>
      </w:pPr>
      <w:rPr>
        <w:rFonts w:ascii="Calibri" w:eastAsia="Calibri" w:hAnsi="Calibri" w:cs="Calibri" w:hint="default"/>
        <w:spacing w:val="-25"/>
        <w:w w:val="98"/>
        <w:sz w:val="22"/>
        <w:szCs w:val="22"/>
      </w:rPr>
    </w:lvl>
    <w:lvl w:ilvl="2" w:tplc="6902C98E">
      <w:numFmt w:val="bullet"/>
      <w:lvlText w:val="•"/>
      <w:lvlJc w:val="left"/>
      <w:pPr>
        <w:ind w:left="840" w:hanging="281"/>
      </w:pPr>
      <w:rPr>
        <w:rFonts w:hint="default"/>
      </w:rPr>
    </w:lvl>
    <w:lvl w:ilvl="3" w:tplc="F1C6BB22">
      <w:numFmt w:val="bullet"/>
      <w:lvlText w:val="•"/>
      <w:lvlJc w:val="left"/>
      <w:pPr>
        <w:ind w:left="960" w:hanging="281"/>
      </w:pPr>
      <w:rPr>
        <w:rFonts w:hint="default"/>
      </w:rPr>
    </w:lvl>
    <w:lvl w:ilvl="4" w:tplc="B81241DC">
      <w:numFmt w:val="bullet"/>
      <w:lvlText w:val="•"/>
      <w:lvlJc w:val="left"/>
      <w:pPr>
        <w:ind w:left="2080" w:hanging="281"/>
      </w:pPr>
      <w:rPr>
        <w:rFonts w:hint="default"/>
      </w:rPr>
    </w:lvl>
    <w:lvl w:ilvl="5" w:tplc="EE4461B6">
      <w:numFmt w:val="bullet"/>
      <w:lvlText w:val="•"/>
      <w:lvlJc w:val="left"/>
      <w:pPr>
        <w:ind w:left="3201" w:hanging="281"/>
      </w:pPr>
      <w:rPr>
        <w:rFonts w:hint="default"/>
      </w:rPr>
    </w:lvl>
    <w:lvl w:ilvl="6" w:tplc="EBB4FF4A">
      <w:numFmt w:val="bullet"/>
      <w:lvlText w:val="•"/>
      <w:lvlJc w:val="left"/>
      <w:pPr>
        <w:ind w:left="4322" w:hanging="281"/>
      </w:pPr>
      <w:rPr>
        <w:rFonts w:hint="default"/>
      </w:rPr>
    </w:lvl>
    <w:lvl w:ilvl="7" w:tplc="4B8EF6D6">
      <w:numFmt w:val="bullet"/>
      <w:lvlText w:val="•"/>
      <w:lvlJc w:val="left"/>
      <w:pPr>
        <w:ind w:left="5443" w:hanging="281"/>
      </w:pPr>
      <w:rPr>
        <w:rFonts w:hint="default"/>
      </w:rPr>
    </w:lvl>
    <w:lvl w:ilvl="8" w:tplc="38AC65FA">
      <w:numFmt w:val="bullet"/>
      <w:lvlText w:val="•"/>
      <w:lvlJc w:val="left"/>
      <w:pPr>
        <w:ind w:left="6564" w:hanging="281"/>
      </w:pPr>
      <w:rPr>
        <w:rFonts w:hint="default"/>
      </w:rPr>
    </w:lvl>
  </w:abstractNum>
  <w:abstractNum w:abstractNumId="1" w15:restartNumberingAfterBreak="0">
    <w:nsid w:val="30D50CDA"/>
    <w:multiLevelType w:val="hybridMultilevel"/>
    <w:tmpl w:val="77A8EABE"/>
    <w:lvl w:ilvl="0" w:tplc="3528C4D8">
      <w:start w:val="1"/>
      <w:numFmt w:val="decimal"/>
      <w:lvlText w:val="%1)"/>
      <w:lvlJc w:val="left"/>
      <w:pPr>
        <w:ind w:left="536" w:hanging="425"/>
        <w:jc w:val="left"/>
      </w:pPr>
      <w:rPr>
        <w:rFonts w:ascii="Calibri" w:eastAsia="Calibri" w:hAnsi="Calibri" w:cs="Calibri" w:hint="default"/>
        <w:spacing w:val="-16"/>
        <w:w w:val="98"/>
        <w:sz w:val="22"/>
        <w:szCs w:val="22"/>
      </w:rPr>
    </w:lvl>
    <w:lvl w:ilvl="1" w:tplc="460CB750">
      <w:numFmt w:val="bullet"/>
      <w:lvlText w:val="•"/>
      <w:lvlJc w:val="left"/>
      <w:pPr>
        <w:ind w:left="1366" w:hanging="425"/>
      </w:pPr>
      <w:rPr>
        <w:rFonts w:hint="default"/>
      </w:rPr>
    </w:lvl>
    <w:lvl w:ilvl="2" w:tplc="1C1CD48E">
      <w:numFmt w:val="bullet"/>
      <w:lvlText w:val="•"/>
      <w:lvlJc w:val="left"/>
      <w:pPr>
        <w:ind w:left="2193" w:hanging="425"/>
      </w:pPr>
      <w:rPr>
        <w:rFonts w:hint="default"/>
      </w:rPr>
    </w:lvl>
    <w:lvl w:ilvl="3" w:tplc="FD2AF7F2">
      <w:numFmt w:val="bullet"/>
      <w:lvlText w:val="•"/>
      <w:lvlJc w:val="left"/>
      <w:pPr>
        <w:ind w:left="3019" w:hanging="425"/>
      </w:pPr>
      <w:rPr>
        <w:rFonts w:hint="default"/>
      </w:rPr>
    </w:lvl>
    <w:lvl w:ilvl="4" w:tplc="90D477F6">
      <w:numFmt w:val="bullet"/>
      <w:lvlText w:val="•"/>
      <w:lvlJc w:val="left"/>
      <w:pPr>
        <w:ind w:left="3846" w:hanging="425"/>
      </w:pPr>
      <w:rPr>
        <w:rFonts w:hint="default"/>
      </w:rPr>
    </w:lvl>
    <w:lvl w:ilvl="5" w:tplc="BE44C3DA">
      <w:numFmt w:val="bullet"/>
      <w:lvlText w:val="•"/>
      <w:lvlJc w:val="left"/>
      <w:pPr>
        <w:ind w:left="4673" w:hanging="425"/>
      </w:pPr>
      <w:rPr>
        <w:rFonts w:hint="default"/>
      </w:rPr>
    </w:lvl>
    <w:lvl w:ilvl="6" w:tplc="2E2E177C">
      <w:numFmt w:val="bullet"/>
      <w:lvlText w:val="•"/>
      <w:lvlJc w:val="left"/>
      <w:pPr>
        <w:ind w:left="5499" w:hanging="425"/>
      </w:pPr>
      <w:rPr>
        <w:rFonts w:hint="default"/>
      </w:rPr>
    </w:lvl>
    <w:lvl w:ilvl="7" w:tplc="2E2E1060">
      <w:numFmt w:val="bullet"/>
      <w:lvlText w:val="•"/>
      <w:lvlJc w:val="left"/>
      <w:pPr>
        <w:ind w:left="6326" w:hanging="425"/>
      </w:pPr>
      <w:rPr>
        <w:rFonts w:hint="default"/>
      </w:rPr>
    </w:lvl>
    <w:lvl w:ilvl="8" w:tplc="7AFC991C">
      <w:numFmt w:val="bullet"/>
      <w:lvlText w:val="•"/>
      <w:lvlJc w:val="left"/>
      <w:pPr>
        <w:ind w:left="7153" w:hanging="425"/>
      </w:pPr>
      <w:rPr>
        <w:rFonts w:hint="default"/>
      </w:rPr>
    </w:lvl>
  </w:abstractNum>
  <w:abstractNum w:abstractNumId="2" w15:restartNumberingAfterBreak="0">
    <w:nsid w:val="36E52909"/>
    <w:multiLevelType w:val="hybridMultilevel"/>
    <w:tmpl w:val="E2BCF3A8"/>
    <w:lvl w:ilvl="0" w:tplc="066A6100">
      <w:start w:val="1"/>
      <w:numFmt w:val="decimal"/>
      <w:lvlText w:val="%1)"/>
      <w:lvlJc w:val="left"/>
      <w:pPr>
        <w:ind w:left="536" w:hanging="425"/>
        <w:jc w:val="left"/>
      </w:pPr>
      <w:rPr>
        <w:rFonts w:ascii="Calibri" w:eastAsia="Calibri" w:hAnsi="Calibri" w:cs="Calibri" w:hint="default"/>
        <w:spacing w:val="-16"/>
        <w:w w:val="98"/>
        <w:sz w:val="22"/>
        <w:szCs w:val="22"/>
      </w:rPr>
    </w:lvl>
    <w:lvl w:ilvl="1" w:tplc="9E46517E">
      <w:numFmt w:val="bullet"/>
      <w:lvlText w:val="•"/>
      <w:lvlJc w:val="left"/>
      <w:pPr>
        <w:ind w:left="1366" w:hanging="425"/>
      </w:pPr>
      <w:rPr>
        <w:rFonts w:hint="default"/>
      </w:rPr>
    </w:lvl>
    <w:lvl w:ilvl="2" w:tplc="BC02172E">
      <w:numFmt w:val="bullet"/>
      <w:lvlText w:val="•"/>
      <w:lvlJc w:val="left"/>
      <w:pPr>
        <w:ind w:left="2193" w:hanging="425"/>
      </w:pPr>
      <w:rPr>
        <w:rFonts w:hint="default"/>
      </w:rPr>
    </w:lvl>
    <w:lvl w:ilvl="3" w:tplc="A6A0B3B4">
      <w:numFmt w:val="bullet"/>
      <w:lvlText w:val="•"/>
      <w:lvlJc w:val="left"/>
      <w:pPr>
        <w:ind w:left="3019" w:hanging="425"/>
      </w:pPr>
      <w:rPr>
        <w:rFonts w:hint="default"/>
      </w:rPr>
    </w:lvl>
    <w:lvl w:ilvl="4" w:tplc="8E082B8E">
      <w:numFmt w:val="bullet"/>
      <w:lvlText w:val="•"/>
      <w:lvlJc w:val="left"/>
      <w:pPr>
        <w:ind w:left="3846" w:hanging="425"/>
      </w:pPr>
      <w:rPr>
        <w:rFonts w:hint="default"/>
      </w:rPr>
    </w:lvl>
    <w:lvl w:ilvl="5" w:tplc="36409494">
      <w:numFmt w:val="bullet"/>
      <w:lvlText w:val="•"/>
      <w:lvlJc w:val="left"/>
      <w:pPr>
        <w:ind w:left="4673" w:hanging="425"/>
      </w:pPr>
      <w:rPr>
        <w:rFonts w:hint="default"/>
      </w:rPr>
    </w:lvl>
    <w:lvl w:ilvl="6" w:tplc="994EBD4E">
      <w:numFmt w:val="bullet"/>
      <w:lvlText w:val="•"/>
      <w:lvlJc w:val="left"/>
      <w:pPr>
        <w:ind w:left="5499" w:hanging="425"/>
      </w:pPr>
      <w:rPr>
        <w:rFonts w:hint="default"/>
      </w:rPr>
    </w:lvl>
    <w:lvl w:ilvl="7" w:tplc="1040C1AE">
      <w:numFmt w:val="bullet"/>
      <w:lvlText w:val="•"/>
      <w:lvlJc w:val="left"/>
      <w:pPr>
        <w:ind w:left="6326" w:hanging="425"/>
      </w:pPr>
      <w:rPr>
        <w:rFonts w:hint="default"/>
      </w:rPr>
    </w:lvl>
    <w:lvl w:ilvl="8" w:tplc="CCB6D60E">
      <w:numFmt w:val="bullet"/>
      <w:lvlText w:val="•"/>
      <w:lvlJc w:val="left"/>
      <w:pPr>
        <w:ind w:left="7153" w:hanging="425"/>
      </w:pPr>
      <w:rPr>
        <w:rFonts w:hint="default"/>
      </w:rPr>
    </w:lvl>
  </w:abstractNum>
  <w:abstractNum w:abstractNumId="3" w15:restartNumberingAfterBreak="0">
    <w:nsid w:val="3B171EE8"/>
    <w:multiLevelType w:val="hybridMultilevel"/>
    <w:tmpl w:val="ABD0C3E6"/>
    <w:lvl w:ilvl="0" w:tplc="EA788C70">
      <w:start w:val="1"/>
      <w:numFmt w:val="decimal"/>
      <w:lvlText w:val="%1)"/>
      <w:lvlJc w:val="left"/>
      <w:pPr>
        <w:ind w:left="543" w:hanging="428"/>
        <w:jc w:val="left"/>
      </w:pPr>
      <w:rPr>
        <w:rFonts w:ascii="Calibri" w:eastAsia="Calibri" w:hAnsi="Calibri" w:cs="Calibri" w:hint="default"/>
        <w:b/>
        <w:bCs/>
        <w:w w:val="100"/>
        <w:sz w:val="22"/>
        <w:szCs w:val="22"/>
      </w:rPr>
    </w:lvl>
    <w:lvl w:ilvl="1" w:tplc="19BECD08">
      <w:start w:val="1"/>
      <w:numFmt w:val="decimal"/>
      <w:lvlText w:val="%2)"/>
      <w:lvlJc w:val="left"/>
      <w:pPr>
        <w:ind w:left="656" w:hanging="425"/>
        <w:jc w:val="left"/>
      </w:pPr>
      <w:rPr>
        <w:rFonts w:ascii="Calibri" w:eastAsia="Calibri" w:hAnsi="Calibri" w:cs="Calibri" w:hint="default"/>
        <w:spacing w:val="-16"/>
        <w:w w:val="98"/>
        <w:sz w:val="22"/>
        <w:szCs w:val="22"/>
      </w:rPr>
    </w:lvl>
    <w:lvl w:ilvl="2" w:tplc="48FAEAEC">
      <w:numFmt w:val="bullet"/>
      <w:lvlText w:val="•"/>
      <w:lvlJc w:val="left"/>
      <w:pPr>
        <w:ind w:left="1578" w:hanging="425"/>
      </w:pPr>
      <w:rPr>
        <w:rFonts w:hint="default"/>
      </w:rPr>
    </w:lvl>
    <w:lvl w:ilvl="3" w:tplc="F5B2515C">
      <w:numFmt w:val="bullet"/>
      <w:lvlText w:val="•"/>
      <w:lvlJc w:val="left"/>
      <w:pPr>
        <w:ind w:left="2496" w:hanging="425"/>
      </w:pPr>
      <w:rPr>
        <w:rFonts w:hint="default"/>
      </w:rPr>
    </w:lvl>
    <w:lvl w:ilvl="4" w:tplc="A11658BA">
      <w:numFmt w:val="bullet"/>
      <w:lvlText w:val="•"/>
      <w:lvlJc w:val="left"/>
      <w:pPr>
        <w:ind w:left="3415" w:hanging="425"/>
      </w:pPr>
      <w:rPr>
        <w:rFonts w:hint="default"/>
      </w:rPr>
    </w:lvl>
    <w:lvl w:ilvl="5" w:tplc="3BB4B9F4">
      <w:numFmt w:val="bullet"/>
      <w:lvlText w:val="•"/>
      <w:lvlJc w:val="left"/>
      <w:pPr>
        <w:ind w:left="4333" w:hanging="425"/>
      </w:pPr>
      <w:rPr>
        <w:rFonts w:hint="default"/>
      </w:rPr>
    </w:lvl>
    <w:lvl w:ilvl="6" w:tplc="7CAC3F5C">
      <w:numFmt w:val="bullet"/>
      <w:lvlText w:val="•"/>
      <w:lvlJc w:val="left"/>
      <w:pPr>
        <w:ind w:left="5252" w:hanging="425"/>
      </w:pPr>
      <w:rPr>
        <w:rFonts w:hint="default"/>
      </w:rPr>
    </w:lvl>
    <w:lvl w:ilvl="7" w:tplc="F7FE8B96">
      <w:numFmt w:val="bullet"/>
      <w:lvlText w:val="•"/>
      <w:lvlJc w:val="left"/>
      <w:pPr>
        <w:ind w:left="6170" w:hanging="425"/>
      </w:pPr>
      <w:rPr>
        <w:rFonts w:hint="default"/>
      </w:rPr>
    </w:lvl>
    <w:lvl w:ilvl="8" w:tplc="8D128582">
      <w:numFmt w:val="bullet"/>
      <w:lvlText w:val="•"/>
      <w:lvlJc w:val="left"/>
      <w:pPr>
        <w:ind w:left="7089" w:hanging="425"/>
      </w:pPr>
      <w:rPr>
        <w:rFonts w:hint="default"/>
      </w:rPr>
    </w:lvl>
  </w:abstractNum>
  <w:abstractNum w:abstractNumId="4" w15:restartNumberingAfterBreak="0">
    <w:nsid w:val="4AB55218"/>
    <w:multiLevelType w:val="hybridMultilevel"/>
    <w:tmpl w:val="4C6A0C18"/>
    <w:lvl w:ilvl="0" w:tplc="5C048354">
      <w:start w:val="1"/>
      <w:numFmt w:val="decimal"/>
      <w:lvlText w:val="%1)"/>
      <w:lvlJc w:val="left"/>
      <w:pPr>
        <w:ind w:left="938" w:hanging="428"/>
        <w:jc w:val="right"/>
      </w:pPr>
      <w:rPr>
        <w:rFonts w:ascii="Calibri" w:eastAsia="Calibri" w:hAnsi="Calibri" w:cs="Calibri" w:hint="default"/>
        <w:spacing w:val="-4"/>
        <w:w w:val="98"/>
        <w:sz w:val="22"/>
        <w:szCs w:val="22"/>
      </w:rPr>
    </w:lvl>
    <w:lvl w:ilvl="1" w:tplc="95ECE5B6">
      <w:numFmt w:val="bullet"/>
      <w:lvlText w:val="•"/>
      <w:lvlJc w:val="left"/>
      <w:pPr>
        <w:ind w:left="1726" w:hanging="428"/>
      </w:pPr>
      <w:rPr>
        <w:rFonts w:hint="default"/>
      </w:rPr>
    </w:lvl>
    <w:lvl w:ilvl="2" w:tplc="3992DF9C">
      <w:numFmt w:val="bullet"/>
      <w:lvlText w:val="•"/>
      <w:lvlJc w:val="left"/>
      <w:pPr>
        <w:ind w:left="2513" w:hanging="428"/>
      </w:pPr>
      <w:rPr>
        <w:rFonts w:hint="default"/>
      </w:rPr>
    </w:lvl>
    <w:lvl w:ilvl="3" w:tplc="06A8A304">
      <w:numFmt w:val="bullet"/>
      <w:lvlText w:val="•"/>
      <w:lvlJc w:val="left"/>
      <w:pPr>
        <w:ind w:left="3299" w:hanging="428"/>
      </w:pPr>
      <w:rPr>
        <w:rFonts w:hint="default"/>
      </w:rPr>
    </w:lvl>
    <w:lvl w:ilvl="4" w:tplc="4ABCA644">
      <w:numFmt w:val="bullet"/>
      <w:lvlText w:val="•"/>
      <w:lvlJc w:val="left"/>
      <w:pPr>
        <w:ind w:left="4086" w:hanging="428"/>
      </w:pPr>
      <w:rPr>
        <w:rFonts w:hint="default"/>
      </w:rPr>
    </w:lvl>
    <w:lvl w:ilvl="5" w:tplc="1D84DA96">
      <w:numFmt w:val="bullet"/>
      <w:lvlText w:val="•"/>
      <w:lvlJc w:val="left"/>
      <w:pPr>
        <w:ind w:left="4873" w:hanging="428"/>
      </w:pPr>
      <w:rPr>
        <w:rFonts w:hint="default"/>
      </w:rPr>
    </w:lvl>
    <w:lvl w:ilvl="6" w:tplc="666EE110">
      <w:numFmt w:val="bullet"/>
      <w:lvlText w:val="•"/>
      <w:lvlJc w:val="left"/>
      <w:pPr>
        <w:ind w:left="5659" w:hanging="428"/>
      </w:pPr>
      <w:rPr>
        <w:rFonts w:hint="default"/>
      </w:rPr>
    </w:lvl>
    <w:lvl w:ilvl="7" w:tplc="A1C6B4EA">
      <w:numFmt w:val="bullet"/>
      <w:lvlText w:val="•"/>
      <w:lvlJc w:val="left"/>
      <w:pPr>
        <w:ind w:left="6446" w:hanging="428"/>
      </w:pPr>
      <w:rPr>
        <w:rFonts w:hint="default"/>
      </w:rPr>
    </w:lvl>
    <w:lvl w:ilvl="8" w:tplc="185027C0">
      <w:numFmt w:val="bullet"/>
      <w:lvlText w:val="•"/>
      <w:lvlJc w:val="left"/>
      <w:pPr>
        <w:ind w:left="7233" w:hanging="428"/>
      </w:pPr>
      <w:rPr>
        <w:rFonts w:hint="default"/>
      </w:rPr>
    </w:lvl>
  </w:abstractNum>
  <w:abstractNum w:abstractNumId="5" w15:restartNumberingAfterBreak="0">
    <w:nsid w:val="54FB5C53"/>
    <w:multiLevelType w:val="hybridMultilevel"/>
    <w:tmpl w:val="6F688B00"/>
    <w:lvl w:ilvl="0" w:tplc="FBC09BF4">
      <w:start w:val="1"/>
      <w:numFmt w:val="decimal"/>
      <w:lvlText w:val="%1)"/>
      <w:lvlJc w:val="left"/>
      <w:pPr>
        <w:ind w:left="536" w:hanging="425"/>
        <w:jc w:val="left"/>
      </w:pPr>
      <w:rPr>
        <w:rFonts w:ascii="Calibri" w:eastAsia="Calibri" w:hAnsi="Calibri" w:cs="Calibri" w:hint="default"/>
        <w:spacing w:val="-16"/>
        <w:w w:val="98"/>
        <w:sz w:val="22"/>
        <w:szCs w:val="22"/>
      </w:rPr>
    </w:lvl>
    <w:lvl w:ilvl="1" w:tplc="63D4350A">
      <w:start w:val="1"/>
      <w:numFmt w:val="lowerLetter"/>
      <w:lvlText w:val="%2)"/>
      <w:lvlJc w:val="left"/>
      <w:pPr>
        <w:ind w:left="819" w:hanging="284"/>
        <w:jc w:val="left"/>
      </w:pPr>
      <w:rPr>
        <w:rFonts w:ascii="Calibri" w:eastAsia="Calibri" w:hAnsi="Calibri" w:cs="Calibri" w:hint="default"/>
        <w:spacing w:val="-30"/>
        <w:w w:val="98"/>
        <w:sz w:val="22"/>
        <w:szCs w:val="22"/>
      </w:rPr>
    </w:lvl>
    <w:lvl w:ilvl="2" w:tplc="1FB81A86">
      <w:numFmt w:val="bullet"/>
      <w:lvlText w:val="•"/>
      <w:lvlJc w:val="left"/>
      <w:pPr>
        <w:ind w:left="1707" w:hanging="284"/>
      </w:pPr>
      <w:rPr>
        <w:rFonts w:hint="default"/>
      </w:rPr>
    </w:lvl>
    <w:lvl w:ilvl="3" w:tplc="CD26E06E">
      <w:numFmt w:val="bullet"/>
      <w:lvlText w:val="•"/>
      <w:lvlJc w:val="left"/>
      <w:pPr>
        <w:ind w:left="2594" w:hanging="284"/>
      </w:pPr>
      <w:rPr>
        <w:rFonts w:hint="default"/>
      </w:rPr>
    </w:lvl>
    <w:lvl w:ilvl="4" w:tplc="61603854">
      <w:numFmt w:val="bullet"/>
      <w:lvlText w:val="•"/>
      <w:lvlJc w:val="left"/>
      <w:pPr>
        <w:ind w:left="3482" w:hanging="284"/>
      </w:pPr>
      <w:rPr>
        <w:rFonts w:hint="default"/>
      </w:rPr>
    </w:lvl>
    <w:lvl w:ilvl="5" w:tplc="78B64750">
      <w:numFmt w:val="bullet"/>
      <w:lvlText w:val="•"/>
      <w:lvlJc w:val="left"/>
      <w:pPr>
        <w:ind w:left="4369" w:hanging="284"/>
      </w:pPr>
      <w:rPr>
        <w:rFonts w:hint="default"/>
      </w:rPr>
    </w:lvl>
    <w:lvl w:ilvl="6" w:tplc="48F2FBDC">
      <w:numFmt w:val="bullet"/>
      <w:lvlText w:val="•"/>
      <w:lvlJc w:val="left"/>
      <w:pPr>
        <w:ind w:left="5256" w:hanging="284"/>
      </w:pPr>
      <w:rPr>
        <w:rFonts w:hint="default"/>
      </w:rPr>
    </w:lvl>
    <w:lvl w:ilvl="7" w:tplc="BC1C2978">
      <w:numFmt w:val="bullet"/>
      <w:lvlText w:val="•"/>
      <w:lvlJc w:val="left"/>
      <w:pPr>
        <w:ind w:left="6144" w:hanging="284"/>
      </w:pPr>
      <w:rPr>
        <w:rFonts w:hint="default"/>
      </w:rPr>
    </w:lvl>
    <w:lvl w:ilvl="8" w:tplc="3E0E010C">
      <w:numFmt w:val="bullet"/>
      <w:lvlText w:val="•"/>
      <w:lvlJc w:val="left"/>
      <w:pPr>
        <w:ind w:left="7031" w:hanging="284"/>
      </w:pPr>
      <w:rPr>
        <w:rFonts w:hint="default"/>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457AA"/>
    <w:rsid w:val="00167630"/>
    <w:rsid w:val="00293C5E"/>
    <w:rsid w:val="00335C20"/>
    <w:rsid w:val="003D2043"/>
    <w:rsid w:val="004457AA"/>
    <w:rsid w:val="005B6E3A"/>
    <w:rsid w:val="0063272A"/>
    <w:rsid w:val="00656B46"/>
    <w:rsid w:val="00766C3E"/>
    <w:rsid w:val="008D4FE9"/>
    <w:rsid w:val="009D41FB"/>
    <w:rsid w:val="00A40BC9"/>
    <w:rsid w:val="00BF19E8"/>
    <w:rsid w:val="00FF0C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D57E65"/>
  <w15:docId w15:val="{9E36A76C-7604-478B-844E-33CEDA11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313" w:right="616"/>
      <w:jc w:val="center"/>
      <w:outlineLvl w:val="0"/>
    </w:pPr>
    <w:rPr>
      <w:b/>
      <w:bCs/>
      <w:sz w:val="23"/>
      <w:szCs w:val="23"/>
    </w:rPr>
  </w:style>
  <w:style w:type="paragraph" w:styleId="Nadpis2">
    <w:name w:val="heading 2"/>
    <w:basedOn w:val="Normln"/>
    <w:uiPriority w:val="9"/>
    <w:unhideWhenUsed/>
    <w:qFormat/>
    <w:pPr>
      <w:ind w:left="118"/>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63"/>
      <w:ind w:left="538" w:hanging="427"/>
      <w:jc w:val="both"/>
    </w:pPr>
  </w:style>
  <w:style w:type="paragraph" w:customStyle="1" w:styleId="TableParagraph">
    <w:name w:val="Table Paragraph"/>
    <w:basedOn w:val="Normln"/>
    <w:uiPriority w:val="1"/>
    <w:qFormat/>
    <w:pPr>
      <w:spacing w:before="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vscht.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11</Pages>
  <Words>3088</Words>
  <Characters>18226</Characters>
  <Application>Microsoft Office Word</Application>
  <DocSecurity>0</DocSecurity>
  <Lines>151</Lines>
  <Paragraphs>42</Paragraphs>
  <ScaleCrop>false</ScaleCrop>
  <Company>VSCHT Praha</Company>
  <LinksUpToDate>false</LinksUpToDate>
  <CharactersWithSpaces>21272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Filip</dc:creator>
  <cp:lastModifiedBy>Maurerova Marketa</cp:lastModifiedBy>
  <cp:revision>12</cp:revision>
  <dcterms:created xsi:type="dcterms:W3CDTF">2023-08-29T13:26:00Z</dcterms:created>
  <dcterms:modified xsi:type="dcterms:W3CDTF">2023-08-29T12:09:00Z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Microsoft® Word 2019</vt:lpwstr>
  </property>
  <property fmtid="{D5CDD505-2E9C-101B-9397-08002B2CF9AE}" pid="4" name="LastSaved">
    <vt:filetime>2023-08-29T00:00:00Z</vt:filetime>
  </property>
</Properties>
</file>