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31" w:h="221" w:wrap="none" w:hAnchor="page" w:x="8696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</w:rPr>
        <w:t>2023006386</w:t>
      </w:r>
    </w:p>
    <w:p>
      <w:pPr>
        <w:widowControl w:val="0"/>
        <w:spacing w:line="360" w:lineRule="exact"/>
      </w:pPr>
      <w:r>
        <w:drawing>
          <wp:anchor distT="0" distB="228600" distL="0" distR="0" simplePos="0" relativeHeight="62914690" behindDoc="1" locked="0" layoutInCell="1" allowOverlap="1">
            <wp:simplePos x="0" y="0"/>
            <wp:positionH relativeFrom="page">
              <wp:posOffset>5353685</wp:posOffset>
            </wp:positionH>
            <wp:positionV relativeFrom="margin">
              <wp:posOffset>0</wp:posOffset>
            </wp:positionV>
            <wp:extent cx="1487170" cy="3778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37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34" w:right="1126" w:bottom="904" w:left="151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468755" distL="88900" distR="88900" simplePos="0" relativeHeight="12582937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969010</wp:posOffset>
                </wp:positionV>
                <wp:extent cx="1645920" cy="209423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2094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IČO: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DIČ: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8"/>
                                <w:b/>
                                <w:bCs/>
                                <w:i/>
                                <w:iCs/>
                              </w:rPr>
                              <w:t>„kupující )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5.950000000000003pt;margin-top:76.299999999999997pt;width:129.59999999999999pt;height:164.90000000000001pt;z-index:-125829375;mso-wrap-distance-left:7.pt;mso-wrap-distance-right:7.pt;mso-wrap-distance-bottom:115.65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Jméno: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Jednající: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Kontaktní osoba: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IČO: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Zápis v OR: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Bankovní spojení (číslo účtu):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 xml:space="preserve">(dále jen </w:t>
                      </w:r>
                      <w:r>
                        <w:rPr>
                          <w:rStyle w:val="CharStyle8"/>
                          <w:b/>
                          <w:bCs/>
                          <w:i/>
                          <w:iCs/>
                        </w:rPr>
                        <w:t>„kupující )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258695" distB="0" distL="88900" distR="88900" simplePos="0" relativeHeight="12582938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3227705</wp:posOffset>
                </wp:positionV>
                <wp:extent cx="1645920" cy="13042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304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IČO: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DIČ: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5.950000000000003pt;margin-top:254.15000000000001pt;width:129.59999999999999pt;height:102.7pt;z-index:-125829373;mso-wrap-distance-left:7.pt;mso-wrap-distance-top:177.84999999999999pt;mso-wrap-distance-right:7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Jméno: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Jednající: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Kontaktní osoba: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IČO: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Zápis v OR: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rStyle w:val="CharStyle8"/>
          <w:b/>
          <w:bCs/>
          <w:u w:val="single"/>
        </w:rPr>
        <w:t>KUPNÍ SMLOUVA</w:t>
      </w:r>
      <w:r>
        <w:rPr>
          <w:rStyle w:val="CharStyle8"/>
          <w:b/>
          <w:bCs/>
        </w:rPr>
        <w:br/>
      </w:r>
      <w:r>
        <w:rPr>
          <w:rStyle w:val="CharStyle8"/>
        </w:rPr>
        <w:t>uzavřená v souladu s ustanovením § 2079 a násl. zákona č. 89/2012 Sb., občanský zákoník,</w:t>
        <w:br/>
        <w:t>mezi níže uvedenými smluvními stranami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rStyle w:val="CharStyle8"/>
          <w:b/>
          <w:bCs/>
        </w:rPr>
        <w:t>Zdravotnická záchranná služba Jihomoravského kraje, příspěvková organizace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rStyle w:val="CharStyle8"/>
        </w:rPr>
        <w:t>Kamenice 798/1 d, 625 00 Brno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rStyle w:val="CharStyle8"/>
        </w:rPr>
        <w:t>MUDr. Hana Albrechtová, ředitelka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rStyle w:val="CharStyle8"/>
          <w:shd w:val="clear" w:color="auto" w:fill="000000"/>
        </w:rPr>
        <w:t>.......​</w:t>
      </w:r>
      <w:r>
        <w:rPr>
          <w:rStyle w:val="CharStyle8"/>
          <w:spacing w:val="5"/>
          <w:shd w:val="clear" w:color="auto" w:fill="000000"/>
        </w:rPr>
        <w:t>.........</w:t>
      </w:r>
      <w:r>
        <w:rPr>
          <w:rStyle w:val="CharStyle8"/>
          <w:spacing w:val="6"/>
          <w:shd w:val="clear" w:color="auto" w:fill="000000"/>
        </w:rPr>
        <w:t>.</w:t>
      </w:r>
      <w:r>
        <w:rPr>
          <w:rStyle w:val="CharStyle8"/>
          <w:shd w:val="clear" w:color="auto" w:fill="000000"/>
        </w:rPr>
        <w:t>​..</w:t>
      </w:r>
      <w:r>
        <w:rPr>
          <w:rStyle w:val="CharStyle8"/>
          <w:spacing w:val="1"/>
          <w:shd w:val="clear" w:color="auto" w:fill="000000"/>
        </w:rPr>
        <w:t>.........</w:t>
      </w:r>
      <w:r>
        <w:rPr>
          <w:rStyle w:val="CharStyle8"/>
          <w:u w:val="single"/>
          <w:shd w:val="clear" w:color="auto" w:fill="000000"/>
        </w:rPr>
        <w:t>​</w:t>
      </w:r>
      <w:r>
        <w:rPr>
          <w:rStyle w:val="CharStyle8"/>
          <w:spacing w:val="2"/>
          <w:u w:val="single"/>
          <w:shd w:val="clear" w:color="auto" w:fill="000000"/>
        </w:rPr>
        <w:t>....................</w:t>
      </w:r>
      <w:r>
        <w:rPr>
          <w:rStyle w:val="CharStyle8"/>
          <w:spacing w:val="5"/>
          <w:shd w:val="clear" w:color="auto" w:fill="000000"/>
        </w:rPr>
        <w:t>..</w:t>
      </w:r>
      <w:r>
        <w:rPr>
          <w:rStyle w:val="CharStyle8"/>
          <w:shd w:val="clear" w:color="auto" w:fill="000000"/>
        </w:rPr>
        <w:t>..​</w:t>
      </w:r>
      <w:r>
        <w:rPr>
          <w:rStyle w:val="CharStyle8"/>
          <w:spacing w:val="8"/>
          <w:shd w:val="clear" w:color="auto" w:fill="000000"/>
        </w:rPr>
        <w:t>...</w:t>
      </w:r>
      <w:r>
        <w:rPr>
          <w:rStyle w:val="CharStyle8"/>
          <w:spacing w:val="9"/>
          <w:shd w:val="clear" w:color="auto" w:fill="000000"/>
        </w:rPr>
        <w:t>..</w:t>
      </w:r>
      <w:r>
        <w:rPr>
          <w:rStyle w:val="CharStyle8"/>
          <w:shd w:val="clear" w:color="auto" w:fill="000000"/>
        </w:rPr>
        <w:t>​....</w:t>
      </w:r>
      <w:r>
        <w:rPr>
          <w:rStyle w:val="CharStyle8"/>
          <w:spacing w:val="1"/>
          <w:shd w:val="clear" w:color="auto" w:fill="000000"/>
        </w:rPr>
        <w:t>.....</w:t>
      </w:r>
      <w:r>
        <w:rPr>
          <w:rStyle w:val="CharStyle8"/>
          <w:shd w:val="clear" w:color="auto" w:fill="000000"/>
        </w:rPr>
        <w:t>​.......​</w:t>
      </w:r>
      <w:r>
        <w:rPr>
          <w:rStyle w:val="CharStyle8"/>
          <w:spacing w:val="6"/>
          <w:shd w:val="clear" w:color="auto" w:fill="000000"/>
        </w:rPr>
        <w:t>...</w:t>
      </w:r>
      <w:r>
        <w:rPr>
          <w:rStyle w:val="CharStyle8"/>
          <w:spacing w:val="7"/>
          <w:shd w:val="clear" w:color="auto" w:fill="000000"/>
        </w:rPr>
        <w:t>...</w:t>
      </w:r>
      <w:r>
        <w:rPr>
          <w:rStyle w:val="CharStyle8"/>
          <w:shd w:val="clear" w:color="auto" w:fill="000000"/>
        </w:rPr>
        <w:t>​......</w:t>
      </w:r>
      <w:r>
        <w:rPr>
          <w:rStyle w:val="CharStyle8"/>
        </w:rPr>
        <w:t xml:space="preserve"> 00346292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rStyle w:val="CharStyle8"/>
        </w:rPr>
        <w:t>CZ00346292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rStyle w:val="CharStyle8"/>
        </w:rPr>
        <w:t>Krajský soud v Brně sp. zn. Pr 1245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83" w:lineRule="auto"/>
        <w:ind w:left="0" w:right="0" w:firstLine="0"/>
        <w:jc w:val="both"/>
      </w:pPr>
      <w:r>
        <w:rPr>
          <w:rStyle w:val="CharStyle8"/>
        </w:rPr>
        <w:t>MONETA Money Bank, a.s., č. ú. 117203514/0600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8"/>
          <w:b/>
          <w:bCs/>
        </w:rPr>
        <w:t>ELVAC a.s.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8"/>
        </w:rPr>
        <w:t>Hasičská 930/53, Hrabůvka, 700 30 Ostrava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8"/>
        </w:rPr>
        <w:t>Ing. Jaroslav Chýlek, MBA, ředitel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8"/>
          <w:spacing w:val="2"/>
          <w:shd w:val="clear" w:color="auto" w:fill="000000"/>
        </w:rPr>
        <w:t>.......</w:t>
      </w:r>
      <w:r>
        <w:rPr>
          <w:rStyle w:val="CharStyle8"/>
          <w:spacing w:val="3"/>
          <w:shd w:val="clear" w:color="auto" w:fill="000000"/>
        </w:rPr>
        <w:t>..</w:t>
      </w:r>
      <w:r>
        <w:rPr>
          <w:rStyle w:val="CharStyle8"/>
          <w:shd w:val="clear" w:color="auto" w:fill="000000"/>
        </w:rPr>
        <w:t>​........</w:t>
      </w:r>
      <w:r>
        <w:rPr>
          <w:rStyle w:val="CharStyle8"/>
          <w:spacing w:val="1"/>
          <w:shd w:val="clear" w:color="auto" w:fill="000000"/>
        </w:rPr>
        <w:t>.........</w:t>
      </w:r>
      <w:r>
        <w:rPr>
          <w:rStyle w:val="CharStyle8"/>
          <w:shd w:val="clear" w:color="auto" w:fill="000000"/>
        </w:rPr>
        <w:t>​.....................</w:t>
      </w:r>
      <w:r>
        <w:rPr>
          <w:rStyle w:val="CharStyle8"/>
          <w:spacing w:val="1"/>
          <w:shd w:val="clear" w:color="auto" w:fill="000000"/>
        </w:rPr>
        <w:t>...................</w:t>
      </w:r>
      <w:r>
        <w:rPr>
          <w:rStyle w:val="CharStyle8"/>
        </w:rPr>
        <w:t xml:space="preserve"> 25833812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8"/>
        </w:rPr>
        <w:t>CZ25833812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8"/>
        </w:rPr>
        <w:t>Krajský soud v Ostravě sp. zn.: B 2179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left"/>
      </w:pPr>
      <w:r>
        <w:rPr>
          <w:rStyle w:val="CharStyle8"/>
        </w:rPr>
        <w:t xml:space="preserve">Česká spořitelna a.s., číslo účtu: 4041192/0800 </w:t>
      </w:r>
      <w:r>
        <w:rPr>
          <w:rStyle w:val="CharStyle8"/>
        </w:rPr>
        <w:t xml:space="preserve">(dále jen </w:t>
      </w:r>
      <w:r>
        <w:rPr>
          <w:rStyle w:val="CharStyle8"/>
          <w:b/>
          <w:bCs/>
          <w:i/>
          <w:iCs/>
        </w:rPr>
        <w:t>„prodávající )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40" w:line="283" w:lineRule="auto"/>
        <w:ind w:left="0" w:right="0" w:firstLine="0"/>
        <w:jc w:val="left"/>
      </w:pPr>
      <w:r>
        <w:rPr>
          <w:rStyle w:val="CharStyle8"/>
        </w:rPr>
        <w:t>Prodávající je oprávněn na základě svého vlastnického práva nakládat se zbožím v podobě: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283" w:lineRule="auto"/>
        <w:ind w:left="0" w:right="0" w:firstLine="400"/>
        <w:jc w:val="both"/>
      </w:pPr>
      <w:r>
        <w:rPr>
          <w:rStyle w:val="CharStyle8"/>
        </w:rPr>
        <w:t xml:space="preserve">10 ks </w:t>
      </w:r>
      <w:r>
        <w:rPr>
          <w:rStyle w:val="CharStyle8"/>
          <w:b/>
          <w:bCs/>
        </w:rPr>
        <w:t>notebooků,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 w:line="283" w:lineRule="auto"/>
        <w:ind w:left="0" w:right="0" w:firstLine="400"/>
        <w:jc w:val="both"/>
      </w:pPr>
      <w:r>
        <w:rPr>
          <w:rStyle w:val="CharStyle8"/>
        </w:rPr>
        <w:t xml:space="preserve">10 ks </w:t>
      </w:r>
      <w:r>
        <w:rPr>
          <w:rStyle w:val="CharStyle8"/>
          <w:b/>
          <w:bCs/>
        </w:rPr>
        <w:t>dokovacích stanic k notebookům,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after="0" w:line="283" w:lineRule="auto"/>
        <w:ind w:left="0" w:right="0" w:firstLine="400"/>
        <w:jc w:val="both"/>
      </w:pPr>
      <w:r>
        <w:rPr>
          <w:rStyle w:val="CharStyle8"/>
        </w:rPr>
        <w:t xml:space="preserve">20 ks </w:t>
      </w:r>
      <w:r>
        <w:rPr>
          <w:rStyle w:val="CharStyle8"/>
          <w:b/>
          <w:bCs/>
        </w:rPr>
        <w:t>monitorů 24“,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283" w:lineRule="auto"/>
        <w:ind w:left="0" w:right="0" w:firstLine="400"/>
        <w:jc w:val="both"/>
      </w:pPr>
      <w:r>
        <w:rPr>
          <w:rStyle w:val="CharStyle8"/>
        </w:rPr>
        <w:t xml:space="preserve">10 ks </w:t>
      </w:r>
      <w:r>
        <w:rPr>
          <w:rStyle w:val="CharStyle8"/>
          <w:b/>
          <w:bCs/>
        </w:rPr>
        <w:t>tiskáren Color,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283" w:lineRule="auto"/>
        <w:ind w:left="0" w:right="0" w:firstLine="400"/>
        <w:jc w:val="both"/>
      </w:pPr>
      <w:r>
        <w:rPr>
          <w:rStyle w:val="CharStyle8"/>
        </w:rPr>
        <w:t xml:space="preserve">5 ks </w:t>
      </w:r>
      <w:r>
        <w:rPr>
          <w:rStyle w:val="CharStyle8"/>
          <w:b/>
          <w:bCs/>
        </w:rPr>
        <w:t>tiskáren CB,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0" w:line="283" w:lineRule="auto"/>
        <w:ind w:left="0" w:right="0" w:firstLine="400"/>
        <w:jc w:val="both"/>
      </w:pPr>
      <w:r>
        <w:rPr>
          <w:rStyle w:val="CharStyle8"/>
        </w:rPr>
        <w:t xml:space="preserve">15 ks </w:t>
      </w:r>
      <w:r>
        <w:rPr>
          <w:rStyle w:val="CharStyle8"/>
          <w:b/>
          <w:bCs/>
        </w:rPr>
        <w:t>UPS pro PC,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283" w:lineRule="auto"/>
        <w:ind w:left="0" w:right="0" w:firstLine="400"/>
        <w:jc w:val="both"/>
      </w:pPr>
      <w:r>
        <w:rPr>
          <w:rStyle w:val="CharStyle8"/>
        </w:rPr>
        <w:t xml:space="preserve">10 ks </w:t>
      </w:r>
      <w:r>
        <w:rPr>
          <w:rStyle w:val="CharStyle8"/>
          <w:b/>
          <w:bCs/>
        </w:rPr>
        <w:t>počítač,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240" w:line="283" w:lineRule="auto"/>
        <w:ind w:left="0" w:right="0" w:firstLine="400"/>
        <w:jc w:val="both"/>
      </w:pPr>
      <w:r>
        <w:rPr>
          <w:rStyle w:val="CharStyle8"/>
        </w:rPr>
        <w:t xml:space="preserve">1 ks </w:t>
      </w:r>
      <w:r>
        <w:rPr>
          <w:rStyle w:val="CharStyle8"/>
          <w:b/>
          <w:bCs/>
        </w:rPr>
        <w:t>tiskárna štítků,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340" w:right="0" w:firstLine="0"/>
        <w:jc w:val="both"/>
      </w:pPr>
      <w:r>
        <w:rPr>
          <w:rStyle w:val="CharStyle8"/>
        </w:rPr>
        <w:t>Podrobná specifikace tohoto zboží je uvedena v příloze č. 1, která je nedílnou součástí této kupní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40" w:line="283" w:lineRule="auto"/>
        <w:ind w:left="400" w:right="0" w:hanging="400"/>
        <w:jc w:val="both"/>
      </w:pPr>
      <w:r>
        <w:rPr>
          <w:rStyle w:val="CharStyle8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/>
        <w:ind w:left="1080" w:right="0" w:hanging="400"/>
        <w:jc w:val="both"/>
      </w:pPr>
      <w:r>
        <w:rPr>
          <w:rStyle w:val="CharStyle8"/>
        </w:rPr>
        <w:t xml:space="preserve">Prodávající se zavazuje splnit svůj závazek k dodání zboží podle čl. 1 této smlouvy nejpozději do </w:t>
      </w:r>
      <w:r>
        <w:rPr>
          <w:rStyle w:val="CharStyle8"/>
          <w:b/>
          <w:bCs/>
        </w:rPr>
        <w:t xml:space="preserve">30 dnů </w:t>
      </w:r>
      <w:r>
        <w:rPr>
          <w:rStyle w:val="CharStyle8"/>
        </w:rPr>
        <w:t>ode dne účinnosti této smlouvy, a to v místě splnění tohoto závazku, kterým je sídlo kupujícího v Brně, Kamenice 798/1 d, 625 00.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 w:line="283" w:lineRule="auto"/>
        <w:ind w:left="1080" w:right="0" w:hanging="400"/>
        <w:jc w:val="both"/>
      </w:pPr>
      <w:r>
        <w:rPr>
          <w:rStyle w:val="CharStyle8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 w:line="283" w:lineRule="auto"/>
        <w:ind w:left="1080" w:right="0" w:hanging="400"/>
        <w:jc w:val="both"/>
      </w:pPr>
      <w:r>
        <w:rPr>
          <w:rStyle w:val="CharStyle8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 w:after="60" w:line="286" w:lineRule="auto"/>
        <w:ind w:left="1080" w:right="0" w:hanging="400"/>
        <w:jc w:val="both"/>
      </w:pPr>
      <w:r>
        <w:rPr>
          <w:rStyle w:val="CharStyle8"/>
        </w:rPr>
        <w:t>Kupující se zavazuje zaplatit prodávajícímu za předmět koupě a prodeje podle čl. 1 této smlouvy celkovou kupní cenu ve výši: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/>
        <w:ind w:left="3300" w:right="0" w:firstLine="0"/>
        <w:jc w:val="both"/>
      </w:pPr>
      <w:r>
        <w:rPr>
          <w:rStyle w:val="CharStyle8"/>
          <w:b/>
          <w:bCs/>
        </w:rPr>
        <w:t xml:space="preserve">583 396,00,- </w:t>
      </w:r>
      <w:r>
        <w:rPr>
          <w:rStyle w:val="CharStyle8"/>
        </w:rPr>
        <w:t xml:space="preserve">Kč bez DPH, tj. </w:t>
      </w:r>
      <w:r>
        <w:rPr>
          <w:rStyle w:val="CharStyle8"/>
          <w:b/>
          <w:bCs/>
        </w:rPr>
        <w:t xml:space="preserve">705 909,16,- </w:t>
      </w:r>
      <w:r>
        <w:rPr>
          <w:rStyle w:val="CharStyle8"/>
        </w:rPr>
        <w:t>Kč včetně DPH.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1080" w:right="0" w:firstLine="20"/>
        <w:jc w:val="both"/>
      </w:pPr>
      <w:r>
        <w:rPr>
          <w:rStyle w:val="CharStyle8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/>
        <w:ind w:left="1080" w:right="0" w:hanging="400"/>
        <w:jc w:val="both"/>
      </w:pPr>
      <w:r>
        <w:rPr>
          <w:rStyle w:val="CharStyle8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 </w:t>
      </w:r>
      <w:r>
        <w:rPr>
          <w:rStyle w:val="CharStyle8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8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CharStyle8"/>
          <w:shd w:val="clear" w:color="auto" w:fill="000000"/>
          <w:lang w:val="en-US" w:eastAsia="en-US" w:bidi="en-US"/>
        </w:rPr>
        <w:t>.</w:t>
      </w:r>
      <w:r>
        <w:rPr>
          <w:rStyle w:val="CharStyle8"/>
          <w:b/>
          <w:bCs/>
          <w:shd w:val="clear" w:color="auto" w:fill="000000"/>
        </w:rPr>
        <w:t>​...</w:t>
      </w:r>
      <w:r>
        <w:rPr>
          <w:rStyle w:val="CharStyle8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8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8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8"/>
          <w:color w:val="7CB0DD"/>
          <w:lang w:val="en-US" w:eastAsia="en-US" w:bidi="en-US"/>
        </w:rPr>
        <w:t xml:space="preserve"> </w:t>
      </w:r>
      <w:r>
        <w:rPr>
          <w:rStyle w:val="CharStyle8"/>
          <w:b/>
          <w:bCs/>
        </w:rPr>
        <w:t xml:space="preserve">a musí </w:t>
      </w:r>
      <w:r>
        <w:rPr>
          <w:rStyle w:val="CharStyle8"/>
        </w:rPr>
        <w:t xml:space="preserve">obsahovat mimo jiné toto číslo veřejné zakázky: </w:t>
      </w:r>
      <w:r>
        <w:rPr>
          <w:rStyle w:val="CharStyle8"/>
          <w:b/>
          <w:bCs/>
        </w:rPr>
        <w:t xml:space="preserve">P23V00002508. </w:t>
      </w:r>
      <w:r>
        <w:rPr>
          <w:rStyle w:val="CharStyle8"/>
        </w:rPr>
        <w:t>Přílohou faktury bude kopie oboustranně podepsaného předávacího protokolu.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/>
        <w:ind w:left="1080" w:right="0" w:hanging="400"/>
        <w:jc w:val="both"/>
      </w:pPr>
      <w:r>
        <w:rPr>
          <w:rStyle w:val="CharStyle8"/>
        </w:rPr>
        <w:t xml:space="preserve">Není-li dále ujednáno jinak, je s převodem zboží podle čl. 1 této smlouvy spojena záruka za jeho jakost v trvání </w:t>
      </w:r>
      <w:r>
        <w:rPr>
          <w:rStyle w:val="CharStyle8"/>
          <w:b/>
          <w:bCs/>
        </w:rPr>
        <w:t xml:space="preserve">24 měsíců </w:t>
      </w:r>
      <w:r>
        <w:rPr>
          <w:rStyle w:val="CharStyle8"/>
        </w:rPr>
        <w:t xml:space="preserve">ode dne splnění závazku prodávajícího k dodání tohoto zboží. V případě dodání zboží podle čl. 1 písm. a), c) a g) této smlouvy je pak s převodem tohoto zboží spojena záruka za jakost v trvání </w:t>
      </w:r>
      <w:r>
        <w:rPr>
          <w:rStyle w:val="CharStyle8"/>
          <w:b/>
          <w:bCs/>
        </w:rPr>
        <w:t xml:space="preserve">36 měsíců </w:t>
      </w:r>
      <w:r>
        <w:rPr>
          <w:rStyle w:val="CharStyle8"/>
        </w:rPr>
        <w:t>ode dne splnění závazku prodávajícího k dodání tohoto zboží. V rámci těchto záruk se prodávající zavazuje odstraňovat vady na zboží podle čl. 1 této smlouvy ve lhůtě do 30 dnů od doručení příslušné reklamace kupujícího. Vzhledem k povaze zboží podle čl. 1 této smlouvy lze dodržet Ihútu podle tohoto článku této smlouvy i zapůjčením stejného zboží na dobu potřebnou k odstranění vady.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/>
        <w:ind w:left="1080" w:right="0" w:hanging="400"/>
        <w:jc w:val="both"/>
      </w:pPr>
      <w:r>
        <w:rPr>
          <w:rStyle w:val="CharStyle8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/>
        <w:ind w:left="1080" w:right="0" w:hanging="400"/>
        <w:jc w:val="both"/>
      </w:pPr>
      <w:r>
        <w:rPr>
          <w:rStyle w:val="CharStyle8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8" w:val="left"/>
        </w:tabs>
        <w:bidi w:val="0"/>
        <w:spacing w:before="0" w:line="283" w:lineRule="auto"/>
        <w:ind w:left="1080" w:right="0" w:hanging="400"/>
        <w:jc w:val="both"/>
      </w:pPr>
      <w:r>
        <w:rPr>
          <w:rStyle w:val="CharStyle8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/>
        <w:ind w:left="1080" w:right="0" w:hanging="380"/>
        <w:jc w:val="both"/>
      </w:pPr>
      <w:r>
        <w:rPr>
          <w:rStyle w:val="CharStyle8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 w:line="286" w:lineRule="auto"/>
        <w:ind w:left="1080" w:right="0" w:hanging="380"/>
        <w:jc w:val="both"/>
      </w:pPr>
      <w:r>
        <w:rPr>
          <w:rStyle w:val="CharStyle8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 w:line="283" w:lineRule="auto"/>
        <w:ind w:left="1080" w:right="0" w:hanging="380"/>
        <w:jc w:val="both"/>
      </w:pPr>
      <w:r>
        <w:rPr>
          <w:rStyle w:val="CharStyle8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 w:line="283" w:lineRule="auto"/>
        <w:ind w:left="1080" w:right="0" w:hanging="380"/>
        <w:jc w:val="both"/>
      </w:pPr>
      <w:r>
        <w:rPr>
          <w:rStyle w:val="CharStyle8"/>
        </w:rPr>
        <w:t>Tuto smlouvu lze změnit nebo zrušit pouze jinou písemnou dohodou obou smluvních stran.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/>
        <w:ind w:left="1080" w:right="0" w:hanging="380"/>
        <w:jc w:val="both"/>
      </w:pPr>
      <w:r>
        <w:rPr>
          <w:rStyle w:val="CharStyle8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 w:line="283" w:lineRule="auto"/>
        <w:ind w:left="0" w:right="0" w:firstLine="700"/>
        <w:jc w:val="both"/>
      </w:pPr>
      <w:r>
        <w:rPr>
          <w:rStyle w:val="CharStyle8"/>
        </w:rPr>
        <w:t>Tato smlouva nabývá účinnosti dnem jejího uveřejnění v registru smluv dle čl. 16.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/>
        <w:ind w:left="1080" w:right="0" w:hanging="380"/>
        <w:jc w:val="both"/>
      </w:pPr>
      <w:r>
        <w:rPr>
          <w:rStyle w:val="CharStyle8"/>
        </w:rPr>
        <w:t>Dáno ve dvou originálních písemných vyhotoveních, z nichž každá ze smluvních stran obdrží po jednom.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8" w:val="left"/>
        </w:tabs>
        <w:bidi w:val="0"/>
        <w:spacing w:before="0" w:after="0" w:line="283" w:lineRule="auto"/>
        <w:ind w:left="1080" w:right="0" w:hanging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1" w:right="1330" w:bottom="1810" w:left="998" w:header="0" w:footer="3" w:gutter="0"/>
          <w:cols w:space="720"/>
          <w:noEndnote/>
          <w:rtlGutter w:val="0"/>
          <w:docGrid w:linePitch="360"/>
        </w:sectPr>
      </w:pPr>
      <w:r>
        <w:rPr>
          <w:rStyle w:val="CharStyle8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widowControl w:val="0"/>
        <w:spacing w:before="104" w:after="10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5" w:right="0" w:bottom="158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14300" distL="114300" distR="114300" simplePos="0" relativeHeight="125829382" behindDoc="0" locked="0" layoutInCell="1" allowOverlap="1">
            <wp:simplePos x="0" y="0"/>
            <wp:positionH relativeFrom="page">
              <wp:posOffset>1746250</wp:posOffset>
            </wp:positionH>
            <wp:positionV relativeFrom="paragraph">
              <wp:posOffset>12700</wp:posOffset>
            </wp:positionV>
            <wp:extent cx="1225550" cy="26797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25550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1767840</wp:posOffset>
            </wp:positionH>
            <wp:positionV relativeFrom="paragraph">
              <wp:posOffset>783590</wp:posOffset>
            </wp:positionV>
            <wp:extent cx="1060450" cy="426720"/>
            <wp:wrapTight wrapText="bothSides">
              <wp:wrapPolygon>
                <wp:start x="20355" y="0"/>
                <wp:lineTo x="21600" y="0"/>
                <wp:lineTo x="21600" y="21600"/>
                <wp:lineTo x="0" y="21600"/>
                <wp:lineTo x="0" y="4351"/>
                <wp:lineTo x="20168" y="4351"/>
                <wp:lineTo x="20168" y="3729"/>
                <wp:lineTo x="20355" y="3729"/>
                <wp:lineTo x="20355" y="0"/>
              </wp:wrapPolygon>
            </wp:wrapTight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060450" cy="426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8"/>
          <w:color w:val="7CB0DD"/>
          <w:sz w:val="18"/>
          <w:szCs w:val="18"/>
        </w:rPr>
        <w:t>Zdravotnická záchranná služba</w:t>
        <w:br/>
        <w:t>Jihomoravského k</w:t>
      </w:r>
      <w:r>
        <w:rPr>
          <w:rStyle w:val="CharStyle8"/>
          <w:sz w:val="18"/>
          <w:szCs w:val="18"/>
          <w:shd w:val="clear" w:color="auto" w:fill="000000"/>
        </w:rPr>
        <w:t>........​......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8"/>
          <w:color w:val="7CB0DD"/>
          <w:sz w:val="18"/>
          <w:szCs w:val="18"/>
        </w:rPr>
        <w:t>Kamenice 798/1 d, 6</w:t>
      </w:r>
      <w:r>
        <w:rPr>
          <w:rStyle w:val="CharStyle8"/>
          <w:sz w:val="18"/>
          <w:szCs w:val="18"/>
          <w:shd w:val="clear" w:color="auto" w:fill="000000"/>
        </w:rPr>
        <w:t>.....​.....​</w:t>
      </w:r>
      <w:r>
        <w:rPr>
          <w:rStyle w:val="CharStyle8"/>
          <w:spacing w:val="4"/>
          <w:sz w:val="18"/>
          <w:szCs w:val="18"/>
          <w:shd w:val="clear" w:color="auto" w:fill="000000"/>
        </w:rPr>
        <w:t>.....</w:t>
      </w:r>
      <w:r>
        <w:rPr>
          <w:rStyle w:val="CharStyle8"/>
          <w:spacing w:val="5"/>
          <w:sz w:val="18"/>
          <w:szCs w:val="18"/>
          <w:shd w:val="clear" w:color="auto" w:fill="000000"/>
        </w:rPr>
        <w:t>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57" w:lineRule="auto"/>
        <w:ind w:left="1160" w:right="0" w:firstLine="0"/>
        <w:jc w:val="left"/>
        <w:rPr>
          <w:sz w:val="18"/>
          <w:szCs w:val="18"/>
        </w:rPr>
      </w:pPr>
      <w:r>
        <w:rPr>
          <w:rStyle w:val="CharStyle8"/>
          <w:sz w:val="18"/>
          <w:szCs w:val="18"/>
          <w:shd w:val="clear" w:color="auto" w:fill="000000"/>
        </w:rPr>
        <w:t>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firstLine="0"/>
        <w:jc w:val="left"/>
      </w:pPr>
      <w:r>
        <w:rPr>
          <w:rStyle w:val="CharStyle8"/>
        </w:rPr>
        <w:t>MUDr. Hana Albrechtová ředitelka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680"/>
        <w:jc w:val="left"/>
      </w:pPr>
      <w:r>
        <w:rPr>
          <w:rStyle w:val="CharStyle8"/>
          <w:b/>
          <w:bCs/>
          <w:i/>
          <w:iCs/>
        </w:rPr>
        <w:t>Kupující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left"/>
      </w:pPr>
      <w:r>
        <w:rPr>
          <w:rStyle w:val="CharStyle8"/>
        </w:rPr>
        <w:t>V Ostravě dne 10.08.2023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right"/>
      </w:pPr>
      <w:r>
        <w:rPr>
          <w:rStyle w:val="CharStyle32"/>
          <w:spacing w:val="2"/>
          <w:shd w:val="clear" w:color="auto" w:fill="000000"/>
        </w:rPr>
        <w:t>....</w:t>
      </w:r>
      <w:r>
        <w:rPr>
          <w:rStyle w:val="CharStyle32"/>
          <w:spacing w:val="3"/>
          <w:shd w:val="clear" w:color="auto" w:fill="000000"/>
        </w:rPr>
        <w:t>..........</w:t>
      </w:r>
      <w:r>
        <w:rPr>
          <w:rStyle w:val="CharStyle32"/>
          <w:shd w:val="clear" w:color="auto" w:fill="000000"/>
        </w:rPr>
        <w:t>​</w:t>
      </w:r>
      <w:r>
        <w:rPr>
          <w:rStyle w:val="CharStyle32"/>
          <w:spacing w:val="1"/>
          <w:shd w:val="clear" w:color="auto" w:fill="000000"/>
        </w:rPr>
        <w:t>.....</w:t>
      </w:r>
      <w:r>
        <w:rPr>
          <w:rStyle w:val="CharStyle32"/>
          <w:spacing w:val="2"/>
          <w:shd w:val="clear" w:color="auto" w:fill="000000"/>
        </w:rPr>
        <w:t>.........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" w:line="223" w:lineRule="auto"/>
        <w:ind w:left="0" w:right="0" w:firstLine="0"/>
        <w:jc w:val="left"/>
      </w:pPr>
      <w:r>
        <w:rPr>
          <w:rStyle w:val="CharStyle32"/>
          <w:sz w:val="22"/>
          <w:szCs w:val="22"/>
          <w:shd w:val="clear" w:color="auto" w:fill="000000"/>
        </w:rPr>
        <w:t>.......​</w:t>
      </w:r>
      <w:r>
        <w:rPr>
          <w:rStyle w:val="CharStyle32"/>
          <w:spacing w:val="1"/>
          <w:sz w:val="22"/>
          <w:szCs w:val="22"/>
          <w:shd w:val="clear" w:color="auto" w:fill="000000"/>
        </w:rPr>
        <w:t>...</w:t>
      </w:r>
      <w:r>
        <w:rPr>
          <w:rStyle w:val="CharStyle32"/>
          <w:spacing w:val="2"/>
          <w:sz w:val="22"/>
          <w:szCs w:val="22"/>
          <w:shd w:val="clear" w:color="auto" w:fill="000000"/>
        </w:rPr>
        <w:t>...........</w:t>
      </w:r>
      <w:r>
        <w:rPr>
          <w:rStyle w:val="CharStyle32"/>
          <w:shd w:val="clear" w:color="auto" w:fill="000000"/>
        </w:rPr>
        <w:t>​.......​</w:t>
      </w:r>
      <w:r>
        <w:rPr>
          <w:rStyle w:val="CharStyle32"/>
          <w:spacing w:val="1"/>
          <w:shd w:val="clear" w:color="auto" w:fill="000000"/>
        </w:rPr>
        <w:t>..........</w:t>
      </w:r>
      <w:r>
        <w:rPr>
          <w:rStyle w:val="CharStyle32"/>
          <w:spacing w:val="2"/>
          <w:shd w:val="clear" w:color="auto" w:fill="000000"/>
        </w:rPr>
        <w:t>...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400" w:right="0" w:hanging="1400"/>
        <w:jc w:val="left"/>
      </w:pPr>
      <w:r>
        <w:rPr>
          <w:rStyle w:val="CharStyle32"/>
          <w:sz w:val="22"/>
          <w:szCs w:val="22"/>
          <w:shd w:val="clear" w:color="auto" w:fill="000000"/>
        </w:rPr>
        <w:t>............</w:t>
      </w:r>
      <w:r>
        <w:rPr>
          <w:rStyle w:val="CharStyle32"/>
          <w:spacing w:val="1"/>
          <w:sz w:val="22"/>
          <w:szCs w:val="22"/>
          <w:shd w:val="clear" w:color="auto" w:fill="000000"/>
        </w:rPr>
        <w:t>.</w:t>
      </w:r>
      <w:r>
        <w:rPr>
          <w:rStyle w:val="CharStyle32"/>
          <w:sz w:val="22"/>
          <w:szCs w:val="22"/>
          <w:shd w:val="clear" w:color="auto" w:fill="000000"/>
        </w:rPr>
        <w:t>​</w:t>
      </w:r>
      <w:r>
        <w:rPr>
          <w:rStyle w:val="CharStyle32"/>
          <w:spacing w:val="4"/>
          <w:sz w:val="22"/>
          <w:szCs w:val="22"/>
          <w:shd w:val="clear" w:color="auto" w:fill="000000"/>
        </w:rPr>
        <w:t>..</w:t>
      </w:r>
      <w:r>
        <w:rPr>
          <w:rStyle w:val="CharStyle32"/>
          <w:spacing w:val="5"/>
          <w:sz w:val="22"/>
          <w:szCs w:val="22"/>
          <w:shd w:val="clear" w:color="auto" w:fill="000000"/>
        </w:rPr>
        <w:t>......</w:t>
      </w:r>
      <w:r>
        <w:rPr>
          <w:rStyle w:val="CharStyle32"/>
          <w:shd w:val="clear" w:color="auto" w:fill="000000"/>
        </w:rPr>
        <w:t>​......</w:t>
      </w:r>
      <w:r>
        <w:rPr>
          <w:rStyle w:val="CharStyle32"/>
          <w:spacing w:val="1"/>
          <w:shd w:val="clear" w:color="auto" w:fill="000000"/>
        </w:rPr>
        <w:t>.......................</w:t>
      </w:r>
      <w:r>
        <w:rPr>
          <w:rStyle w:val="CharStyle32"/>
        </w:rPr>
        <w:t xml:space="preserve"> </w:t>
      </w:r>
      <w:r>
        <w:rPr>
          <w:rStyle w:val="CharStyle32"/>
          <w:shd w:val="clear" w:color="auto" w:fill="000000"/>
        </w:rPr>
        <w:t>​...............​</w:t>
      </w:r>
      <w:r>
        <w:rPr>
          <w:rStyle w:val="CharStyle32"/>
          <w:spacing w:val="1"/>
          <w:shd w:val="clear" w:color="auto" w:fill="000000"/>
        </w:rPr>
        <w:t>...</w:t>
      </w:r>
      <w:r>
        <w:rPr>
          <w:rStyle w:val="CharStyle32"/>
          <w:spacing w:val="2"/>
          <w:shd w:val="clear" w:color="auto" w:fill="000000"/>
        </w:rPr>
        <w:t>........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8"/>
        </w:rPr>
        <w:t>Ing. Jaroslav Chýlek ředitel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5" w:right="2538" w:bottom="1585" w:left="904" w:header="0" w:footer="3" w:gutter="0"/>
          <w:cols w:num="2" w:space="2801"/>
          <w:noEndnote/>
          <w:rtlGutter w:val="0"/>
          <w:docGrid w:linePitch="360"/>
        </w:sectPr>
      </w:pPr>
      <w:r>
        <w:rPr>
          <w:rStyle w:val="CharStyle8"/>
          <w:b/>
          <w:bCs/>
          <w:i/>
          <w:iCs/>
        </w:rPr>
        <w:t>Prodávající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8"/>
          <w:b/>
          <w:bCs/>
        </w:rPr>
        <w:t>Příloha č. 1 Ceník a Technická specifikace</w:t>
      </w:r>
    </w:p>
    <w:tbl>
      <w:tblPr>
        <w:tblOverlap w:val="never"/>
        <w:jc w:val="center"/>
        <w:tblLayout w:type="fixed"/>
      </w:tblPr>
      <w:tblGrid>
        <w:gridCol w:w="1930"/>
        <w:gridCol w:w="1906"/>
        <w:gridCol w:w="1786"/>
        <w:gridCol w:w="1790"/>
        <w:gridCol w:w="1786"/>
        <w:gridCol w:w="1786"/>
        <w:gridCol w:w="1805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Produktové číslo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Cena ks/Kč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Cena ks/Kč s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Cena za počet ks/Kč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Cena za počet ks/Kč s DPH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Notebook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817S6EA#BCM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18 060,00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21852,6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180 600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218 526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Dokovací stanice k notebooku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5TW13AA#ABB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4065,6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33 600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40 656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Monitor 24“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210-AZYX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3 199,00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3870,79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63 980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77 415,8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Tiskárna Color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C11CJ61403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6 571,00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7950,91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65 710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79 509,1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Tiskárna CB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C11CG92403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6 542,00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7915,82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32 710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39 579,1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UPC pro PC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BK650EI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3 464,00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4191,44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51 960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62 871,6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PC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873M1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14 589,00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17652,69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145 890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176 526,9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Tiskárna štítků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  <w:b/>
                <w:bCs/>
              </w:rPr>
              <w:t>PT-P950NW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43"/>
              </w:rPr>
              <w:t>8 590,70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10394,75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8 946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10 824,66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583 396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3"/>
              </w:rPr>
              <w:t>705 909,2</w:t>
            </w:r>
          </w:p>
        </w:tc>
      </w:tr>
    </w:tbl>
    <w:p>
      <w:pPr>
        <w:widowControl w:val="0"/>
        <w:spacing w:after="48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05_2023 Výpočetní technika</w:t>
      </w:r>
    </w:p>
    <w:sectPr>
      <w:footerReference w:type="default" r:id="rId13"/>
      <w:footerReference w:type="even" r:id="rId14"/>
      <w:footnotePr>
        <w:pos w:val="pageBottom"/>
        <w:numFmt w:val="decimal"/>
        <w:numRestart w:val="continuous"/>
      </w:footnotePr>
      <w:pgSz w:w="16840" w:h="11900" w:orient="landscape"/>
      <w:pgMar w:top="1936" w:right="2522" w:bottom="664" w:left="1532" w:header="1508" w:footer="23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10055860</wp:posOffset>
              </wp:positionV>
              <wp:extent cx="154559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05_2023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.900000000000006pt;margin-top:791.80000000000007pt;width:121.7pt;height:9.3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05_2023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9773920</wp:posOffset>
              </wp:positionV>
              <wp:extent cx="52070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3.35000000000002pt;margin-top:769.60000000000002pt;width:4.0999999999999996pt;height:6.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10039350</wp:posOffset>
              </wp:positionV>
              <wp:extent cx="1545590" cy="12192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05_2023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4.700000000000003pt;margin-top:790.5pt;width:121.7pt;height:9.59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05_2023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Základní text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3">
    <w:name w:val="Jiné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auto"/>
      <w:spacing w:after="180"/>
      <w:ind w:left="70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42">
    <w:name w:val="Jiné"/>
    <w:basedOn w:val="Normal"/>
    <w:link w:val="CharStyle43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/Relationships>
</file>