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2A8C8FC9" w14:textId="77777777" w:rsidR="002D7415" w:rsidRDefault="00651DB4" w:rsidP="00C0216C">
      <w:pPr>
        <w:pStyle w:val="Nadpis2"/>
        <w:numPr>
          <w:ilvl w:val="0"/>
          <w:numId w:val="0"/>
        </w:numPr>
        <w:spacing w:before="0" w:after="0"/>
        <w:jc w:val="center"/>
        <w:rPr>
          <w:b/>
          <w:sz w:val="20"/>
        </w:rPr>
      </w:pPr>
      <w:r>
        <w:rPr>
          <w:b/>
          <w:sz w:val="20"/>
        </w:rPr>
        <w:t>„</w:t>
      </w:r>
      <w:r w:rsidRPr="00651DB4">
        <w:rPr>
          <w:b/>
          <w:sz w:val="20"/>
        </w:rPr>
        <w:t>ReactEU-98-Cheb_Diagnostická a zdravotnická technika</w:t>
      </w:r>
    </w:p>
    <w:p w14:paraId="6A835AF2" w14:textId="3A040288" w:rsidR="00081B4D" w:rsidRPr="004B32F1" w:rsidRDefault="002D7415" w:rsidP="00C0216C">
      <w:pPr>
        <w:pStyle w:val="Nadpis2"/>
        <w:numPr>
          <w:ilvl w:val="0"/>
          <w:numId w:val="0"/>
        </w:numPr>
        <w:spacing w:before="0" w:after="0"/>
        <w:jc w:val="center"/>
        <w:rPr>
          <w:b/>
          <w:sz w:val="20"/>
        </w:rPr>
      </w:pPr>
      <w:r>
        <w:rPr>
          <w:b/>
          <w:sz w:val="20"/>
        </w:rPr>
        <w:t>č</w:t>
      </w:r>
      <w:r w:rsidRPr="002D7415">
        <w:rPr>
          <w:b/>
          <w:sz w:val="20"/>
        </w:rPr>
        <w:t>ást 2 – Odsávačka elektrická vč. mobilního stojanu</w:t>
      </w:r>
      <w:r w:rsidR="00C0216C" w:rsidRPr="00651DB4">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1366694B" w:rsidR="00F87DA6" w:rsidRPr="005A5EBA" w:rsidRDefault="00F87DA6" w:rsidP="00F87DA6">
      <w:pPr>
        <w:pStyle w:val="Zkladntextodsazen"/>
        <w:ind w:left="0"/>
        <w:rPr>
          <w:color w:val="auto"/>
        </w:rPr>
      </w:pPr>
      <w:r w:rsidRPr="00D82385">
        <w:rPr>
          <w:color w:val="auto"/>
        </w:rPr>
        <w:t xml:space="preserve">bankovní spojení: </w:t>
      </w:r>
      <w:r w:rsidRPr="00D82385">
        <w:rPr>
          <w:color w:val="auto"/>
        </w:rPr>
        <w:tab/>
      </w:r>
      <w:r w:rsidRPr="005A5EBA">
        <w:rPr>
          <w:color w:val="auto"/>
        </w:rPr>
        <w:tab/>
      </w:r>
      <w:r w:rsidR="005A5EBA" w:rsidRPr="005A5EBA">
        <w:rPr>
          <w:color w:val="auto"/>
        </w:rPr>
        <w:t>XXXXXXXXXX</w:t>
      </w:r>
    </w:p>
    <w:p w14:paraId="47B44C0B" w14:textId="28CAFDA0" w:rsidR="00F87DA6" w:rsidRPr="005A5EBA" w:rsidRDefault="00F87DA6" w:rsidP="00F87DA6">
      <w:pPr>
        <w:pStyle w:val="Zkladntextodsazen"/>
        <w:ind w:left="0"/>
        <w:rPr>
          <w:color w:val="auto"/>
        </w:rPr>
      </w:pPr>
      <w:r w:rsidRPr="005A5EBA">
        <w:rPr>
          <w:color w:val="auto"/>
        </w:rPr>
        <w:t xml:space="preserve">číslo účtu: </w:t>
      </w:r>
      <w:r w:rsidRPr="005A5EBA">
        <w:rPr>
          <w:color w:val="auto"/>
        </w:rPr>
        <w:tab/>
        <w:t xml:space="preserve"> </w:t>
      </w:r>
      <w:r w:rsidRPr="005A5EBA">
        <w:rPr>
          <w:color w:val="auto"/>
        </w:rPr>
        <w:tab/>
      </w:r>
      <w:r w:rsidRPr="005A5EBA">
        <w:rPr>
          <w:color w:val="auto"/>
        </w:rPr>
        <w:tab/>
      </w:r>
      <w:r w:rsidR="005A5EBA" w:rsidRPr="005A5EBA">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66EA122E" w14:textId="77777777" w:rsidR="001414E1" w:rsidRPr="00D82385" w:rsidRDefault="001414E1" w:rsidP="001414E1">
      <w:pPr>
        <w:spacing w:after="120"/>
        <w:rPr>
          <w:b/>
        </w:rPr>
      </w:pPr>
      <w:r>
        <w:rPr>
          <w:rFonts w:eastAsia="Arial Unicode MS" w:cs="Arial"/>
          <w:b/>
        </w:rPr>
        <w:t>LHL s.r.o.</w:t>
      </w:r>
    </w:p>
    <w:p w14:paraId="3CC8524B" w14:textId="77777777" w:rsidR="001414E1" w:rsidRPr="00D82385" w:rsidRDefault="001414E1" w:rsidP="001414E1">
      <w:pPr>
        <w:pStyle w:val="Zkladntextodsazen"/>
        <w:ind w:left="0"/>
        <w:rPr>
          <w:color w:val="auto"/>
        </w:rPr>
      </w:pPr>
      <w:r w:rsidRPr="00D82385">
        <w:rPr>
          <w:color w:val="auto"/>
        </w:rPr>
        <w:t>se sídlem / místem podnikání</w:t>
      </w:r>
      <w:r w:rsidRPr="00D82385">
        <w:rPr>
          <w:color w:val="auto"/>
        </w:rPr>
        <w:tab/>
      </w:r>
      <w:r w:rsidRPr="00BE5B4D">
        <w:rPr>
          <w:color w:val="auto"/>
        </w:rPr>
        <w:t>Lipová 17/18, Ústí nad Labem 400 10</w:t>
      </w:r>
    </w:p>
    <w:p w14:paraId="6C09CA14" w14:textId="77777777" w:rsidR="001414E1" w:rsidRPr="00D82385" w:rsidRDefault="001414E1" w:rsidP="001414E1">
      <w:pPr>
        <w:pStyle w:val="Zkladntextodsazen"/>
        <w:ind w:left="0"/>
        <w:rPr>
          <w:color w:val="auto"/>
        </w:rPr>
      </w:pPr>
      <w:r w:rsidRPr="00D82385">
        <w:rPr>
          <w:color w:val="auto"/>
        </w:rPr>
        <w:t xml:space="preserve">IČO: </w:t>
      </w:r>
      <w:r w:rsidRPr="00D82385">
        <w:rPr>
          <w:color w:val="auto"/>
        </w:rPr>
        <w:tab/>
      </w:r>
      <w:r w:rsidRPr="00D82385">
        <w:rPr>
          <w:color w:val="auto"/>
        </w:rPr>
        <w:tab/>
      </w:r>
      <w:r w:rsidRPr="00D82385">
        <w:rPr>
          <w:color w:val="auto"/>
        </w:rPr>
        <w:tab/>
      </w:r>
      <w:r w:rsidRPr="00D82385">
        <w:rPr>
          <w:color w:val="auto"/>
        </w:rPr>
        <w:tab/>
      </w:r>
      <w:r w:rsidRPr="00BE5B4D">
        <w:rPr>
          <w:color w:val="auto"/>
        </w:rPr>
        <w:t>27301800</w:t>
      </w:r>
    </w:p>
    <w:p w14:paraId="4E9A625E" w14:textId="77777777" w:rsidR="001414E1" w:rsidRPr="00D82385" w:rsidRDefault="001414E1" w:rsidP="001414E1">
      <w:pPr>
        <w:pStyle w:val="Zkladntextodsazen"/>
        <w:ind w:left="0"/>
        <w:rPr>
          <w:color w:val="auto"/>
        </w:rPr>
      </w:pPr>
      <w:r w:rsidRPr="00D82385">
        <w:rPr>
          <w:color w:val="auto"/>
        </w:rPr>
        <w:t>DIČ:</w:t>
      </w:r>
      <w:r w:rsidRPr="00D82385">
        <w:rPr>
          <w:color w:val="auto"/>
        </w:rPr>
        <w:tab/>
      </w:r>
      <w:r w:rsidRPr="00D82385">
        <w:rPr>
          <w:color w:val="auto"/>
        </w:rPr>
        <w:tab/>
      </w:r>
      <w:r w:rsidRPr="00D82385">
        <w:rPr>
          <w:color w:val="auto"/>
        </w:rPr>
        <w:tab/>
      </w:r>
      <w:r w:rsidRPr="00D82385">
        <w:rPr>
          <w:color w:val="auto"/>
        </w:rPr>
        <w:tab/>
      </w:r>
      <w:r>
        <w:rPr>
          <w:color w:val="auto"/>
        </w:rPr>
        <w:t>CZ</w:t>
      </w:r>
      <w:r w:rsidRPr="00BE5B4D">
        <w:rPr>
          <w:color w:val="auto"/>
        </w:rPr>
        <w:t>27301800</w:t>
      </w:r>
    </w:p>
    <w:p w14:paraId="13BC88CB" w14:textId="66A67EEA" w:rsidR="001414E1" w:rsidRPr="00D82385" w:rsidRDefault="001414E1" w:rsidP="001414E1">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5A5EBA" w:rsidRPr="005A5EBA">
        <w:rPr>
          <w:color w:val="auto"/>
        </w:rPr>
        <w:t>XXXXXXXXXX</w:t>
      </w:r>
    </w:p>
    <w:p w14:paraId="31AF2922" w14:textId="77777777" w:rsidR="005A5EBA" w:rsidRDefault="001414E1" w:rsidP="001414E1">
      <w:pPr>
        <w:pStyle w:val="Zkladntextodsazen"/>
        <w:ind w:left="0"/>
        <w:rPr>
          <w:color w:val="auto"/>
        </w:rPr>
      </w:pPr>
      <w:r w:rsidRPr="00D82385">
        <w:rPr>
          <w:color w:val="auto"/>
        </w:rPr>
        <w:t>číslo účtu:</w:t>
      </w:r>
      <w:r w:rsidRPr="00D82385">
        <w:rPr>
          <w:color w:val="auto"/>
        </w:rPr>
        <w:tab/>
      </w:r>
      <w:r w:rsidRPr="00D82385">
        <w:rPr>
          <w:color w:val="auto"/>
        </w:rPr>
        <w:tab/>
      </w:r>
      <w:r w:rsidRPr="00D82385">
        <w:rPr>
          <w:color w:val="auto"/>
        </w:rPr>
        <w:tab/>
      </w:r>
      <w:r w:rsidR="005A5EBA" w:rsidRPr="005A5EBA">
        <w:rPr>
          <w:color w:val="auto"/>
        </w:rPr>
        <w:t>XXXXXXXXXX</w:t>
      </w:r>
    </w:p>
    <w:p w14:paraId="07190F46" w14:textId="46CFEC75" w:rsidR="001414E1" w:rsidRPr="00D82385" w:rsidRDefault="001414E1" w:rsidP="001414E1">
      <w:pPr>
        <w:pStyle w:val="Zkladntextodsazen"/>
        <w:ind w:left="0"/>
        <w:rPr>
          <w:color w:val="auto"/>
        </w:rPr>
      </w:pPr>
      <w:r w:rsidRPr="00D82385">
        <w:rPr>
          <w:color w:val="auto"/>
        </w:rPr>
        <w:t>zastoupený:</w:t>
      </w:r>
      <w:r w:rsidRPr="00D82385">
        <w:rPr>
          <w:color w:val="auto"/>
        </w:rPr>
        <w:tab/>
      </w:r>
      <w:r w:rsidRPr="00D82385">
        <w:rPr>
          <w:color w:val="auto"/>
        </w:rPr>
        <w:tab/>
      </w:r>
      <w:r w:rsidRPr="00D82385">
        <w:rPr>
          <w:color w:val="auto"/>
        </w:rPr>
        <w:tab/>
      </w:r>
      <w:r w:rsidR="00126EDA">
        <w:rPr>
          <w:color w:val="auto"/>
        </w:rPr>
        <w:t>Martin Liška</w:t>
      </w:r>
      <w:r>
        <w:rPr>
          <w:color w:val="auto"/>
        </w:rPr>
        <w:t>, jednatel</w:t>
      </w:r>
    </w:p>
    <w:p w14:paraId="676B924C" w14:textId="77777777" w:rsidR="001414E1" w:rsidRDefault="001414E1" w:rsidP="001414E1">
      <w:r>
        <w:t>společnost zapsaná v obchodním rejstříku vedeném Krajským soudem v Ústí nad Labem, oddíl C, vložka 23355</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72683990"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 xml:space="preserve">Kupující </w:t>
      </w:r>
      <w:r w:rsidRPr="00811AAB">
        <w:rPr>
          <w:b w:val="0"/>
          <w:i w:val="0"/>
          <w:sz w:val="20"/>
        </w:rPr>
        <w:t>má zájem na uzavření této kupní smlouvy, jejímž předmětem je</w:t>
      </w:r>
      <w:r w:rsidR="00D82385" w:rsidRPr="00811AAB">
        <w:rPr>
          <w:b w:val="0"/>
          <w:i w:val="0"/>
          <w:sz w:val="20"/>
        </w:rPr>
        <w:t xml:space="preserve"> dodávka </w:t>
      </w:r>
      <w:r w:rsidR="00811AAB" w:rsidRPr="00811AAB">
        <w:rPr>
          <w:i w:val="0"/>
          <w:sz w:val="20"/>
        </w:rPr>
        <w:t xml:space="preserve">8 ks elektrických odsávaček včetně mobilního stojanu </w:t>
      </w:r>
      <w:r w:rsidR="005142C3" w:rsidRPr="00811AAB">
        <w:rPr>
          <w:i w:val="0"/>
          <w:sz w:val="20"/>
        </w:rPr>
        <w:t>pro nemocnici v</w:t>
      </w:r>
      <w:r w:rsidR="007126B8" w:rsidRPr="00811AAB">
        <w:rPr>
          <w:i w:val="0"/>
          <w:sz w:val="20"/>
        </w:rPr>
        <w:t> </w:t>
      </w:r>
      <w:r w:rsidR="00376C3C" w:rsidRPr="00811AAB">
        <w:rPr>
          <w:i w:val="0"/>
          <w:sz w:val="20"/>
        </w:rPr>
        <w:t>Chebu</w:t>
      </w:r>
      <w:r w:rsidR="00D82385" w:rsidRPr="00811AAB">
        <w:rPr>
          <w:b w:val="0"/>
          <w:i w:val="0"/>
          <w:sz w:val="20"/>
        </w:rPr>
        <w:t xml:space="preserve"> </w:t>
      </w:r>
      <w:r w:rsidR="004A6040" w:rsidRPr="00811AAB">
        <w:rPr>
          <w:b w:val="0"/>
          <w:i w:val="0"/>
          <w:sz w:val="20"/>
        </w:rPr>
        <w:t xml:space="preserve">za podmínek stanovených touto smlouvou a zadávacími podmínkami, které byly podkladem pro </w:t>
      </w:r>
      <w:r w:rsidR="0065341E" w:rsidRPr="00811AAB">
        <w:rPr>
          <w:b w:val="0"/>
          <w:i w:val="0"/>
          <w:sz w:val="20"/>
        </w:rPr>
        <w:t xml:space="preserve">nadlimitní </w:t>
      </w:r>
      <w:r w:rsidR="004A6040" w:rsidRPr="00811AAB">
        <w:rPr>
          <w:b w:val="0"/>
          <w:i w:val="0"/>
          <w:sz w:val="20"/>
        </w:rPr>
        <w:t xml:space="preserve">řízení </w:t>
      </w:r>
      <w:r w:rsidR="003B7D20" w:rsidRPr="00811AAB">
        <w:rPr>
          <w:b w:val="0"/>
          <w:i w:val="0"/>
          <w:sz w:val="20"/>
        </w:rPr>
        <w:t>na</w:t>
      </w:r>
      <w:r w:rsidR="004A6040" w:rsidRPr="00811AAB">
        <w:rPr>
          <w:b w:val="0"/>
          <w:i w:val="0"/>
          <w:sz w:val="20"/>
        </w:rPr>
        <w:t xml:space="preserve"> veřejnou zakázku </w:t>
      </w:r>
      <w:r w:rsidR="00433B44" w:rsidRPr="00811AAB">
        <w:rPr>
          <w:i w:val="0"/>
          <w:sz w:val="20"/>
        </w:rPr>
        <w:t>„</w:t>
      </w:r>
      <w:r w:rsidR="00A17DEE" w:rsidRPr="00811AAB">
        <w:rPr>
          <w:i w:val="0"/>
          <w:sz w:val="20"/>
        </w:rPr>
        <w:t>ReactEU-98-Cheb_Diagnostická a zdravotnická technika</w:t>
      </w:r>
      <w:r w:rsidR="002D7415">
        <w:rPr>
          <w:i w:val="0"/>
          <w:sz w:val="20"/>
        </w:rPr>
        <w:t xml:space="preserve"> - č</w:t>
      </w:r>
      <w:r w:rsidR="002D7415" w:rsidRPr="002D7415">
        <w:rPr>
          <w:i w:val="0"/>
          <w:sz w:val="20"/>
        </w:rPr>
        <w:t>ást 2 – Odsávačka elektrická vč. mobilního stojanu</w:t>
      </w:r>
      <w:r w:rsidR="00073D5D" w:rsidRPr="00811AAB">
        <w:rPr>
          <w:i w:val="0"/>
          <w:sz w:val="20"/>
        </w:rPr>
        <w:t xml:space="preserve">“ </w:t>
      </w:r>
      <w:r w:rsidR="00F11F13" w:rsidRPr="00811AAB">
        <w:rPr>
          <w:b w:val="0"/>
          <w:i w:val="0"/>
          <w:sz w:val="20"/>
        </w:rPr>
        <w:t xml:space="preserve">(dále jen „veřejná zakázka“) </w:t>
      </w:r>
      <w:r w:rsidR="003B7D20" w:rsidRPr="00811AAB">
        <w:rPr>
          <w:b w:val="0"/>
          <w:i w:val="0"/>
          <w:sz w:val="20"/>
        </w:rPr>
        <w:t>zahájenou</w:t>
      </w:r>
      <w:r w:rsidR="004A6040" w:rsidRPr="00811AAB">
        <w:rPr>
          <w:b w:val="0"/>
          <w:i w:val="0"/>
          <w:sz w:val="20"/>
        </w:rPr>
        <w:t xml:space="preserve"> dle</w:t>
      </w:r>
      <w:r w:rsidR="004A6040" w:rsidRPr="00EC25E4">
        <w:rPr>
          <w:b w:val="0"/>
          <w:i w:val="0"/>
          <w:sz w:val="20"/>
        </w:rPr>
        <w:t xml:space="preserve"> zákona</w:t>
      </w:r>
      <w:r w:rsidR="007126B8">
        <w:rPr>
          <w:b w:val="0"/>
          <w:i w:val="0"/>
          <w:sz w:val="20"/>
        </w:rPr>
        <w:t xml:space="preserve"> </w:t>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dne</w:t>
      </w:r>
      <w:r w:rsidR="00C87F95">
        <w:rPr>
          <w:b w:val="0"/>
          <w:i w:val="0"/>
          <w:sz w:val="20"/>
        </w:rPr>
        <w:t xml:space="preserve"> 8.6.2023</w:t>
      </w:r>
      <w:r w:rsidR="00A00445" w:rsidRPr="00EC25E4">
        <w:rPr>
          <w:b w:val="0"/>
          <w:i w:val="0"/>
          <w:sz w:val="20"/>
        </w:rPr>
        <w:t xml:space="preserve"> odesláním Oznámení o zahájení zadávacího řízení k uveřejnění ve Věstníku veřejných zakázek pod evidenčním číslem </w:t>
      </w:r>
      <w:r w:rsidR="009D34A3" w:rsidRPr="009D34A3">
        <w:rPr>
          <w:b w:val="0"/>
          <w:i w:val="0"/>
          <w:sz w:val="20"/>
        </w:rPr>
        <w:t>Z2023-024574</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647F0F7B"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001414E1" w:rsidRPr="00F65DDF">
        <w:t>právnickou osobou - obchodní společností.</w:t>
      </w:r>
      <w:r w:rsidR="001414E1"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A182505" w14:textId="77777777" w:rsidR="00156D3D" w:rsidRDefault="00156D3D" w:rsidP="00156D3D">
      <w:pPr>
        <w:pStyle w:val="Odstavecseseznamem"/>
      </w:pPr>
    </w:p>
    <w:p w14:paraId="6C43A4DA" w14:textId="4B8D04B9" w:rsidR="00156D3D" w:rsidRDefault="00156D3D" w:rsidP="00073D5D">
      <w:pPr>
        <w:pStyle w:val="Seznam2"/>
        <w:numPr>
          <w:ilvl w:val="0"/>
          <w:numId w:val="2"/>
        </w:numPr>
        <w:tabs>
          <w:tab w:val="clear" w:pos="1672"/>
        </w:tabs>
        <w:ind w:left="567" w:hanging="538"/>
        <w:jc w:val="both"/>
      </w:pPr>
      <w:r w:rsidRPr="00156D3D">
        <w:rPr>
          <w:rFonts w:cs="Arial"/>
        </w:rPr>
        <w:t>Projekt je spolufinancován Evropskou unií v rámci reakce Unie na pandemii COVID-19, Specifický</w:t>
      </w:r>
      <w:r w:rsidRPr="007C0664">
        <w:rPr>
          <w:rFonts w:cs="Arial"/>
        </w:rPr>
        <w:t xml:space="preserve"> cíl: 6.1, </w:t>
      </w:r>
      <w:r w:rsidRPr="00156D3D">
        <w:t>Prioritní osa IROP: 06.6 REACT-EU, výzva č. 98, Název projektu: Zdravotnická technika ReactEU - Cheb, projekt II, Registrační číslo projektu: CZ.06.6.127/0.0/0.0/21_121/0016327.</w:t>
      </w:r>
    </w:p>
    <w:p w14:paraId="1EDCE2FF" w14:textId="77777777" w:rsidR="00F11F13" w:rsidRPr="00EC25E4" w:rsidRDefault="00F11F13" w:rsidP="00156D3D"/>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7B90B2D8"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Pr="00BA2BB1">
        <w:t xml:space="preserve"> </w:t>
      </w:r>
      <w:r w:rsidR="008B7ACC">
        <w:t>–</w:t>
      </w:r>
      <w:r w:rsidR="007B07B4">
        <w:t xml:space="preserve"> </w:t>
      </w:r>
      <w:r w:rsidR="008B7ACC">
        <w:rPr>
          <w:b/>
        </w:rPr>
        <w:t>elektrická odsávačka vč. mobilního stojanu</w:t>
      </w:r>
      <w:r w:rsidR="007126B8" w:rsidRPr="00BA2BB1">
        <w:t xml:space="preserve"> </w:t>
      </w:r>
      <w:r w:rsidR="007B07B4">
        <w:t xml:space="preserve">- </w:t>
      </w:r>
      <w:r w:rsidRPr="00BA2BB1">
        <w:t>specifikovan</w:t>
      </w:r>
      <w:r w:rsidR="004F1464">
        <w:t>ý</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0" w:name="_Hlk99047260"/>
      <w:r w:rsidRPr="00B37CF9">
        <w:t xml:space="preserve">dle </w:t>
      </w:r>
      <w:bookmarkEnd w:id="0"/>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USB flash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5073252B"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1414E1" w:rsidRPr="001414E1">
        <w:rPr>
          <w:b/>
          <w:sz w:val="20"/>
        </w:rPr>
        <w:t>697 160,00</w:t>
      </w:r>
      <w:r w:rsidR="0089064D" w:rsidRPr="00EC25E4">
        <w:rPr>
          <w:b/>
          <w:sz w:val="20"/>
        </w:rPr>
        <w:t xml:space="preserve"> Kč</w:t>
      </w:r>
    </w:p>
    <w:p w14:paraId="0C6885F0" w14:textId="5B514566"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 xml:space="preserve">DPH </w:t>
      </w:r>
      <w:r w:rsidR="001414E1">
        <w:rPr>
          <w:b/>
          <w:sz w:val="20"/>
        </w:rPr>
        <w:t>(21</w:t>
      </w:r>
      <w:r w:rsidR="00DD2E47" w:rsidRPr="00EC25E4">
        <w:rPr>
          <w:b/>
          <w:sz w:val="20"/>
        </w:rPr>
        <w:t xml:space="preserve"> </w:t>
      </w:r>
      <w:r w:rsidRPr="00EC25E4">
        <w:rPr>
          <w:b/>
          <w:sz w:val="20"/>
        </w:rPr>
        <w:t>%)</w:t>
      </w:r>
      <w:r w:rsidRPr="00EC25E4">
        <w:rPr>
          <w:b/>
          <w:sz w:val="20"/>
        </w:rPr>
        <w:tab/>
      </w:r>
      <w:r w:rsidR="001414E1" w:rsidRPr="001414E1">
        <w:rPr>
          <w:b/>
          <w:sz w:val="20"/>
        </w:rPr>
        <w:t>146 403,60</w:t>
      </w:r>
      <w:r w:rsidR="006860C1" w:rsidRPr="00EC25E4">
        <w:rPr>
          <w:b/>
          <w:sz w:val="20"/>
        </w:rPr>
        <w:t xml:space="preserve"> </w:t>
      </w:r>
      <w:r w:rsidRPr="00EC25E4">
        <w:rPr>
          <w:b/>
          <w:sz w:val="20"/>
        </w:rPr>
        <w:t>Kč</w:t>
      </w:r>
    </w:p>
    <w:p w14:paraId="20E70901" w14:textId="1A52EEB2"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1414E1" w:rsidRPr="001414E1">
        <w:rPr>
          <w:b/>
          <w:sz w:val="20"/>
        </w:rPr>
        <w:t>843 563,60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3F11DD73" w:rsidR="007C0664" w:rsidRPr="00E25200" w:rsidRDefault="007C0664" w:rsidP="007C0664">
      <w:pPr>
        <w:pStyle w:val="Nadpis2"/>
        <w:numPr>
          <w:ilvl w:val="0"/>
          <w:numId w:val="6"/>
        </w:numPr>
        <w:spacing w:before="0" w:after="0"/>
        <w:ind w:left="1276" w:hanging="709"/>
        <w:jc w:val="both"/>
        <w:rPr>
          <w:sz w:val="20"/>
        </w:rPr>
      </w:pPr>
      <w:bookmarkStart w:id="1" w:name="_Hlk100043817"/>
      <w:r w:rsidRPr="00E25200">
        <w:rPr>
          <w:sz w:val="20"/>
        </w:rPr>
        <w:t>Na daňovém dokladu musí být dále uvedeno číslo této kupní smlouvy, označení veřejné zakázky a části veřejné zakázky a dále název a registrační číslo projektu</w:t>
      </w:r>
      <w:r w:rsidR="00165CFA">
        <w:rPr>
          <w:sz w:val="20"/>
        </w:rPr>
        <w:t xml:space="preserve">, a to </w:t>
      </w:r>
      <w:r w:rsidR="006E436E" w:rsidRPr="008A1582">
        <w:rPr>
          <w:b/>
          <w:bCs/>
          <w:i/>
          <w:iCs/>
          <w:sz w:val="20"/>
        </w:rPr>
        <w:t>„Projekt: „Zdravotnická technika ReactEU - Cheb, projekt II“; reg. č. projektu: CZ.06.6.127/0.0/0.0/21_121/0016327“.</w:t>
      </w:r>
      <w:r w:rsidRPr="00E25200">
        <w:rPr>
          <w:sz w:val="20"/>
        </w:rPr>
        <w:t xml:space="preserve"> </w:t>
      </w:r>
    </w:p>
    <w:bookmarkEnd w:id="1"/>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76E4EA96"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8B7ACC">
        <w:rPr>
          <w:rFonts w:cs="Arial"/>
          <w:b/>
        </w:rPr>
        <w:t xml:space="preserve">nejpozději do </w:t>
      </w:r>
      <w:r w:rsidR="008B7ACC" w:rsidRPr="008B7ACC">
        <w:rPr>
          <w:rFonts w:cs="Arial"/>
          <w:b/>
        </w:rPr>
        <w:t>12</w:t>
      </w:r>
      <w:r w:rsidRPr="008B7ACC">
        <w:rPr>
          <w:rFonts w:cs="Arial"/>
          <w:b/>
        </w:rPr>
        <w:t xml:space="preserve"> kalendářních </w:t>
      </w:r>
      <w:r w:rsidR="00911F69" w:rsidRPr="008B7ACC">
        <w:rPr>
          <w:rFonts w:cs="Arial"/>
          <w:b/>
        </w:rPr>
        <w:t xml:space="preserve">týdnů </w:t>
      </w:r>
      <w:r w:rsidR="005C1EC5" w:rsidRPr="008B7ACC">
        <w:rPr>
          <w:rFonts w:cs="Arial"/>
        </w:rPr>
        <w:t xml:space="preserve">ode dne </w:t>
      </w:r>
      <w:r w:rsidR="00227E53" w:rsidRPr="008B7ACC">
        <w:rPr>
          <w:rFonts w:cs="Arial"/>
        </w:rPr>
        <w:t>účinnosti této smlouvy.</w:t>
      </w:r>
      <w:r w:rsidR="00515237" w:rsidRPr="008B7ACC">
        <w:t xml:space="preserve"> </w:t>
      </w:r>
      <w:r w:rsidR="00515237" w:rsidRPr="008B7ACC">
        <w:rPr>
          <w:rFonts w:cs="Arial"/>
        </w:rPr>
        <w:t>Kupující si vyhrazuje možnost prodloužení realizace termínu plnění v případě, že prodávající doloží výpadek materiálu nebo výrobků potřebných</w:t>
      </w:r>
      <w:r w:rsidR="00515237" w:rsidRPr="00F83897">
        <w:rPr>
          <w:rFonts w:cs="Arial"/>
        </w:rPr>
        <w:t xml:space="preserve"> k výrobě požadovaného plnění, či vlastního omezení provozu</w:t>
      </w:r>
      <w:r w:rsidR="00515237" w:rsidRPr="00CC0B55">
        <w:rPr>
          <w:rFonts w:cs="Arial"/>
        </w:rPr>
        <w:t>.</w:t>
      </w:r>
      <w:r w:rsidR="00F83897" w:rsidRPr="00CC0B55">
        <w:t xml:space="preserve"> </w:t>
      </w:r>
      <w:bookmarkStart w:id="2"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2"/>
    <w:p w14:paraId="5507021C" w14:textId="38206FED" w:rsidR="005602D3" w:rsidRPr="00D5389E" w:rsidRDefault="005602D3" w:rsidP="00BA59A5">
      <w:pPr>
        <w:pStyle w:val="Zkladntext"/>
        <w:rPr>
          <w:rFonts w:ascii="Arial" w:hAnsi="Arial" w:cs="Arial"/>
          <w:sz w:val="20"/>
          <w:szCs w:val="20"/>
        </w:rPr>
      </w:pPr>
    </w:p>
    <w:p w14:paraId="4F72A938" w14:textId="44A32564"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w:t>
      </w:r>
      <w:r w:rsidR="00B92F16">
        <w:rPr>
          <w:rFonts w:ascii="Arial" w:hAnsi="Arial" w:cs="Arial"/>
          <w:b/>
          <w:sz w:val="20"/>
          <w:szCs w:val="20"/>
        </w:rPr>
        <w:t>Chebu</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2E127580"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3"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3"/>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4502E014" w:rsidR="0057245B" w:rsidRPr="004B47A7" w:rsidRDefault="005A5EBA" w:rsidP="0057245B">
      <w:pPr>
        <w:pStyle w:val="Seznam2"/>
        <w:ind w:left="567" w:firstLine="0"/>
        <w:jc w:val="both"/>
      </w:pPr>
      <w:r>
        <w:t>XXXXXXXXXX</w:t>
      </w:r>
      <w:r w:rsidR="001414E1">
        <w:t xml:space="preserve">, 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5D5A613B" w14:textId="7DD99382" w:rsidR="00ED2749" w:rsidRDefault="005A5EBA" w:rsidP="00565F89">
      <w:pPr>
        <w:pStyle w:val="Seznam2"/>
        <w:ind w:left="567" w:firstLine="0"/>
        <w:jc w:val="both"/>
      </w:pPr>
      <w:r>
        <w:t>XXXXXXXXXX</w:t>
      </w:r>
      <w:r w:rsidR="00735A40" w:rsidRPr="00735A40">
        <w:t xml:space="preserve">, tel.: </w:t>
      </w:r>
      <w:r>
        <w:t>XXXXXXXXXX</w:t>
      </w:r>
      <w:r w:rsidR="00735A40" w:rsidRPr="00735A40">
        <w:t xml:space="preserve">, email: </w:t>
      </w:r>
      <w:r>
        <w:t>XXXXXXXXXX</w:t>
      </w:r>
    </w:p>
    <w:p w14:paraId="25A2A5F7" w14:textId="77777777" w:rsidR="007F0DA7" w:rsidRDefault="007F0DA7" w:rsidP="00DD186B">
      <w:pPr>
        <w:pStyle w:val="Nadpis2"/>
        <w:numPr>
          <w:ilvl w:val="0"/>
          <w:numId w:val="0"/>
        </w:numPr>
        <w:spacing w:before="0" w:after="0"/>
        <w:jc w:val="both"/>
        <w:rPr>
          <w:color w:val="FF0000"/>
          <w:sz w:val="20"/>
        </w:rPr>
      </w:pPr>
    </w:p>
    <w:p w14:paraId="0F8CEFE9" w14:textId="77777777" w:rsidR="00D0174A" w:rsidRDefault="00D0174A" w:rsidP="00DD186B">
      <w:pPr>
        <w:pStyle w:val="Nadpis2"/>
        <w:numPr>
          <w:ilvl w:val="0"/>
          <w:numId w:val="0"/>
        </w:numPr>
        <w:spacing w:before="0" w:after="0"/>
        <w:jc w:val="both"/>
        <w:rPr>
          <w:color w:val="FF0000"/>
          <w:sz w:val="20"/>
        </w:rPr>
      </w:pPr>
    </w:p>
    <w:p w14:paraId="20459FED" w14:textId="77777777" w:rsidR="00D0174A" w:rsidRPr="001B59A8" w:rsidRDefault="00D0174A"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0D53DB1D"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6380FB48"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4F0F3DE2"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5A5EBA">
        <w:t>XXXXXXXXXX</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4" w:name="_Hlk126760995"/>
      <w:r w:rsidR="008D4B2A" w:rsidRPr="008D4B2A">
        <w:t>zákona č. 110/2019 Sb., zákon o zpracování osobních údajů</w:t>
      </w:r>
      <w:r w:rsidR="00434B55" w:rsidRPr="00FF0D85">
        <w:t xml:space="preserve"> </w:t>
      </w:r>
      <w:bookmarkEnd w:id="4"/>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65756CC4"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způsobenou kupujícímu či třetí osobě při výkonu podnikatelské činnosti, a to ve výši minimálně </w:t>
      </w:r>
      <w:r w:rsidRPr="00CE3D96">
        <w:rPr>
          <w:b/>
          <w:bCs/>
          <w:sz w:val="20"/>
        </w:rPr>
        <w:t>500.000 Kč</w:t>
      </w:r>
      <w:r w:rsidRPr="00CE3D96">
        <w:rPr>
          <w:sz w:val="20"/>
        </w:rPr>
        <w:t xml:space="preserve"> (slovy: pět</w:t>
      </w:r>
      <w:r w:rsidR="00CE3D96" w:rsidRPr="00CE3D96">
        <w:rPr>
          <w:sz w:val="20"/>
        </w:rPr>
        <w:t>settisíc</w:t>
      </w:r>
      <w:r w:rsidRPr="00CE3D96">
        <w:rPr>
          <w:sz w:val="20"/>
        </w:rPr>
        <w:t>korunčeských). Prodávající se zavazuje mít uzavřenou pojistnou smlouvu po celou dobu platnosti smlouvy</w:t>
      </w:r>
      <w:r w:rsidRPr="00C17052">
        <w:rPr>
          <w:sz w:val="20"/>
        </w:rPr>
        <w:t>.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77777777" w:rsidR="0049473E" w:rsidRDefault="0049473E" w:rsidP="00DD186B">
      <w:pPr>
        <w:pStyle w:val="Seznam2"/>
        <w:ind w:left="0" w:firstLine="0"/>
        <w:jc w:val="both"/>
      </w:pPr>
    </w:p>
    <w:p w14:paraId="03801761" w14:textId="77777777" w:rsidR="00C14CAB" w:rsidRDefault="00C14CAB" w:rsidP="00DD186B">
      <w:pPr>
        <w:pStyle w:val="Seznam2"/>
        <w:ind w:left="0" w:firstLine="0"/>
        <w:jc w:val="both"/>
      </w:pP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382E2040"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4B796866" w:rsidR="00B60F5B" w:rsidRPr="002B1D37"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A2083A">
        <w:rPr>
          <w:sz w:val="20"/>
        </w:rPr>
        <w:t>9</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2B1D37">
        <w:rPr>
          <w:b/>
          <w:sz w:val="20"/>
        </w:rPr>
        <w:t xml:space="preserve">výši </w:t>
      </w:r>
      <w:r w:rsidR="002B1D37" w:rsidRPr="002B1D37">
        <w:rPr>
          <w:b/>
          <w:sz w:val="20"/>
        </w:rPr>
        <w:t>1</w:t>
      </w:r>
      <w:r w:rsidRPr="002B1D37">
        <w:rPr>
          <w:b/>
          <w:sz w:val="20"/>
        </w:rPr>
        <w:t>.000</w:t>
      </w:r>
      <w:r w:rsidR="00FF0D85" w:rsidRPr="002B1D37">
        <w:rPr>
          <w:b/>
          <w:sz w:val="20"/>
        </w:rPr>
        <w:t> </w:t>
      </w:r>
      <w:r w:rsidRPr="002B1D37">
        <w:rPr>
          <w:b/>
          <w:sz w:val="20"/>
        </w:rPr>
        <w:t>Kč</w:t>
      </w:r>
      <w:r w:rsidR="00FF0D85" w:rsidRPr="002B1D37">
        <w:rPr>
          <w:sz w:val="20"/>
        </w:rPr>
        <w:t xml:space="preserve"> (slovy: </w:t>
      </w:r>
      <w:r w:rsidR="002B1D37" w:rsidRPr="002B1D37">
        <w:rPr>
          <w:sz w:val="20"/>
        </w:rPr>
        <w:t>jeden</w:t>
      </w:r>
      <w:r w:rsidR="00FF0D85" w:rsidRPr="002B1D37">
        <w:rPr>
          <w:sz w:val="20"/>
        </w:rPr>
        <w:t>tisíckorunčeských</w:t>
      </w:r>
      <w:r w:rsidRPr="002B1D37">
        <w:rPr>
          <w:sz w:val="20"/>
        </w:rPr>
        <w:t xml:space="preserve">) za každý </w:t>
      </w:r>
      <w:r w:rsidR="00FC7CFE" w:rsidRPr="002B1D37">
        <w:rPr>
          <w:sz w:val="20"/>
        </w:rPr>
        <w:t xml:space="preserve">započatý </w:t>
      </w:r>
      <w:r w:rsidRPr="002B1D37">
        <w:rPr>
          <w:sz w:val="20"/>
        </w:rPr>
        <w:t xml:space="preserve">nesplněný </w:t>
      </w:r>
      <w:r w:rsidR="00FC7CFE" w:rsidRPr="002B1D37">
        <w:rPr>
          <w:sz w:val="20"/>
        </w:rPr>
        <w:t xml:space="preserve">kalendářní </w:t>
      </w:r>
      <w:r w:rsidRPr="002B1D37">
        <w:rPr>
          <w:sz w:val="20"/>
        </w:rPr>
        <w:t>den proti termínům dohodnutých</w:t>
      </w:r>
      <w:r w:rsidR="00FC7CFE" w:rsidRPr="002B1D37">
        <w:rPr>
          <w:sz w:val="20"/>
        </w:rPr>
        <w:t xml:space="preserve"> </w:t>
      </w:r>
      <w:r w:rsidRPr="002B1D37">
        <w:rPr>
          <w:sz w:val="20"/>
        </w:rPr>
        <w:t>v protokolu</w:t>
      </w:r>
      <w:r w:rsidR="00FF0D85" w:rsidRPr="002B1D37">
        <w:rPr>
          <w:sz w:val="20"/>
        </w:rPr>
        <w:t xml:space="preserve"> </w:t>
      </w:r>
      <w:r w:rsidRPr="002B1D37">
        <w:rPr>
          <w:sz w:val="20"/>
        </w:rPr>
        <w:t xml:space="preserve">o předání a převzetí předmětu smlouvy, a to za každou vadu jednotlivě. </w:t>
      </w:r>
    </w:p>
    <w:p w14:paraId="44B77BEC" w14:textId="77777777" w:rsidR="00DE25A5" w:rsidRPr="002B1D37" w:rsidRDefault="00DE25A5" w:rsidP="00FF0D85">
      <w:pPr>
        <w:pStyle w:val="Seznam2"/>
        <w:ind w:left="0" w:firstLine="0"/>
        <w:jc w:val="both"/>
      </w:pPr>
    </w:p>
    <w:p w14:paraId="4E19EFA4" w14:textId="78C3EB35"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2B1D37">
        <w:rPr>
          <w:sz w:val="20"/>
        </w:rPr>
        <w:t>Pokud se na předmětu smlouvy vyskytne jakákoli vada v záruční lhůtě a servisní pracovníci prodávajícího v rozporu s odst. 5.</w:t>
      </w:r>
      <w:r w:rsidR="007C2576" w:rsidRPr="002B1D37">
        <w:rPr>
          <w:sz w:val="20"/>
        </w:rPr>
        <w:t>9</w:t>
      </w:r>
      <w:r w:rsidRPr="002B1D37">
        <w:rPr>
          <w:sz w:val="20"/>
        </w:rPr>
        <w:t xml:space="preserve">.1. této smlouvy nenastoupí na opravu nebo opravu neprovedou ve stanovené lhůtě, zavazuje se prodávající zaplatit kupujícímu </w:t>
      </w:r>
      <w:r w:rsidR="00FF0D85" w:rsidRPr="002B1D37">
        <w:rPr>
          <w:b/>
          <w:sz w:val="20"/>
        </w:rPr>
        <w:t xml:space="preserve">smluvní pokutu ve výši </w:t>
      </w:r>
      <w:r w:rsidR="000E3597" w:rsidRPr="002B1D37">
        <w:rPr>
          <w:b/>
          <w:sz w:val="20"/>
        </w:rPr>
        <w:t>5</w:t>
      </w:r>
      <w:r w:rsidRPr="002B1D37">
        <w:rPr>
          <w:b/>
          <w:sz w:val="20"/>
        </w:rPr>
        <w:t>00</w:t>
      </w:r>
      <w:r w:rsidR="00FF0D85" w:rsidRPr="002B1D37">
        <w:rPr>
          <w:b/>
          <w:sz w:val="20"/>
        </w:rPr>
        <w:t> </w:t>
      </w:r>
      <w:r w:rsidRPr="002B1D37">
        <w:rPr>
          <w:b/>
          <w:sz w:val="20"/>
        </w:rPr>
        <w:t>Kč</w:t>
      </w:r>
      <w:r w:rsidRPr="00FF0D85">
        <w:rPr>
          <w:sz w:val="20"/>
        </w:rPr>
        <w:t xml:space="preserve"> (slovy:</w:t>
      </w:r>
      <w:r w:rsidR="00FF0D85" w:rsidRPr="00FF0D85">
        <w:rPr>
          <w:sz w:val="20"/>
        </w:rPr>
        <w:t> </w:t>
      </w:r>
      <w:r w:rsidR="000E3597">
        <w:rPr>
          <w:sz w:val="20"/>
        </w:rPr>
        <w:t>pět</w:t>
      </w:r>
      <w:r w:rsidR="002B1D37">
        <w:rPr>
          <w:sz w:val="20"/>
        </w:rPr>
        <w:t>set</w:t>
      </w:r>
      <w:r w:rsidR="00FF0D85" w:rsidRPr="00FF0D85">
        <w:rPr>
          <w:sz w:val="20"/>
        </w:rPr>
        <w:t>korunčeských</w:t>
      </w:r>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5"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5"/>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3966FF9F"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5A5EBA">
        <w:t>XXXXXXXXXX</w:t>
      </w:r>
    </w:p>
    <w:p w14:paraId="187CD915" w14:textId="5D80F70E"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5A5EBA">
        <w:t>XXXXXXXXXX</w:t>
      </w:r>
    </w:p>
    <w:p w14:paraId="08A0AA23" w14:textId="77777777" w:rsidR="0049473E" w:rsidRPr="007C2576" w:rsidRDefault="0049473E" w:rsidP="003B35DB">
      <w:pPr>
        <w:widowControl w:val="0"/>
        <w:jc w:val="both"/>
      </w:pPr>
    </w:p>
    <w:p w14:paraId="731E0F2B" w14:textId="77777777" w:rsidR="00666EED" w:rsidRPr="007C2576" w:rsidRDefault="0049473E" w:rsidP="00666EED">
      <w:pPr>
        <w:widowControl w:val="0"/>
        <w:numPr>
          <w:ilvl w:val="0"/>
          <w:numId w:val="10"/>
        </w:numPr>
        <w:jc w:val="both"/>
      </w:pPr>
      <w:r w:rsidRPr="007C2576">
        <w:t>adresou pr</w:t>
      </w:r>
      <w:r w:rsidR="003B35DB" w:rsidRPr="007C2576">
        <w:t>o doručování prodávajícímu:</w:t>
      </w:r>
      <w:r w:rsidR="003B35DB" w:rsidRPr="007C2576">
        <w:tab/>
      </w:r>
      <w:r w:rsidR="00666EED">
        <w:rPr>
          <w:b/>
        </w:rPr>
        <w:t>LHL s.r.o.</w:t>
      </w:r>
    </w:p>
    <w:p w14:paraId="6338D157" w14:textId="77777777" w:rsidR="00666EED" w:rsidRPr="007C2576" w:rsidRDefault="00666EED" w:rsidP="00666EED">
      <w:pPr>
        <w:widowControl w:val="0"/>
        <w:jc w:val="both"/>
      </w:pPr>
      <w:r w:rsidRPr="007C2576">
        <w:tab/>
      </w:r>
      <w:r w:rsidRPr="007C2576">
        <w:tab/>
      </w:r>
      <w:r w:rsidRPr="007C2576">
        <w:tab/>
      </w:r>
      <w:r w:rsidRPr="007C2576">
        <w:tab/>
      </w:r>
      <w:r w:rsidRPr="007C2576">
        <w:tab/>
      </w:r>
      <w:r w:rsidRPr="007C2576">
        <w:tab/>
      </w:r>
      <w:r w:rsidRPr="007C2576">
        <w:tab/>
      </w:r>
      <w:r>
        <w:t>Lipová 17/18, Ústí nad Labem 400 10</w:t>
      </w:r>
    </w:p>
    <w:p w14:paraId="15C3E607" w14:textId="04CC38FF" w:rsidR="00666EED" w:rsidRPr="007C2576" w:rsidRDefault="00666EED" w:rsidP="00666EED">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5A5EBA">
        <w:t>XXXXXXXXXX</w:t>
      </w:r>
      <w:r>
        <w:t xml:space="preserve"> </w:t>
      </w:r>
    </w:p>
    <w:p w14:paraId="0E271DF6" w14:textId="0752A5A9" w:rsidR="00967386" w:rsidRDefault="00666EED" w:rsidP="00666EED">
      <w:pPr>
        <w:widowControl w:val="0"/>
        <w:ind w:left="567"/>
        <w:jc w:val="both"/>
      </w:pPr>
      <w:r>
        <w:tab/>
      </w:r>
      <w:r>
        <w:tab/>
      </w:r>
      <w:r>
        <w:tab/>
      </w:r>
      <w:r>
        <w:tab/>
      </w:r>
      <w:r>
        <w:tab/>
      </w:r>
      <w:r>
        <w:tab/>
      </w:r>
      <w:r>
        <w:tab/>
      </w:r>
      <w:r w:rsidRPr="007C2576">
        <w:t xml:space="preserve">ID datové schránky: </w:t>
      </w:r>
      <w:r w:rsidR="005A5EBA">
        <w:t>XXXXXXXXXX</w:t>
      </w:r>
    </w:p>
    <w:p w14:paraId="7CF5FE9C" w14:textId="77777777" w:rsidR="00666EED" w:rsidRPr="007C2576" w:rsidRDefault="00666EED" w:rsidP="00666EED">
      <w:pPr>
        <w:widowControl w:val="0"/>
        <w:ind w:left="567"/>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6"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6"/>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7"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7"/>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8" w:name="_Hlk99974166"/>
    </w:p>
    <w:bookmarkEnd w:id="8"/>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9"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9"/>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718FE9B0" w14:textId="77777777" w:rsidR="00BB2DA3" w:rsidRPr="00D82385" w:rsidRDefault="00BB2DA3" w:rsidP="003B35DB">
      <w:pPr>
        <w:widowControl w:val="0"/>
        <w:jc w:val="both"/>
      </w:pPr>
    </w:p>
    <w:p w14:paraId="11CFFE53" w14:textId="5F6EAD3F"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 xml:space="preserve">V </w:t>
      </w:r>
      <w:r w:rsidR="00965AAE">
        <w:t>Ústí nad Labem,</w:t>
      </w:r>
      <w:r w:rsidR="00965AAE" w:rsidRPr="00D82385">
        <w:t xml:space="preserve"> dne </w:t>
      </w:r>
      <w:r w:rsidR="00965AAE">
        <w:t>...................</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4B49F199" w:rsidR="005B3E9F" w:rsidRPr="00D82385" w:rsidRDefault="005B3E9F" w:rsidP="003B35DB">
      <w:pPr>
        <w:widowControl w:val="0"/>
        <w:jc w:val="both"/>
      </w:pPr>
      <w:r w:rsidRPr="00D82385">
        <w:t>______________________</w:t>
      </w:r>
      <w:r w:rsidRPr="00D82385">
        <w:tab/>
      </w:r>
      <w:r w:rsidR="00C06424">
        <w:tab/>
      </w:r>
      <w:r w:rsidR="00C06424">
        <w:tab/>
      </w:r>
      <w:r w:rsidR="00C06424">
        <w:tab/>
      </w:r>
      <w:r w:rsidR="00965AAE" w:rsidRPr="00D82385">
        <w:t>______________________</w:t>
      </w:r>
    </w:p>
    <w:p w14:paraId="358C0D1D" w14:textId="77777777" w:rsidR="00965AAE" w:rsidRPr="00D82385" w:rsidRDefault="00C40934" w:rsidP="00965AAE">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965AAE">
        <w:t>Martin Liška</w:t>
      </w:r>
    </w:p>
    <w:p w14:paraId="58DFDE7C" w14:textId="77777777" w:rsidR="00965AAE" w:rsidRPr="00D82385" w:rsidRDefault="00965AAE" w:rsidP="00965AAE">
      <w:pPr>
        <w:widowControl w:val="0"/>
        <w:jc w:val="both"/>
      </w:pPr>
      <w:r w:rsidRPr="00D82385">
        <w:rPr>
          <w:rFonts w:cs="Arial"/>
        </w:rPr>
        <w:t>předseda představenstva</w:t>
      </w:r>
      <w:r>
        <w:tab/>
      </w:r>
      <w:r>
        <w:tab/>
      </w:r>
      <w:r>
        <w:tab/>
      </w:r>
      <w:r>
        <w:tab/>
        <w:t>jednatel</w:t>
      </w:r>
    </w:p>
    <w:p w14:paraId="2FB7FBE3" w14:textId="4633352E" w:rsidR="00602167" w:rsidRPr="00D82385" w:rsidRDefault="00602167" w:rsidP="00965AAE">
      <w:pPr>
        <w:widowControl w:val="0"/>
        <w:spacing w:before="12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2085" w14:textId="77777777" w:rsidR="00BE764B" w:rsidRDefault="00BE764B">
      <w:r>
        <w:separator/>
      </w:r>
    </w:p>
  </w:endnote>
  <w:endnote w:type="continuationSeparator" w:id="0">
    <w:p w14:paraId="5ED3FEFE" w14:textId="77777777" w:rsidR="00BE764B" w:rsidRDefault="00BE764B">
      <w:r>
        <w:continuationSeparator/>
      </w:r>
    </w:p>
  </w:endnote>
  <w:endnote w:type="continuationNotice" w:id="1">
    <w:p w14:paraId="0888E911" w14:textId="77777777" w:rsidR="00BE764B" w:rsidRDefault="00BE7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72467F">
      <w:rPr>
        <w:rFonts w:ascii="Arial" w:hAnsi="Arial" w:cs="Arial"/>
        <w:b/>
        <w:bCs/>
        <w:noProof/>
        <w:sz w:val="16"/>
        <w:szCs w:val="16"/>
      </w:rPr>
      <w:t>2</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72467F">
      <w:rPr>
        <w:rFonts w:ascii="Arial" w:hAnsi="Arial" w:cs="Arial"/>
        <w:b/>
        <w:noProof/>
        <w:sz w:val="16"/>
        <w:szCs w:val="16"/>
      </w:rPr>
      <w:t>14</w:t>
    </w:r>
    <w:r w:rsidRPr="004139F8">
      <w:rPr>
        <w:rFonts w:ascii="Arial" w:hAnsi="Arial" w:cs="Arial"/>
        <w:b/>
        <w:sz w:val="16"/>
        <w:szCs w:val="16"/>
      </w:rPr>
      <w:fldChar w:fldCharType="end"/>
    </w:r>
  </w:p>
  <w:p w14:paraId="4B60B4DB" w14:textId="7387F5DC"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627DDB">
      <w:rPr>
        <w:rFonts w:ascii="Arial" w:hAnsi="Arial" w:cs="Arial"/>
        <w:sz w:val="14"/>
        <w:szCs w:val="16"/>
      </w:rPr>
      <w:t>0</w:t>
    </w:r>
    <w:r w:rsidR="0061175E">
      <w:rPr>
        <w:rFonts w:ascii="Arial" w:hAnsi="Arial" w:cs="Arial"/>
        <w:sz w:val="14"/>
        <w:szCs w:val="16"/>
      </w:rPr>
      <w:t>8</w:t>
    </w:r>
    <w:r>
      <w:rPr>
        <w:rFonts w:ascii="Arial" w:hAnsi="Arial" w:cs="Arial"/>
        <w:sz w:val="14"/>
        <w:szCs w:val="16"/>
      </w:rPr>
      <w:t>.</w:t>
    </w:r>
    <w:r w:rsidR="00165CFA">
      <w:rPr>
        <w:rFonts w:ascii="Arial" w:hAnsi="Arial" w:cs="Arial"/>
        <w:sz w:val="14"/>
        <w:szCs w:val="16"/>
      </w:rPr>
      <w:t>0</w:t>
    </w:r>
    <w:r w:rsidR="00627DDB">
      <w:rPr>
        <w:rFonts w:ascii="Arial" w:hAnsi="Arial" w:cs="Arial"/>
        <w:sz w:val="14"/>
        <w:szCs w:val="16"/>
      </w:rPr>
      <w:t>6</w:t>
    </w:r>
    <w:r w:rsidR="00B402D3">
      <w:rPr>
        <w:rFonts w:ascii="Arial" w:hAnsi="Arial" w:cs="Arial"/>
        <w:sz w:val="14"/>
        <w:szCs w:val="16"/>
      </w:rPr>
      <w:t>.202</w:t>
    </w:r>
    <w:r w:rsidR="00CB2678">
      <w:rPr>
        <w:rFonts w:ascii="Arial" w:hAnsi="Arial" w:cs="Arial"/>
        <w:sz w:val="14"/>
        <w:szCs w:val="16"/>
      </w:rPr>
      <w:t>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7312" w14:textId="77777777" w:rsidR="00BE764B" w:rsidRDefault="00BE764B">
      <w:r>
        <w:separator/>
      </w:r>
    </w:p>
  </w:footnote>
  <w:footnote w:type="continuationSeparator" w:id="0">
    <w:p w14:paraId="40883EBC" w14:textId="77777777" w:rsidR="00BE764B" w:rsidRDefault="00BE764B">
      <w:r>
        <w:continuationSeparator/>
      </w:r>
    </w:p>
  </w:footnote>
  <w:footnote w:type="continuationNotice" w:id="1">
    <w:p w14:paraId="1464F7D4" w14:textId="77777777" w:rsidR="00BE764B" w:rsidRDefault="00BE7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41633E"/>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7"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9"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50541F8"/>
    <w:multiLevelType w:val="hybridMultilevel"/>
    <w:tmpl w:val="086A2C54"/>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2732149">
    <w:abstractNumId w:val="18"/>
  </w:num>
  <w:num w:numId="2" w16cid:durableId="1845314993">
    <w:abstractNumId w:val="1"/>
  </w:num>
  <w:num w:numId="3" w16cid:durableId="808789477">
    <w:abstractNumId w:val="10"/>
  </w:num>
  <w:num w:numId="4" w16cid:durableId="1887907614">
    <w:abstractNumId w:val="13"/>
  </w:num>
  <w:num w:numId="5" w16cid:durableId="900024867">
    <w:abstractNumId w:val="3"/>
  </w:num>
  <w:num w:numId="6" w16cid:durableId="167715974">
    <w:abstractNumId w:val="17"/>
  </w:num>
  <w:num w:numId="7" w16cid:durableId="1898474917">
    <w:abstractNumId w:val="4"/>
  </w:num>
  <w:num w:numId="8" w16cid:durableId="870848135">
    <w:abstractNumId w:val="12"/>
  </w:num>
  <w:num w:numId="9" w16cid:durableId="1769351573">
    <w:abstractNumId w:val="16"/>
  </w:num>
  <w:num w:numId="10" w16cid:durableId="1136098723">
    <w:abstractNumId w:val="14"/>
  </w:num>
  <w:num w:numId="11" w16cid:durableId="483084175">
    <w:abstractNumId w:val="2"/>
  </w:num>
  <w:num w:numId="12" w16cid:durableId="1608654256">
    <w:abstractNumId w:val="15"/>
  </w:num>
  <w:num w:numId="13" w16cid:durableId="1860968307">
    <w:abstractNumId w:val="11"/>
  </w:num>
  <w:num w:numId="14" w16cid:durableId="1225290581">
    <w:abstractNumId w:val="6"/>
  </w:num>
  <w:num w:numId="15" w16cid:durableId="1200049192">
    <w:abstractNumId w:val="8"/>
  </w:num>
  <w:num w:numId="16" w16cid:durableId="730929029">
    <w:abstractNumId w:val="16"/>
  </w:num>
  <w:num w:numId="17" w16cid:durableId="1796941839">
    <w:abstractNumId w:val="0"/>
  </w:num>
  <w:num w:numId="18" w16cid:durableId="1937254023">
    <w:abstractNumId w:val="16"/>
  </w:num>
  <w:num w:numId="19" w16cid:durableId="1780107308">
    <w:abstractNumId w:val="19"/>
  </w:num>
  <w:num w:numId="20" w16cid:durableId="178590784">
    <w:abstractNumId w:val="7"/>
  </w:num>
  <w:num w:numId="21" w16cid:durableId="633174826">
    <w:abstractNumId w:val="16"/>
  </w:num>
  <w:num w:numId="22" w16cid:durableId="245654555">
    <w:abstractNumId w:val="16"/>
  </w:num>
  <w:num w:numId="23" w16cid:durableId="1917594292">
    <w:abstractNumId w:val="16"/>
  </w:num>
  <w:num w:numId="24" w16cid:durableId="492720264">
    <w:abstractNumId w:val="16"/>
  </w:num>
  <w:num w:numId="25" w16cid:durableId="1750732199">
    <w:abstractNumId w:val="9"/>
  </w:num>
  <w:num w:numId="26" w16cid:durableId="629288890">
    <w:abstractNumId w:val="16"/>
  </w:num>
  <w:num w:numId="27" w16cid:durableId="721904258">
    <w:abstractNumId w:val="16"/>
  </w:num>
  <w:num w:numId="28" w16cid:durableId="17255944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362F"/>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40165"/>
    <w:rsid w:val="00045394"/>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B6F21"/>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57CB"/>
    <w:rsid w:val="001261A8"/>
    <w:rsid w:val="0012634A"/>
    <w:rsid w:val="00126EDA"/>
    <w:rsid w:val="0013108C"/>
    <w:rsid w:val="00131351"/>
    <w:rsid w:val="0013354F"/>
    <w:rsid w:val="00134833"/>
    <w:rsid w:val="00134AF2"/>
    <w:rsid w:val="00135B30"/>
    <w:rsid w:val="00137CBB"/>
    <w:rsid w:val="0014007D"/>
    <w:rsid w:val="00140CFB"/>
    <w:rsid w:val="001414A6"/>
    <w:rsid w:val="001414E1"/>
    <w:rsid w:val="00142A25"/>
    <w:rsid w:val="00143168"/>
    <w:rsid w:val="0014381B"/>
    <w:rsid w:val="00144422"/>
    <w:rsid w:val="00145C65"/>
    <w:rsid w:val="00146377"/>
    <w:rsid w:val="00146A33"/>
    <w:rsid w:val="0015376E"/>
    <w:rsid w:val="00154DB3"/>
    <w:rsid w:val="00156370"/>
    <w:rsid w:val="00156751"/>
    <w:rsid w:val="00156D3D"/>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6D82"/>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5CAC"/>
    <w:rsid w:val="00227063"/>
    <w:rsid w:val="00227E53"/>
    <w:rsid w:val="002302EF"/>
    <w:rsid w:val="002316CB"/>
    <w:rsid w:val="0023293D"/>
    <w:rsid w:val="0023499C"/>
    <w:rsid w:val="00234DB3"/>
    <w:rsid w:val="00235B38"/>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1D37"/>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D7415"/>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C3C"/>
    <w:rsid w:val="00376EFC"/>
    <w:rsid w:val="0037723E"/>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821"/>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5EBA"/>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175E"/>
    <w:rsid w:val="006121AD"/>
    <w:rsid w:val="006127FE"/>
    <w:rsid w:val="00614795"/>
    <w:rsid w:val="00614BB1"/>
    <w:rsid w:val="0062357E"/>
    <w:rsid w:val="00623B9F"/>
    <w:rsid w:val="00623C28"/>
    <w:rsid w:val="0062456F"/>
    <w:rsid w:val="00625E18"/>
    <w:rsid w:val="006267B7"/>
    <w:rsid w:val="006273ED"/>
    <w:rsid w:val="00627DDB"/>
    <w:rsid w:val="00630FD1"/>
    <w:rsid w:val="00633203"/>
    <w:rsid w:val="00634F63"/>
    <w:rsid w:val="00640068"/>
    <w:rsid w:val="00640BB0"/>
    <w:rsid w:val="00642CC7"/>
    <w:rsid w:val="00642FE8"/>
    <w:rsid w:val="00643659"/>
    <w:rsid w:val="00644021"/>
    <w:rsid w:val="006461FE"/>
    <w:rsid w:val="00646408"/>
    <w:rsid w:val="00646D83"/>
    <w:rsid w:val="00651DB4"/>
    <w:rsid w:val="00652C60"/>
    <w:rsid w:val="0065341E"/>
    <w:rsid w:val="006540FB"/>
    <w:rsid w:val="00654161"/>
    <w:rsid w:val="0065482C"/>
    <w:rsid w:val="00656845"/>
    <w:rsid w:val="006578C9"/>
    <w:rsid w:val="006600AB"/>
    <w:rsid w:val="00661373"/>
    <w:rsid w:val="006632A0"/>
    <w:rsid w:val="006650FA"/>
    <w:rsid w:val="00666EDC"/>
    <w:rsid w:val="00666EED"/>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436E"/>
    <w:rsid w:val="006E6C45"/>
    <w:rsid w:val="006F02C6"/>
    <w:rsid w:val="006F1410"/>
    <w:rsid w:val="006F3055"/>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467F"/>
    <w:rsid w:val="00726424"/>
    <w:rsid w:val="00726B59"/>
    <w:rsid w:val="00730F3D"/>
    <w:rsid w:val="0073310A"/>
    <w:rsid w:val="00735A40"/>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7E4"/>
    <w:rsid w:val="007F0DA7"/>
    <w:rsid w:val="007F4934"/>
    <w:rsid w:val="008009C0"/>
    <w:rsid w:val="00803CA3"/>
    <w:rsid w:val="00803E5B"/>
    <w:rsid w:val="008057A0"/>
    <w:rsid w:val="00806D46"/>
    <w:rsid w:val="00807F58"/>
    <w:rsid w:val="0081052C"/>
    <w:rsid w:val="00811442"/>
    <w:rsid w:val="00811AAB"/>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23A"/>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ACC"/>
    <w:rsid w:val="008B7E5C"/>
    <w:rsid w:val="008C3B38"/>
    <w:rsid w:val="008C3DD2"/>
    <w:rsid w:val="008C563A"/>
    <w:rsid w:val="008C69EB"/>
    <w:rsid w:val="008C7733"/>
    <w:rsid w:val="008C78D4"/>
    <w:rsid w:val="008C7E32"/>
    <w:rsid w:val="008D1080"/>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AA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34A3"/>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DEE"/>
    <w:rsid w:val="00A17EE5"/>
    <w:rsid w:val="00A2083A"/>
    <w:rsid w:val="00A2486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07B"/>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222"/>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2F16"/>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E764B"/>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3315"/>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87F95"/>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2678"/>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E3D96"/>
    <w:rsid w:val="00CF09FF"/>
    <w:rsid w:val="00CF1DC6"/>
    <w:rsid w:val="00CF4FAE"/>
    <w:rsid w:val="00D00A60"/>
    <w:rsid w:val="00D0174A"/>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66C18"/>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2DA4"/>
    <w:rsid w:val="00DE30D4"/>
    <w:rsid w:val="00DE3E61"/>
    <w:rsid w:val="00DE4031"/>
    <w:rsid w:val="00DE7580"/>
    <w:rsid w:val="00DE7B87"/>
    <w:rsid w:val="00DE7D8D"/>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04E"/>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0FFB"/>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4C4F"/>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5438EAFA-D48D-42B5-B4B1-4070A79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customStyle="1" w:styleId="Nevyeenzmnka1">
    <w:name w:val="Nevyřešená zmínka1"/>
    <w:basedOn w:val="Standardnpsmoodstavce"/>
    <w:uiPriority w:val="99"/>
    <w:semiHidden/>
    <w:unhideWhenUsed/>
    <w:rsid w:val="0073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C0D5-AC5F-4614-AFEE-4A4260BD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6650</Words>
  <Characters>39237</Characters>
  <Application>Microsoft Office Word</Application>
  <DocSecurity>0</DocSecurity>
  <Lines>326</Lines>
  <Paragraphs>91</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118</cp:revision>
  <cp:lastPrinted>2023-06-30T07:16:00Z</cp:lastPrinted>
  <dcterms:created xsi:type="dcterms:W3CDTF">2021-10-25T05:54:00Z</dcterms:created>
  <dcterms:modified xsi:type="dcterms:W3CDTF">2023-08-22T11:01:00Z</dcterms:modified>
</cp:coreProperties>
</file>