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25F13D6F" w14:textId="46F81876" w:rsidR="00711197" w:rsidRPr="00701202" w:rsidRDefault="00711197" w:rsidP="00711197">
      <w:pPr>
        <w:ind w:left="426"/>
        <w:rPr>
          <w:b/>
          <w:bCs/>
          <w:color w:val="000000"/>
          <w:sz w:val="24"/>
          <w:szCs w:val="24"/>
        </w:rPr>
      </w:pPr>
    </w:p>
    <w:p w14:paraId="5573275D" w14:textId="77777777" w:rsidR="00711197" w:rsidRPr="00701202" w:rsidRDefault="00711197" w:rsidP="00711197">
      <w:pPr>
        <w:numPr>
          <w:ilvl w:val="0"/>
          <w:numId w:val="35"/>
        </w:numPr>
        <w:ind w:left="426" w:hanging="568"/>
        <w:rPr>
          <w:b/>
          <w:bCs/>
          <w:color w:val="000000"/>
          <w:sz w:val="24"/>
          <w:szCs w:val="24"/>
        </w:rPr>
      </w:pPr>
      <w:r w:rsidRPr="00701202">
        <w:rPr>
          <w:b/>
          <w:bCs/>
          <w:color w:val="000000"/>
          <w:sz w:val="24"/>
          <w:szCs w:val="24"/>
        </w:rPr>
        <w:t>ELZAT spol. s r.o.</w:t>
      </w:r>
    </w:p>
    <w:p w14:paraId="3DBA02DC" w14:textId="77777777" w:rsidR="00711197" w:rsidRPr="00D827EC" w:rsidRDefault="00711197" w:rsidP="00711197">
      <w:pPr>
        <w:ind w:left="426"/>
        <w:rPr>
          <w:bCs/>
          <w:color w:val="000000"/>
          <w:sz w:val="24"/>
          <w:szCs w:val="24"/>
        </w:rPr>
      </w:pPr>
      <w:r>
        <w:rPr>
          <w:bCs/>
          <w:color w:val="000000"/>
          <w:sz w:val="24"/>
          <w:szCs w:val="24"/>
        </w:rPr>
        <w:t>se sídlem Bezděkovská 760, Rožmitál pod Třemšínem 262 42</w:t>
      </w:r>
    </w:p>
    <w:p w14:paraId="240C973A" w14:textId="0FA9ED3A" w:rsidR="00711197" w:rsidRPr="00D827EC" w:rsidRDefault="00711197" w:rsidP="00711197">
      <w:pPr>
        <w:ind w:left="426"/>
        <w:rPr>
          <w:bCs/>
          <w:color w:val="000000"/>
          <w:sz w:val="24"/>
          <w:szCs w:val="24"/>
        </w:rPr>
      </w:pPr>
      <w:r w:rsidRPr="00D827EC">
        <w:rPr>
          <w:bCs/>
          <w:color w:val="000000"/>
          <w:sz w:val="24"/>
          <w:szCs w:val="24"/>
        </w:rPr>
        <w:t xml:space="preserve">zastoupená </w:t>
      </w:r>
      <w:r w:rsidR="007D5E61">
        <w:rPr>
          <w:bCs/>
          <w:color w:val="000000"/>
          <w:sz w:val="24"/>
          <w:szCs w:val="24"/>
        </w:rPr>
        <w:t>x</w:t>
      </w:r>
      <w:r>
        <w:rPr>
          <w:bCs/>
          <w:color w:val="000000"/>
          <w:sz w:val="24"/>
          <w:szCs w:val="24"/>
        </w:rPr>
        <w:t>, jednatelem</w:t>
      </w:r>
    </w:p>
    <w:p w14:paraId="121255BA" w14:textId="77777777" w:rsidR="00711197" w:rsidRPr="00D827EC" w:rsidRDefault="00711197" w:rsidP="00711197">
      <w:pPr>
        <w:ind w:left="426"/>
        <w:rPr>
          <w:bCs/>
          <w:color w:val="000000"/>
          <w:sz w:val="24"/>
          <w:szCs w:val="24"/>
        </w:rPr>
      </w:pPr>
      <w:r w:rsidRPr="00D827EC">
        <w:rPr>
          <w:bCs/>
          <w:color w:val="000000"/>
          <w:sz w:val="24"/>
          <w:szCs w:val="24"/>
        </w:rPr>
        <w:t xml:space="preserve">zapsaná u </w:t>
      </w:r>
      <w:r>
        <w:rPr>
          <w:bCs/>
          <w:color w:val="000000"/>
          <w:sz w:val="24"/>
          <w:szCs w:val="24"/>
        </w:rPr>
        <w:t xml:space="preserve">Městského </w:t>
      </w:r>
      <w:r w:rsidRPr="00D827EC">
        <w:rPr>
          <w:bCs/>
          <w:color w:val="000000"/>
          <w:sz w:val="24"/>
          <w:szCs w:val="24"/>
        </w:rPr>
        <w:t xml:space="preserve"> soudu  </w:t>
      </w:r>
      <w:r>
        <w:rPr>
          <w:bCs/>
          <w:color w:val="000000"/>
          <w:sz w:val="24"/>
          <w:szCs w:val="24"/>
        </w:rPr>
        <w:t>v Praze</w:t>
      </w:r>
      <w:r w:rsidRPr="00D827EC">
        <w:rPr>
          <w:bCs/>
          <w:color w:val="000000"/>
          <w:sz w:val="24"/>
          <w:szCs w:val="24"/>
        </w:rPr>
        <w:t xml:space="preserve">, spisová značka </w:t>
      </w:r>
      <w:r>
        <w:rPr>
          <w:bCs/>
          <w:color w:val="000000"/>
          <w:sz w:val="24"/>
          <w:szCs w:val="24"/>
        </w:rPr>
        <w:t>C 8052</w:t>
      </w:r>
    </w:p>
    <w:p w14:paraId="646F8940" w14:textId="0DA2C041" w:rsidR="00711197" w:rsidRPr="00D827EC" w:rsidRDefault="00711197" w:rsidP="00711197">
      <w:pPr>
        <w:ind w:left="426"/>
        <w:rPr>
          <w:bCs/>
          <w:color w:val="000000"/>
          <w:sz w:val="24"/>
          <w:szCs w:val="24"/>
        </w:rPr>
      </w:pPr>
      <w:r>
        <w:rPr>
          <w:bCs/>
          <w:color w:val="000000"/>
          <w:sz w:val="24"/>
          <w:szCs w:val="24"/>
        </w:rPr>
        <w:t>IČO: 451 45</w:t>
      </w:r>
      <w:r>
        <w:rPr>
          <w:bCs/>
          <w:color w:val="000000"/>
        </w:rPr>
        <w:t> </w:t>
      </w:r>
      <w:r>
        <w:rPr>
          <w:bCs/>
          <w:color w:val="000000"/>
          <w:sz w:val="24"/>
          <w:szCs w:val="24"/>
        </w:rPr>
        <w:t>211</w:t>
      </w:r>
    </w:p>
    <w:p w14:paraId="4385B81F" w14:textId="59EA74EB"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711197">
        <w:t xml:space="preserve"> nebo „ELZAT</w:t>
      </w:r>
      <w:r w:rsidR="009D5B1B" w:rsidRPr="006E23A9">
        <w:t>“</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138059C4" w14:textId="288D84EA" w:rsidR="00711197" w:rsidRPr="00995F39" w:rsidRDefault="00711197" w:rsidP="00711197">
      <w:pPr>
        <w:pStyle w:val="Odstavecseseznamem"/>
        <w:numPr>
          <w:ilvl w:val="0"/>
          <w:numId w:val="35"/>
        </w:numPr>
        <w:spacing w:before="120"/>
        <w:ind w:left="284"/>
        <w:rPr>
          <w:sz w:val="24"/>
          <w:szCs w:val="24"/>
        </w:rPr>
      </w:pPr>
      <w:r w:rsidRPr="00995F39">
        <w:rPr>
          <w:b/>
          <w:sz w:val="24"/>
          <w:szCs w:val="24"/>
        </w:rPr>
        <w:t>Západočeská univerzita v Plzni</w:t>
      </w:r>
    </w:p>
    <w:p w14:paraId="3E0065F5" w14:textId="0351BCCC" w:rsidR="00711197" w:rsidRPr="00995F39" w:rsidRDefault="00711197" w:rsidP="00711197">
      <w:pPr>
        <w:ind w:left="284"/>
        <w:jc w:val="both"/>
        <w:rPr>
          <w:sz w:val="24"/>
          <w:szCs w:val="24"/>
        </w:rPr>
      </w:pPr>
      <w:r w:rsidRPr="00995F39">
        <w:rPr>
          <w:sz w:val="24"/>
          <w:szCs w:val="24"/>
        </w:rPr>
        <w:t>zastoupená</w:t>
      </w:r>
      <w:r>
        <w:rPr>
          <w:sz w:val="24"/>
          <w:szCs w:val="24"/>
        </w:rPr>
        <w:t xml:space="preserve"> </w:t>
      </w:r>
      <w:r w:rsidR="007D5E61">
        <w:rPr>
          <w:sz w:val="24"/>
          <w:szCs w:val="24"/>
        </w:rPr>
        <w:t>x</w:t>
      </w:r>
      <w:r>
        <w:rPr>
          <w:sz w:val="24"/>
          <w:szCs w:val="24"/>
        </w:rPr>
        <w:t xml:space="preserve"> prorektorem pro tvůrčí činnost a doktorské studium </w:t>
      </w:r>
    </w:p>
    <w:p w14:paraId="305432DC" w14:textId="77777777" w:rsidR="00711197" w:rsidRPr="00995F39" w:rsidRDefault="00711197" w:rsidP="00711197">
      <w:pPr>
        <w:ind w:firstLine="357"/>
        <w:rPr>
          <w:sz w:val="24"/>
          <w:szCs w:val="24"/>
        </w:rPr>
      </w:pPr>
      <w:r w:rsidRPr="00995F39">
        <w:rPr>
          <w:sz w:val="24"/>
          <w:szCs w:val="24"/>
        </w:rPr>
        <w:t>se sídlem</w:t>
      </w:r>
      <w:r>
        <w:rPr>
          <w:sz w:val="24"/>
          <w:szCs w:val="24"/>
        </w:rPr>
        <w:t xml:space="preserve"> </w:t>
      </w:r>
      <w:r w:rsidRPr="00995F39">
        <w:rPr>
          <w:sz w:val="24"/>
          <w:szCs w:val="24"/>
        </w:rPr>
        <w:t xml:space="preserve">Univerzitní 2732/8, Plzeň, PSČ 301 00   </w:t>
      </w:r>
    </w:p>
    <w:p w14:paraId="292FE702" w14:textId="77777777" w:rsidR="00711197" w:rsidRPr="00995F39" w:rsidRDefault="00711197" w:rsidP="00711197">
      <w:pPr>
        <w:ind w:firstLine="357"/>
        <w:rPr>
          <w:sz w:val="24"/>
          <w:szCs w:val="24"/>
        </w:rPr>
      </w:pPr>
      <w:r>
        <w:rPr>
          <w:sz w:val="24"/>
          <w:szCs w:val="24"/>
        </w:rPr>
        <w:t xml:space="preserve">IČO </w:t>
      </w:r>
      <w:r w:rsidRPr="00995F39">
        <w:rPr>
          <w:sz w:val="24"/>
          <w:szCs w:val="24"/>
        </w:rPr>
        <w:t>49777513</w:t>
      </w:r>
    </w:p>
    <w:p w14:paraId="2DBDFD56" w14:textId="77777777" w:rsidR="00711197" w:rsidRPr="00995F39" w:rsidRDefault="00711197" w:rsidP="00711197">
      <w:pPr>
        <w:ind w:firstLine="357"/>
        <w:rPr>
          <w:sz w:val="24"/>
          <w:szCs w:val="24"/>
        </w:rPr>
      </w:pPr>
      <w:r>
        <w:rPr>
          <w:sz w:val="24"/>
          <w:szCs w:val="24"/>
        </w:rPr>
        <w:t xml:space="preserve">DIČ </w:t>
      </w:r>
      <w:r w:rsidRPr="00995F39">
        <w:rPr>
          <w:sz w:val="24"/>
          <w:szCs w:val="24"/>
        </w:rPr>
        <w:t>CZ49777513</w:t>
      </w:r>
    </w:p>
    <w:p w14:paraId="2B1FB4A5" w14:textId="69B91588"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9D5B1B" w:rsidRPr="006E23A9">
        <w:t xml:space="preserve"> nebo „</w:t>
      </w:r>
      <w:r w:rsidR="00711197" w:rsidRPr="00711197">
        <w:t>Z</w:t>
      </w:r>
      <w:r w:rsidR="00711197">
        <w:t>ČU</w:t>
      </w:r>
      <w:r w:rsidR="009D5B1B" w:rsidRPr="006E23A9">
        <w:t>“</w:t>
      </w:r>
      <w:r w:rsidR="00A22B2A" w:rsidRPr="006E23A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5EFD994B" w:rsidR="002B2D50" w:rsidRPr="006E23A9" w:rsidRDefault="00A22B2A" w:rsidP="006E23A9">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173F16">
        <w:t>Ministerstvem obchodu a průmyslu (dále jen „</w:t>
      </w:r>
      <w:r w:rsidR="00173F16" w:rsidRPr="0065282D">
        <w:t>poskytovatel</w:t>
      </w:r>
      <w:r w:rsidR="00173F16">
        <w:t xml:space="preserve">“) v rámci programu Podnikání a inovace pro konkurenceschopnost, Programu podpory Aplikace VIII. výzvy, </w:t>
      </w:r>
      <w:r w:rsidR="00173F16" w:rsidRPr="008A733E">
        <w:t>projekt výzkumu a vývoje s názvem: „</w:t>
      </w:r>
      <w:r w:rsidR="00173F16">
        <w:t>Návrh energeticky úsporných tlumivek - NEUTlum“, reg</w:t>
      </w:r>
      <w:r w:rsidR="00173F16" w:rsidRPr="008A733E">
        <w:t xml:space="preserve">. č. </w:t>
      </w:r>
      <w:r w:rsidR="00173F16" w:rsidRPr="007A6466">
        <w:t xml:space="preserve">CZ.01.1.02/0.0/0.0/20_321/0024444 </w:t>
      </w:r>
      <w:r w:rsidR="00173F16" w:rsidRPr="008A733E">
        <w:t>(dále jen „projekt“)</w:t>
      </w:r>
      <w:r w:rsidR="00173F16">
        <w:t>.</w:t>
      </w:r>
    </w:p>
    <w:p w14:paraId="71C307D4" w14:textId="34B3B7A9"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173F16">
        <w:t>31. 5. 2023.</w:t>
      </w:r>
    </w:p>
    <w:p w14:paraId="2247BB1E" w14:textId="12585520" w:rsidR="002B2D50" w:rsidRPr="00173F16" w:rsidRDefault="00A22B2A" w:rsidP="006E23A9">
      <w:pPr>
        <w:pStyle w:val="Zkladntextodsazen"/>
        <w:numPr>
          <w:ilvl w:val="0"/>
          <w:numId w:val="21"/>
        </w:numPr>
        <w:spacing w:after="120"/>
        <w:ind w:hanging="720"/>
      </w:pPr>
      <w:r w:rsidRPr="006E23A9">
        <w:t xml:space="preserve">Příjemce: </w:t>
      </w:r>
      <w:r w:rsidR="00173F16" w:rsidRPr="00173F16">
        <w:t>ELZAT s.r.o.</w:t>
      </w:r>
    </w:p>
    <w:p w14:paraId="63608373" w14:textId="770D2EE0"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173F16">
        <w:t>Západočeská univerzita v Plzni.</w:t>
      </w:r>
    </w:p>
    <w:p w14:paraId="72490893" w14:textId="1E5C6487"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1910FA">
        <w:t>C</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17E9D1F1" w:rsidR="002A66D8" w:rsidRPr="006E23A9" w:rsidRDefault="004471DE" w:rsidP="009D5B1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173F16">
        <w:rPr>
          <w:sz w:val="24"/>
          <w:szCs w:val="24"/>
        </w:rPr>
        <w:t>Prototyp nízkoztrátové tlumivky</w:t>
      </w:r>
    </w:p>
    <w:p w14:paraId="48E550D9" w14:textId="7C23E84A"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173F16">
        <w:rPr>
          <w:sz w:val="24"/>
          <w:szCs w:val="24"/>
        </w:rPr>
        <w:t>prototyp</w:t>
      </w:r>
    </w:p>
    <w:p w14:paraId="205B8155" w14:textId="3849BB26" w:rsidR="00736DEF" w:rsidRPr="006E23A9" w:rsidRDefault="002B2D50" w:rsidP="009D5B1B">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265DF0">
        <w:rPr>
          <w:sz w:val="24"/>
          <w:szCs w:val="24"/>
        </w:rPr>
        <w:t>50 % ELZAT / 50 % ZČU</w:t>
      </w:r>
    </w:p>
    <w:p w14:paraId="278DC83D" w14:textId="3385F84F" w:rsidR="004471DE" w:rsidRPr="006E23A9" w:rsidRDefault="004471DE" w:rsidP="009D5B1B">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173F16">
        <w:rPr>
          <w:sz w:val="24"/>
          <w:szCs w:val="24"/>
        </w:rPr>
        <w:t>výroba nízkoztrátových tlumivek</w:t>
      </w:r>
    </w:p>
    <w:p w14:paraId="717D4DF4" w14:textId="77777777" w:rsidR="0099272E" w:rsidRPr="006E23A9" w:rsidRDefault="0099272E" w:rsidP="004C050D">
      <w:pPr>
        <w:ind w:left="705"/>
        <w:jc w:val="both"/>
        <w:rPr>
          <w:sz w:val="24"/>
          <w:szCs w:val="24"/>
        </w:rPr>
      </w:pPr>
    </w:p>
    <w:p w14:paraId="72372440" w14:textId="77777777" w:rsidR="00635D46" w:rsidRPr="006E23A9" w:rsidRDefault="00635D46" w:rsidP="00904625">
      <w:pPr>
        <w:ind w:left="705" w:hanging="705"/>
        <w:jc w:val="both"/>
        <w:rPr>
          <w:sz w:val="24"/>
          <w:szCs w:val="24"/>
        </w:rPr>
      </w:pPr>
    </w:p>
    <w:p w14:paraId="0F16772D" w14:textId="7364B484"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jen </w:t>
      </w:r>
      <w:r w:rsidR="004471DE" w:rsidRPr="006E23A9">
        <w:rPr>
          <w:sz w:val="24"/>
          <w:szCs w:val="24"/>
        </w:rPr>
        <w:t>„výsledek“</w:t>
      </w:r>
      <w:r w:rsidR="000006FB" w:rsidRPr="006E23A9">
        <w:rPr>
          <w:sz w:val="24"/>
          <w:szCs w:val="24"/>
        </w:rPr>
        <w:t>).</w:t>
      </w:r>
    </w:p>
    <w:p w14:paraId="0C3BC3EC" w14:textId="42B87560" w:rsidR="00635D46" w:rsidRPr="006E23A9" w:rsidRDefault="00635D46" w:rsidP="006E23A9">
      <w:pPr>
        <w:pStyle w:val="Zkladntext"/>
        <w:numPr>
          <w:ilvl w:val="0"/>
          <w:numId w:val="19"/>
        </w:numPr>
        <w:spacing w:after="120"/>
        <w:ind w:left="782" w:hanging="782"/>
        <w:jc w:val="both"/>
        <w:rPr>
          <w:szCs w:val="24"/>
        </w:rPr>
      </w:pPr>
      <w:r w:rsidRPr="006E23A9">
        <w:rPr>
          <w:szCs w:val="24"/>
        </w:rPr>
        <w:t>Uveden</w:t>
      </w:r>
      <w:r w:rsidR="00265DF0">
        <w:rPr>
          <w:szCs w:val="24"/>
        </w:rPr>
        <w:t>ý</w:t>
      </w:r>
      <w:r w:rsidRPr="006E23A9">
        <w:rPr>
          <w:szCs w:val="24"/>
        </w:rPr>
        <w:t xml:space="preserve"> výsled</w:t>
      </w:r>
      <w:r w:rsidR="00265DF0">
        <w:rPr>
          <w:szCs w:val="24"/>
        </w:rPr>
        <w:t>e</w:t>
      </w:r>
      <w:r w:rsidRPr="006E23A9">
        <w:rPr>
          <w:szCs w:val="24"/>
        </w:rPr>
        <w:t>k projektu j</w:t>
      </w:r>
      <w:r w:rsidR="00265DF0">
        <w:rPr>
          <w:szCs w:val="24"/>
        </w:rPr>
        <w:t>e</w:t>
      </w:r>
      <w:r w:rsidRPr="006E23A9">
        <w:rPr>
          <w:szCs w:val="24"/>
        </w:rPr>
        <w:t xml:space="preserve"> v souladu s cíli projektu. </w:t>
      </w:r>
    </w:p>
    <w:p w14:paraId="702D64FB" w14:textId="513373C7"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w:t>
      </w:r>
      <w:r w:rsidR="00265DF0">
        <w:rPr>
          <w:sz w:val="24"/>
          <w:szCs w:val="24"/>
        </w:rPr>
        <w:t>e</w:t>
      </w:r>
      <w:r w:rsidRPr="006E23A9">
        <w:rPr>
          <w:sz w:val="24"/>
          <w:szCs w:val="24"/>
        </w:rPr>
        <w:t>k projektu, včetně závěrečné zprávy, podléh</w:t>
      </w:r>
      <w:r w:rsidR="00265DF0">
        <w:rPr>
          <w:sz w:val="24"/>
          <w:szCs w:val="24"/>
        </w:rPr>
        <w:t>á</w:t>
      </w:r>
      <w:r w:rsidRPr="006E23A9">
        <w:rPr>
          <w:sz w:val="24"/>
          <w:szCs w:val="24"/>
        </w:rPr>
        <w:t xml:space="preserve">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7A1D99CB"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w:t>
      </w:r>
      <w:r w:rsidR="00265DF0">
        <w:rPr>
          <w:spacing w:val="6"/>
          <w:sz w:val="24"/>
          <w:szCs w:val="24"/>
        </w:rPr>
        <w:t>ý</w:t>
      </w:r>
      <w:r w:rsidR="002B2D50" w:rsidRPr="006E23A9">
        <w:rPr>
          <w:spacing w:val="6"/>
          <w:sz w:val="24"/>
          <w:szCs w:val="24"/>
        </w:rPr>
        <w:t xml:space="preserve"> výsled</w:t>
      </w:r>
      <w:r w:rsidR="00265DF0">
        <w:rPr>
          <w:spacing w:val="6"/>
          <w:sz w:val="24"/>
          <w:szCs w:val="24"/>
        </w:rPr>
        <w:t>e</w:t>
      </w:r>
      <w:r w:rsidR="002B2D50" w:rsidRPr="006E23A9">
        <w:rPr>
          <w:spacing w:val="6"/>
          <w:sz w:val="24"/>
          <w:szCs w:val="24"/>
        </w:rPr>
        <w:t>k řešení projektu ne</w:t>
      </w:r>
      <w:r w:rsidR="00265DF0">
        <w:rPr>
          <w:spacing w:val="6"/>
          <w:sz w:val="24"/>
          <w:szCs w:val="24"/>
        </w:rPr>
        <w:t>ní</w:t>
      </w:r>
      <w:r w:rsidR="002B2D50" w:rsidRPr="006E23A9">
        <w:rPr>
          <w:spacing w:val="6"/>
          <w:sz w:val="24"/>
          <w:szCs w:val="24"/>
        </w:rPr>
        <w:t xml:space="preserve"> zároveň výsledk</w:t>
      </w:r>
      <w:r w:rsidR="00265DF0">
        <w:rPr>
          <w:spacing w:val="6"/>
          <w:sz w:val="24"/>
          <w:szCs w:val="24"/>
        </w:rPr>
        <w:t>em</w:t>
      </w:r>
      <w:r w:rsidR="002B2D50" w:rsidRPr="006E23A9">
        <w:rPr>
          <w:spacing w:val="6"/>
          <w:sz w:val="24"/>
          <w:szCs w:val="24"/>
        </w:rPr>
        <w:t xml:space="preserve">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6178ADE3" w:rsidR="009D2B69" w:rsidRPr="006E23A9" w:rsidRDefault="009D2B69" w:rsidP="006E23A9">
      <w:pPr>
        <w:pStyle w:val="Zkladntext"/>
        <w:spacing w:after="120"/>
        <w:jc w:val="center"/>
        <w:rPr>
          <w:b/>
          <w:bCs/>
        </w:rPr>
      </w:pPr>
      <w:r w:rsidRPr="006E23A9">
        <w:rPr>
          <w:b/>
          <w:bCs/>
        </w:rPr>
        <w:t>Úprava užívacích práv k výsledk</w:t>
      </w:r>
      <w:r w:rsidR="00265DF0">
        <w:rPr>
          <w:b/>
          <w:bCs/>
        </w:rPr>
        <w:t>u</w:t>
      </w:r>
      <w:r w:rsidRPr="006E23A9">
        <w:rPr>
          <w:b/>
          <w:bCs/>
        </w:rPr>
        <w:t xml:space="preserve"> projektu</w:t>
      </w:r>
    </w:p>
    <w:p w14:paraId="55DE427E" w14:textId="076E5FE0" w:rsidR="00635D46" w:rsidRPr="006E23A9" w:rsidRDefault="004471DE" w:rsidP="006E23A9">
      <w:pPr>
        <w:pStyle w:val="Zkladntext"/>
        <w:numPr>
          <w:ilvl w:val="0"/>
          <w:numId w:val="18"/>
        </w:numPr>
        <w:spacing w:after="120"/>
        <w:ind w:hanging="720"/>
        <w:jc w:val="both"/>
        <w:rPr>
          <w:szCs w:val="24"/>
        </w:rPr>
      </w:pPr>
      <w:r w:rsidRPr="006E23A9">
        <w:rPr>
          <w:szCs w:val="24"/>
        </w:rPr>
        <w:t xml:space="preserve">Smluvní strany se zavazují vyžít </w:t>
      </w:r>
      <w:r w:rsidR="000946FE" w:rsidRPr="006E23A9">
        <w:rPr>
          <w:szCs w:val="24"/>
        </w:rPr>
        <w:t>v</w:t>
      </w:r>
      <w:r w:rsidRPr="006E23A9">
        <w:rPr>
          <w:szCs w:val="24"/>
        </w:rPr>
        <w:t>ýsled</w:t>
      </w:r>
      <w:r w:rsidR="00265DF0">
        <w:rPr>
          <w:szCs w:val="24"/>
        </w:rPr>
        <w:t>e</w:t>
      </w:r>
      <w:r w:rsidRPr="006E23A9">
        <w:rPr>
          <w:szCs w:val="24"/>
        </w:rPr>
        <w:t xml:space="preserve">k způsobem uvedeným v předchozím článku nejdéle do </w:t>
      </w:r>
      <w:r w:rsidR="00173F16">
        <w:t>5</w:t>
      </w:r>
      <w:r w:rsidR="0099272E"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r w:rsidR="00FE7682" w:rsidRPr="006E23A9">
        <w:rPr>
          <w:szCs w:val="24"/>
        </w:rPr>
        <w:t>Smluvní strany se zavazují spolupracovat a poskytnout si vzájemně maximální součinnost k tomu, aby výsled</w:t>
      </w:r>
      <w:r w:rsidR="00265DF0">
        <w:rPr>
          <w:szCs w:val="24"/>
        </w:rPr>
        <w:t>e</w:t>
      </w:r>
      <w:r w:rsidR="00FE7682" w:rsidRPr="006E23A9">
        <w:rPr>
          <w:szCs w:val="24"/>
        </w:rPr>
        <w:t xml:space="preserve">k byl využit </w:t>
      </w:r>
      <w:r w:rsidR="0045735C" w:rsidRPr="006E23A9">
        <w:rPr>
          <w:szCs w:val="24"/>
        </w:rPr>
        <w:t>v souladu s implementačním plánem</w:t>
      </w:r>
      <w:r w:rsidR="00FE7682" w:rsidRPr="006E23A9">
        <w:rPr>
          <w:szCs w:val="24"/>
        </w:rPr>
        <w:t>.</w:t>
      </w:r>
    </w:p>
    <w:p w14:paraId="22EE5D68" w14:textId="73B619F9" w:rsidR="0045735C" w:rsidRPr="006E23A9" w:rsidRDefault="0045735C" w:rsidP="009D5B1B">
      <w:pPr>
        <w:pStyle w:val="Zkladntext"/>
        <w:numPr>
          <w:ilvl w:val="0"/>
          <w:numId w:val="18"/>
        </w:numPr>
        <w:spacing w:after="120"/>
        <w:ind w:hanging="720"/>
        <w:jc w:val="both"/>
        <w:rPr>
          <w:szCs w:val="24"/>
        </w:rPr>
      </w:pPr>
      <w:r w:rsidRPr="006E23A9">
        <w:rPr>
          <w:szCs w:val="24"/>
        </w:rPr>
        <w:t>Smluvní strany jsou povinny s výsledk</w:t>
      </w:r>
      <w:r w:rsidR="00265DF0">
        <w:rPr>
          <w:szCs w:val="24"/>
        </w:rPr>
        <w:t>em</w:t>
      </w:r>
      <w:r w:rsidRPr="006E23A9">
        <w:rPr>
          <w:szCs w:val="24"/>
        </w:rPr>
        <w:t xml:space="preserve"> nakládat či je</w:t>
      </w:r>
      <w:r w:rsidR="00265DF0">
        <w:rPr>
          <w:szCs w:val="24"/>
        </w:rPr>
        <w:t>j</w:t>
      </w:r>
      <w:r w:rsidRPr="006E23A9">
        <w:rPr>
          <w:szCs w:val="24"/>
        </w:rPr>
        <w:t xml:space="preserve"> užívat výhradně v souladu s touto smlouvou a tak, aby byla dodržena pravidla vyplývající ze Smlouvy o účasti na řešení projektu a Smlouvy o poskytnutí podpory uzavřených k projektu, z 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a pravidla veřejné podpory ve smyslu čl. 107 Smlouvy o fungování Evropské unie.</w:t>
      </w:r>
    </w:p>
    <w:p w14:paraId="6EE21497" w14:textId="65C02E34" w:rsidR="00DB74FF" w:rsidRPr="006E23A9" w:rsidRDefault="00DB74FF" w:rsidP="009D5B1B">
      <w:pPr>
        <w:pStyle w:val="Zkladntext"/>
        <w:numPr>
          <w:ilvl w:val="0"/>
          <w:numId w:val="18"/>
        </w:numPr>
        <w:spacing w:after="120"/>
        <w:ind w:hanging="720"/>
        <w:jc w:val="both"/>
        <w:rPr>
          <w:szCs w:val="24"/>
        </w:rPr>
      </w:pPr>
      <w:r w:rsidRPr="006E23A9">
        <w:t>Výsled</w:t>
      </w:r>
      <w:r w:rsidR="00265DF0">
        <w:t>e</w:t>
      </w:r>
      <w:r w:rsidRPr="006E23A9">
        <w:t>k</w:t>
      </w:r>
      <w:r w:rsidR="00265DF0">
        <w:t xml:space="preserve"> moh</w:t>
      </w:r>
      <w:r w:rsidR="000946FE" w:rsidRPr="006E23A9">
        <w:t>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0"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1" w:name="_Hlk7153700"/>
      <w:bookmarkStart w:id="2"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1"/>
      <w:r w:rsidRPr="006E23A9">
        <w:t xml:space="preserve"> Úhrada kompenzace neznamená, že smluvní strany nemohou jednat s jinými zájemci o uzavření licenční smlouvy, přičemž i na taková následná jednání se užije ustanovení tohoto odstavce</w:t>
      </w:r>
      <w:bookmarkEnd w:id="0"/>
      <w:r w:rsidRPr="006E23A9">
        <w:t>.</w:t>
      </w:r>
      <w:bookmarkEnd w:id="2"/>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lastRenderedPageBreak/>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17145F15" w14:textId="388F01CF" w:rsidR="00173F16" w:rsidRDefault="00173F16" w:rsidP="006E23A9">
      <w:pPr>
        <w:pStyle w:val="Zkladntext"/>
        <w:numPr>
          <w:ilvl w:val="0"/>
          <w:numId w:val="34"/>
        </w:numPr>
        <w:spacing w:after="120"/>
        <w:ind w:hanging="720"/>
        <w:jc w:val="both"/>
        <w:rPr>
          <w:szCs w:val="24"/>
        </w:rPr>
      </w:pPr>
      <w:r>
        <w:rPr>
          <w:szCs w:val="24"/>
        </w:rPr>
        <w:t>V souladu se Smlouvou o smlouvě budoucí uzavřenou smluvními stranami náleží ZČU z komerčního využití výsledků projektu ze strany ELZAT následující</w:t>
      </w:r>
      <w:r w:rsidR="003432FD" w:rsidRPr="006E23A9">
        <w:rPr>
          <w:szCs w:val="24"/>
        </w:rPr>
        <w:t xml:space="preserve"> </w:t>
      </w:r>
      <w:r w:rsidR="00FF6E67" w:rsidRPr="006E23A9">
        <w:rPr>
          <w:szCs w:val="24"/>
        </w:rPr>
        <w:t>poplatk</w:t>
      </w:r>
      <w:r>
        <w:rPr>
          <w:szCs w:val="24"/>
        </w:rPr>
        <w:t>y:</w:t>
      </w:r>
    </w:p>
    <w:p w14:paraId="061AEDA5" w14:textId="760A88B7" w:rsidR="00173F16" w:rsidRDefault="00173F16" w:rsidP="00173F16">
      <w:pPr>
        <w:pStyle w:val="Odstavecseseznamem"/>
        <w:numPr>
          <w:ilvl w:val="2"/>
          <w:numId w:val="37"/>
        </w:numPr>
        <w:spacing w:after="120"/>
        <w:contextualSpacing w:val="0"/>
        <w:jc w:val="both"/>
        <w:rPr>
          <w:sz w:val="24"/>
          <w:szCs w:val="24"/>
        </w:rPr>
      </w:pPr>
      <w:r>
        <w:rPr>
          <w:sz w:val="24"/>
          <w:szCs w:val="24"/>
        </w:rPr>
        <w:t>od okamžiku uzavření smlouvy o využití výsledku do 31.12.2025 0,4 %</w:t>
      </w:r>
      <w:r w:rsidRPr="00EA76A9">
        <w:rPr>
          <w:sz w:val="24"/>
          <w:szCs w:val="24"/>
        </w:rPr>
        <w:t xml:space="preserve">  </w:t>
      </w:r>
    </w:p>
    <w:p w14:paraId="521B74BC" w14:textId="77777777" w:rsidR="00173F16" w:rsidRDefault="00173F16" w:rsidP="00173F16">
      <w:pPr>
        <w:pStyle w:val="Odstavecseseznamem"/>
        <w:numPr>
          <w:ilvl w:val="2"/>
          <w:numId w:val="37"/>
        </w:numPr>
        <w:spacing w:after="120"/>
        <w:contextualSpacing w:val="0"/>
        <w:jc w:val="both"/>
        <w:rPr>
          <w:sz w:val="24"/>
          <w:szCs w:val="24"/>
        </w:rPr>
      </w:pPr>
      <w:r>
        <w:rPr>
          <w:sz w:val="24"/>
          <w:szCs w:val="24"/>
        </w:rPr>
        <w:t>od 1. 1. 2026 do 31.12.2028 0,4 %</w:t>
      </w:r>
      <w:r w:rsidRPr="00EA76A9">
        <w:rPr>
          <w:sz w:val="24"/>
          <w:szCs w:val="24"/>
        </w:rPr>
        <w:t xml:space="preserve">  </w:t>
      </w:r>
    </w:p>
    <w:p w14:paraId="025A2711" w14:textId="77777777" w:rsidR="00173F16" w:rsidRDefault="00173F16" w:rsidP="00173F16">
      <w:pPr>
        <w:pStyle w:val="Odstavecseseznamem"/>
        <w:numPr>
          <w:ilvl w:val="2"/>
          <w:numId w:val="37"/>
        </w:numPr>
        <w:spacing w:after="120"/>
        <w:contextualSpacing w:val="0"/>
        <w:jc w:val="both"/>
        <w:rPr>
          <w:sz w:val="24"/>
          <w:szCs w:val="24"/>
        </w:rPr>
      </w:pPr>
      <w:r>
        <w:rPr>
          <w:sz w:val="24"/>
          <w:szCs w:val="24"/>
        </w:rPr>
        <w:t>od 1. 1. 2029 do 31.12.2030 0,4 %</w:t>
      </w:r>
    </w:p>
    <w:p w14:paraId="579977B0" w14:textId="69768313" w:rsidR="00173F16" w:rsidRDefault="00173F16" w:rsidP="00173F16">
      <w:pPr>
        <w:spacing w:after="120"/>
        <w:ind w:left="783" w:hanging="75"/>
        <w:jc w:val="both"/>
        <w:rPr>
          <w:sz w:val="24"/>
          <w:szCs w:val="24"/>
        </w:rPr>
      </w:pPr>
      <w:r w:rsidRPr="00EA76A9">
        <w:rPr>
          <w:sz w:val="24"/>
          <w:szCs w:val="24"/>
        </w:rPr>
        <w:t xml:space="preserve">z prodejní ceny produktu či služby, ve kterých byl společný výsledek užit. Poplatek bude vypočten vždy z prodejní ceny všech produktů či služeb, ve kterých byl společný výsledek užit, za předchozí kalendářní rok. Prodejní cenou se rozumí cena, za kterou </w:t>
      </w:r>
      <w:r>
        <w:rPr>
          <w:sz w:val="24"/>
          <w:szCs w:val="24"/>
        </w:rPr>
        <w:t>ELZAT</w:t>
      </w:r>
      <w:r w:rsidRPr="00EA76A9">
        <w:rPr>
          <w:sz w:val="24"/>
          <w:szCs w:val="24"/>
        </w:rPr>
        <w:t xml:space="preserve"> prodá produkt či službu, ve kterých byl společný výsledek užit. </w:t>
      </w:r>
    </w:p>
    <w:p w14:paraId="3C7742BA" w14:textId="46F8800F" w:rsidR="00173F16" w:rsidRDefault="00173F16" w:rsidP="00173F16">
      <w:pPr>
        <w:pStyle w:val="Odstavecseseznamem"/>
        <w:numPr>
          <w:ilvl w:val="0"/>
          <w:numId w:val="37"/>
        </w:numPr>
        <w:spacing w:after="120"/>
        <w:ind w:left="709"/>
        <w:contextualSpacing w:val="0"/>
        <w:jc w:val="both"/>
        <w:rPr>
          <w:sz w:val="24"/>
          <w:szCs w:val="24"/>
        </w:rPr>
      </w:pPr>
      <w:r>
        <w:rPr>
          <w:sz w:val="24"/>
          <w:szCs w:val="24"/>
        </w:rPr>
        <w:t>Nedosáhne-li odměna vypočtená podle předchozího odstavce písm. ii) v příslušném kalendářním roce částky 72 400 Kč bez DPH, uhradí ELZAT pouze roční poplatek ve výši 72 400 Kč.</w:t>
      </w:r>
    </w:p>
    <w:p w14:paraId="0F87F776" w14:textId="3B86C52E" w:rsidR="00012EF6" w:rsidRPr="006E23A9" w:rsidRDefault="00173F16" w:rsidP="00173F16">
      <w:pPr>
        <w:pStyle w:val="Zkladntext"/>
        <w:numPr>
          <w:ilvl w:val="0"/>
          <w:numId w:val="37"/>
        </w:numPr>
        <w:spacing w:after="120"/>
        <w:ind w:left="709"/>
        <w:jc w:val="both"/>
        <w:rPr>
          <w:szCs w:val="24"/>
        </w:rPr>
      </w:pPr>
      <w:bookmarkStart w:id="3" w:name="_Hlk50096253"/>
      <w:r>
        <w:rPr>
          <w:szCs w:val="24"/>
        </w:rPr>
        <w:t>ELZAT</w:t>
      </w:r>
      <w:r w:rsidR="00012EF6" w:rsidRPr="006E23A9">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00012EF6" w:rsidRPr="006E23A9">
        <w:rPr>
          <w:rFonts w:ascii="Arial" w:hAnsi="Arial" w:cs="Arial"/>
          <w:sz w:val="20"/>
        </w:rPr>
        <w:t xml:space="preserve">. </w:t>
      </w:r>
    </w:p>
    <w:p w14:paraId="5B20B9C2" w14:textId="410FF202" w:rsidR="00AF438A" w:rsidRPr="006E23A9" w:rsidRDefault="00173F16" w:rsidP="00173F16">
      <w:pPr>
        <w:pStyle w:val="Zkladntext"/>
        <w:numPr>
          <w:ilvl w:val="0"/>
          <w:numId w:val="37"/>
        </w:numPr>
        <w:spacing w:after="120"/>
        <w:ind w:left="709"/>
        <w:jc w:val="both"/>
        <w:rPr>
          <w:szCs w:val="24"/>
        </w:rPr>
      </w:pPr>
      <w:r>
        <w:rPr>
          <w:szCs w:val="24"/>
        </w:rPr>
        <w:t>ELZAT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w:t>
      </w:r>
      <w:r>
        <w:rPr>
          <w:rFonts w:eastAsia="Arial"/>
        </w:rPr>
        <w:t>en</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w:t>
      </w:r>
      <w:r>
        <w:rPr>
          <w:rFonts w:eastAsia="Arial"/>
          <w:color w:val="000000"/>
          <w:spacing w:val="2"/>
        </w:rPr>
        <w:t>ZČU</w:t>
      </w:r>
      <w:r w:rsidR="00AF438A" w:rsidRPr="006E23A9">
        <w:rPr>
          <w:rFonts w:eastAsia="Arial"/>
          <w:color w:val="000000"/>
          <w:spacing w:val="2"/>
        </w:rPr>
        <w:t xml:space="preserve">,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schránky. </w:t>
      </w:r>
      <w:r w:rsidR="00012EF6" w:rsidRPr="006E23A9">
        <w:rPr>
          <w:szCs w:val="24"/>
        </w:rPr>
        <w:t xml:space="preserve">Zároveň stejným způsobem </w:t>
      </w:r>
      <w:r>
        <w:rPr>
          <w:szCs w:val="24"/>
        </w:rPr>
        <w:t>ELZAT</w:t>
      </w:r>
      <w:r w:rsidR="00012EF6" w:rsidRPr="006E23A9">
        <w:rPr>
          <w:szCs w:val="24"/>
        </w:rPr>
        <w:t xml:space="preserve"> předloží </w:t>
      </w:r>
      <w:r>
        <w:rPr>
          <w:szCs w:val="24"/>
        </w:rPr>
        <w:t>ZČU</w:t>
      </w:r>
      <w:r w:rsidR="00535574" w:rsidRPr="006E23A9">
        <w:rPr>
          <w:szCs w:val="24"/>
        </w:rPr>
        <w:t xml:space="preserve"> </w:t>
      </w:r>
      <w:r w:rsidR="00012EF6" w:rsidRPr="006E23A9">
        <w:rPr>
          <w:szCs w:val="24"/>
        </w:rPr>
        <w:t>evidenční list, ze kterého bude možno ověřit výši poplatku.</w:t>
      </w:r>
      <w:r w:rsidR="00AF438A" w:rsidRPr="006E23A9">
        <w:rPr>
          <w:szCs w:val="24"/>
        </w:rPr>
        <w:t xml:space="preserve"> </w:t>
      </w:r>
      <w:r>
        <w:rPr>
          <w:szCs w:val="24"/>
        </w:rPr>
        <w:t>ZČU</w:t>
      </w:r>
      <w:r w:rsidR="00535574" w:rsidRPr="006E23A9">
        <w:rPr>
          <w:szCs w:val="24"/>
        </w:rPr>
        <w:t xml:space="preserve"> </w:t>
      </w:r>
      <w:r w:rsidR="00AF438A" w:rsidRPr="006E23A9">
        <w:rPr>
          <w:szCs w:val="24"/>
        </w:rPr>
        <w:t>vystav</w:t>
      </w:r>
      <w:r>
        <w:rPr>
          <w:szCs w:val="24"/>
        </w:rPr>
        <w:t>í</w:t>
      </w:r>
      <w:r w:rsidR="00AF438A" w:rsidRPr="006E23A9">
        <w:rPr>
          <w:szCs w:val="24"/>
        </w:rPr>
        <w:t xml:space="preserve"> a doruč</w:t>
      </w:r>
      <w:r>
        <w:rPr>
          <w:szCs w:val="24"/>
        </w:rPr>
        <w:t>í</w:t>
      </w:r>
      <w:r w:rsidR="00AF438A" w:rsidRPr="006E23A9">
        <w:rPr>
          <w:szCs w:val="24"/>
        </w:rPr>
        <w:t xml:space="preserve"> </w:t>
      </w:r>
      <w:r>
        <w:rPr>
          <w:szCs w:val="24"/>
        </w:rPr>
        <w:t>ELZAT</w:t>
      </w:r>
      <w:r w:rsidR="00AF438A" w:rsidRPr="006E23A9">
        <w:rPr>
          <w:szCs w:val="24"/>
        </w:rPr>
        <w:t xml:space="preserve">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11833806" w14:textId="6CBEA376" w:rsidR="00AF438A" w:rsidRPr="006E23A9" w:rsidRDefault="00173F16" w:rsidP="00173F16">
      <w:pPr>
        <w:pStyle w:val="Zkladntext"/>
        <w:numPr>
          <w:ilvl w:val="0"/>
          <w:numId w:val="37"/>
        </w:numPr>
        <w:spacing w:after="120"/>
        <w:ind w:left="709"/>
        <w:jc w:val="both"/>
        <w:rPr>
          <w:szCs w:val="24"/>
        </w:rPr>
      </w:pPr>
      <w:r>
        <w:rPr>
          <w:szCs w:val="24"/>
        </w:rPr>
        <w:t>ELZAT</w:t>
      </w:r>
      <w:r w:rsidR="00AF438A" w:rsidRPr="006E23A9">
        <w:rPr>
          <w:szCs w:val="24"/>
        </w:rPr>
        <w:t xml:space="preserve"> </w:t>
      </w:r>
      <w:r w:rsidR="00AF438A" w:rsidRPr="006E23A9">
        <w:t xml:space="preserve">má dále povinnost do 28. února daného roku zaslat </w:t>
      </w:r>
      <w:r>
        <w:t>ZČU</w:t>
      </w:r>
      <w:r w:rsidR="00AF438A" w:rsidRPr="006E23A9">
        <w:t xml:space="preserve"> na výše uvedený </w:t>
      </w:r>
      <w:r w:rsidR="00AF438A" w:rsidRPr="006E23A9">
        <w:rPr>
          <w:rFonts w:eastAsia="Arial"/>
          <w:color w:val="000000"/>
          <w:spacing w:val="2"/>
        </w:rPr>
        <w:t>e-mail a do datové schránky</w:t>
      </w:r>
      <w:r w:rsidR="00AF438A" w:rsidRPr="006E23A9" w:rsidDel="003750EB">
        <w:t xml:space="preserve"> </w:t>
      </w:r>
      <w:r w:rsidR="00AF438A" w:rsidRPr="006E23A9">
        <w:t xml:space="preserve">konečné vyúčtování. Bude-li třeba, </w:t>
      </w:r>
      <w:r>
        <w:t>ZČU</w:t>
      </w:r>
      <w:r w:rsidR="00AF438A" w:rsidRPr="006E23A9">
        <w:t xml:space="preserve"> do deseti pracovních dní od doručení konečného vyúčtování vystaví konečnou fakturu na poplatek za užívání výsledku v přechozím roce.</w:t>
      </w:r>
    </w:p>
    <w:p w14:paraId="7208EAE9" w14:textId="523DEF3A" w:rsidR="00645E93" w:rsidRPr="006E23A9" w:rsidRDefault="00AF438A" w:rsidP="00173F16">
      <w:pPr>
        <w:pStyle w:val="Zkladntext"/>
        <w:numPr>
          <w:ilvl w:val="0"/>
          <w:numId w:val="37"/>
        </w:numPr>
        <w:spacing w:after="120"/>
        <w:ind w:left="709"/>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19A49D5C" w:rsidR="00645E93" w:rsidRPr="006E23A9" w:rsidRDefault="00645E93" w:rsidP="00173F16">
      <w:pPr>
        <w:pStyle w:val="Zkladntext"/>
        <w:numPr>
          <w:ilvl w:val="0"/>
          <w:numId w:val="37"/>
        </w:numPr>
        <w:spacing w:after="120"/>
        <w:ind w:left="709"/>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5C4B6F">
        <w:rPr>
          <w:szCs w:val="24"/>
        </w:rPr>
        <w:t>ELZAT</w:t>
      </w:r>
      <w:r w:rsidR="0034355A" w:rsidRPr="006E23A9">
        <w:rPr>
          <w:szCs w:val="24"/>
        </w:rPr>
        <w:t xml:space="preserve"> </w:t>
      </w:r>
      <w:r w:rsidRPr="006E23A9">
        <w:rPr>
          <w:szCs w:val="24"/>
        </w:rPr>
        <w:t>povin</w:t>
      </w:r>
      <w:r w:rsidR="005C4B6F">
        <w:rPr>
          <w:szCs w:val="24"/>
        </w:rPr>
        <w:t>en</w:t>
      </w:r>
      <w:r w:rsidRPr="006E23A9">
        <w:rPr>
          <w:szCs w:val="24"/>
        </w:rPr>
        <w:t xml:space="preserve"> </w:t>
      </w:r>
      <w:r w:rsidR="005C4B6F">
        <w:rPr>
          <w:szCs w:val="24"/>
        </w:rPr>
        <w:t>ZČU</w:t>
      </w:r>
      <w:r w:rsidRPr="006E23A9">
        <w:rPr>
          <w:szCs w:val="24"/>
        </w:rPr>
        <w:t xml:space="preserve">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173F16">
      <w:pPr>
        <w:pStyle w:val="Zkladntext"/>
        <w:numPr>
          <w:ilvl w:val="0"/>
          <w:numId w:val="37"/>
        </w:numPr>
        <w:spacing w:after="120"/>
        <w:ind w:left="709"/>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7A94C448" w:rsidR="003432FD" w:rsidRPr="006E23A9" w:rsidRDefault="003432FD" w:rsidP="00173F16">
      <w:pPr>
        <w:pStyle w:val="Zkladntext"/>
        <w:numPr>
          <w:ilvl w:val="0"/>
          <w:numId w:val="37"/>
        </w:numPr>
        <w:spacing w:after="120"/>
        <w:ind w:left="709"/>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3"/>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63072C71"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w:t>
      </w:r>
      <w:r w:rsidR="00265DF0">
        <w:rPr>
          <w:sz w:val="24"/>
          <w:szCs w:val="24"/>
        </w:rPr>
        <w:t>e</w:t>
      </w:r>
      <w:r w:rsidRPr="006E23A9">
        <w:rPr>
          <w:sz w:val="24"/>
          <w:szCs w:val="24"/>
        </w:rPr>
        <w:t>k řešení projektu</w:t>
      </w:r>
      <w:r w:rsidR="00DC02B1" w:rsidRPr="006E23A9">
        <w:rPr>
          <w:sz w:val="24"/>
          <w:szCs w:val="24"/>
        </w:rPr>
        <w:t xml:space="preserve">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w:t>
      </w:r>
      <w:r w:rsidR="00265DF0">
        <w:rPr>
          <w:sz w:val="24"/>
          <w:szCs w:val="24"/>
        </w:rPr>
        <w:t>e</w:t>
      </w:r>
      <w:r w:rsidRPr="006E23A9">
        <w:rPr>
          <w:sz w:val="24"/>
          <w:szCs w:val="24"/>
        </w:rPr>
        <w:t xml:space="preserve">k řešení projektu netvoří žádné jiné důvěrné informace, se kterými by bylo třeba nakládat podle zvláštních právních předpisů. </w:t>
      </w: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60492A19" w:rsidR="008A2111" w:rsidRPr="006E23A9" w:rsidRDefault="005C4B6F" w:rsidP="006E23A9">
      <w:pPr>
        <w:pStyle w:val="Odstavecseseznamem"/>
        <w:numPr>
          <w:ilvl w:val="0"/>
          <w:numId w:val="20"/>
        </w:numPr>
        <w:spacing w:after="120"/>
        <w:ind w:hanging="720"/>
        <w:contextualSpacing w:val="0"/>
        <w:jc w:val="both"/>
        <w:rPr>
          <w:sz w:val="24"/>
          <w:szCs w:val="24"/>
        </w:rPr>
      </w:pPr>
      <w:r>
        <w:rPr>
          <w:sz w:val="24"/>
          <w:szCs w:val="24"/>
        </w:rPr>
        <w:t>ELZAT</w:t>
      </w:r>
      <w:r w:rsidR="00645E93" w:rsidRPr="006E23A9">
        <w:rPr>
          <w:sz w:val="24"/>
          <w:szCs w:val="24"/>
        </w:rPr>
        <w:t xml:space="preserve">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ELZAT</w:t>
      </w:r>
      <w:r w:rsidR="00AF438A" w:rsidRPr="006E23A9">
        <w:rPr>
          <w:sz w:val="24"/>
          <w:szCs w:val="24"/>
        </w:rPr>
        <w:t xml:space="preserve"> 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6FDB8B90"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5C4B6F">
        <w:rPr>
          <w:sz w:val="24"/>
          <w:szCs w:val="24"/>
        </w:rPr>
        <w:t>31. 12. 2030.</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3398330F" w:rsidR="009D2B69" w:rsidRPr="006E23A9" w:rsidRDefault="00AF14D0" w:rsidP="009D5B1B">
      <w:pPr>
        <w:pStyle w:val="Odstavecseseznamem"/>
        <w:numPr>
          <w:ilvl w:val="0"/>
          <w:numId w:val="20"/>
        </w:numPr>
        <w:spacing w:after="120"/>
        <w:ind w:hanging="720"/>
        <w:contextualSpacing w:val="0"/>
        <w:jc w:val="both"/>
        <w:rPr>
          <w:sz w:val="24"/>
          <w:szCs w:val="24"/>
        </w:rPr>
      </w:pPr>
      <w:bookmarkStart w:id="4" w:name="_Hlk87510925"/>
      <w:r w:rsidRPr="006E23A9">
        <w:rPr>
          <w:sz w:val="24"/>
          <w:szCs w:val="24"/>
        </w:rPr>
        <w:lastRenderedPageBreak/>
        <w:t>Pokud je tato smlouva uzavírána elektronickými prostředky, je vyhotovena v jednom originále. Pokud je tato smlouva uzavírána v listinné formě, je</w:t>
      </w:r>
      <w:bookmarkEnd w:id="4"/>
      <w:r w:rsidRPr="006E23A9">
        <w:rPr>
          <w:sz w:val="24"/>
          <w:szCs w:val="24"/>
        </w:rPr>
        <w:t xml:space="preserve"> vyhotovena ve </w:t>
      </w:r>
      <w:r w:rsidR="005C4B6F">
        <w:rPr>
          <w:sz w:val="24"/>
          <w:szCs w:val="24"/>
        </w:rPr>
        <w:t>2</w:t>
      </w:r>
      <w:r w:rsidRPr="006E23A9">
        <w:rPr>
          <w:sz w:val="24"/>
          <w:szCs w:val="24"/>
        </w:rPr>
        <w:t xml:space="preserve"> vyhotoveních, z nichž každé má platnost originálu, přičemž každá Smluvní strana obdrží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4A776275" w:rsidR="009D2B69" w:rsidRPr="006E23A9" w:rsidRDefault="009D2B69" w:rsidP="00981A5E">
      <w:pPr>
        <w:pStyle w:val="Zkladntext"/>
      </w:pPr>
      <w:r w:rsidRPr="006E23A9">
        <w:t>V </w:t>
      </w:r>
      <w:r w:rsidR="00554CD1" w:rsidRPr="006E23A9">
        <w:t xml:space="preserve">Plzni </w:t>
      </w:r>
      <w:r w:rsidR="008A2111" w:rsidRPr="006E23A9">
        <w:t xml:space="preserve">dne </w:t>
      </w:r>
      <w:r w:rsidR="00265DF0">
        <w:t>…………</w:t>
      </w:r>
      <w:r w:rsidR="008A2111" w:rsidRPr="006E23A9">
        <w:tab/>
      </w:r>
      <w:r w:rsidR="008A2111" w:rsidRPr="006E23A9">
        <w:tab/>
      </w:r>
      <w:r w:rsidR="008A2111" w:rsidRPr="006E23A9">
        <w:tab/>
      </w:r>
      <w:r w:rsidR="008A2111" w:rsidRPr="006E23A9">
        <w:tab/>
      </w:r>
      <w:r w:rsidR="0034355A" w:rsidRPr="006E23A9">
        <w:tab/>
      </w:r>
      <w:r w:rsidR="008A2111" w:rsidRPr="006E23A9">
        <w:t>V </w:t>
      </w:r>
      <w:r w:rsidR="00265DF0">
        <w:t>Plzni</w:t>
      </w:r>
      <w:r w:rsidR="008A2111" w:rsidRPr="006E23A9">
        <w:t xml:space="preserve"> dne </w:t>
      </w:r>
      <w:r w:rsidR="00265DF0">
        <w:t>…………………</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640351A3" w:rsidR="009D2B69" w:rsidRPr="006E23A9" w:rsidRDefault="009D2B69">
      <w:pPr>
        <w:pStyle w:val="Zkladntext"/>
      </w:pPr>
      <w:r w:rsidRPr="006E23A9">
        <w:t xml:space="preserve">Za </w:t>
      </w:r>
      <w:r w:rsidR="00554CD1" w:rsidRPr="006E23A9">
        <w:t>Západočeskou univerzitu v Plzni</w:t>
      </w:r>
      <w:r w:rsidRPr="006E23A9">
        <w:tab/>
      </w:r>
      <w:r w:rsidRPr="006E23A9">
        <w:tab/>
      </w:r>
      <w:r w:rsidRPr="006E23A9">
        <w:tab/>
      </w:r>
      <w:r w:rsidR="00F670D1" w:rsidRPr="006E23A9">
        <w:t xml:space="preserve">Za </w:t>
      </w:r>
      <w:r w:rsidR="005C4B6F">
        <w:t>ELZAT s.r.o.</w:t>
      </w:r>
      <w:r w:rsidR="00FA1D8C" w:rsidRPr="006E23A9">
        <w:t xml:space="preserve"> </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38D1B073" w:rsidR="00554CD1" w:rsidRPr="006E23A9" w:rsidRDefault="007D5E61" w:rsidP="00981A5E">
      <w:pPr>
        <w:pStyle w:val="Zkladntext"/>
      </w:pPr>
      <w:r>
        <w:t>x</w:t>
      </w:r>
      <w:r w:rsidR="009D2B69" w:rsidRPr="006E23A9">
        <w:tab/>
      </w:r>
      <w:r w:rsidR="009D2B69" w:rsidRPr="006E23A9">
        <w:tab/>
      </w:r>
      <w:r w:rsidR="009D2B69" w:rsidRPr="006E23A9">
        <w:tab/>
      </w:r>
      <w:r>
        <w:t>x</w:t>
      </w:r>
      <w:bookmarkStart w:id="5" w:name="_GoBack"/>
      <w:bookmarkEnd w:id="5"/>
    </w:p>
    <w:p w14:paraId="52DFB11E" w14:textId="54A78F67" w:rsidR="009D2B69" w:rsidRDefault="00554CD1" w:rsidP="00981A5E">
      <w:pPr>
        <w:pStyle w:val="Zkladntext"/>
      </w:pPr>
      <w:r w:rsidRPr="006E23A9">
        <w:t xml:space="preserve">prorektor </w:t>
      </w:r>
      <w:r w:rsidR="005C4B6F">
        <w:t>pro tvůrčí činnost a doktorské studium</w:t>
      </w:r>
      <w:r w:rsidRPr="006E23A9">
        <w:tab/>
      </w:r>
      <w:r w:rsidR="005C4B6F">
        <w:t>jednatel</w:t>
      </w:r>
      <w:r w:rsidRPr="006E23A9">
        <w:tab/>
      </w:r>
      <w:r w:rsidRPr="006E23A9">
        <w:tab/>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FA93B" w16cid:durableId="228B2461"/>
  <w16cid:commentId w16cid:paraId="61D355C3" w16cid:durableId="2649A5DB"/>
  <w16cid:commentId w16cid:paraId="2D63A417" w16cid:durableId="2649A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2829F" w14:textId="77777777" w:rsidR="00F63931" w:rsidRDefault="00F63931">
      <w:r>
        <w:separator/>
      </w:r>
    </w:p>
  </w:endnote>
  <w:endnote w:type="continuationSeparator" w:id="0">
    <w:p w14:paraId="27D2BDD4" w14:textId="77777777" w:rsidR="00F63931" w:rsidRDefault="00F6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0023" w14:textId="50B28FCE" w:rsidR="009D2B69" w:rsidRDefault="009D2B69">
    <w:pPr>
      <w:pStyle w:val="Zpat"/>
    </w:pPr>
    <w:r>
      <w:tab/>
      <w:t xml:space="preserve">- </w:t>
    </w:r>
    <w:r w:rsidR="007139B6">
      <w:fldChar w:fldCharType="begin"/>
    </w:r>
    <w:r w:rsidR="00EF32AA">
      <w:instrText xml:space="preserve"> PAGE </w:instrText>
    </w:r>
    <w:r w:rsidR="007139B6">
      <w:fldChar w:fldCharType="separate"/>
    </w:r>
    <w:r w:rsidR="007D5E61">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8F0D6" w14:textId="77777777" w:rsidR="00F63931" w:rsidRDefault="00F63931">
      <w:r>
        <w:separator/>
      </w:r>
    </w:p>
  </w:footnote>
  <w:footnote w:type="continuationSeparator" w:id="0">
    <w:p w14:paraId="2138FD23" w14:textId="77777777" w:rsidR="00F63931" w:rsidRDefault="00F6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6500"/>
    <w:multiLevelType w:val="hybridMultilevel"/>
    <w:tmpl w:val="0DE4343C"/>
    <w:lvl w:ilvl="0" w:tplc="5EA0B8EC">
      <w:start w:val="1"/>
      <w:numFmt w:val="decimal"/>
      <w:lvlText w:val="%1."/>
      <w:lvlJc w:val="left"/>
      <w:pPr>
        <w:ind w:left="1440" w:hanging="72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A56E8"/>
    <w:multiLevelType w:val="hybridMultilevel"/>
    <w:tmpl w:val="A6C0B140"/>
    <w:lvl w:ilvl="0" w:tplc="1B30663A">
      <w:start w:val="1"/>
      <w:numFmt w:val="lowerRoman"/>
      <w:lvlText w:val="%1)"/>
      <w:lvlJc w:val="left"/>
      <w:pPr>
        <w:ind w:left="1503" w:hanging="720"/>
      </w:pPr>
      <w:rPr>
        <w:rFonts w:hint="default"/>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8605D8"/>
    <w:multiLevelType w:val="hybridMultilevel"/>
    <w:tmpl w:val="ED06B794"/>
    <w:lvl w:ilvl="0" w:tplc="581C8F1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1"/>
  </w:num>
  <w:num w:numId="2">
    <w:abstractNumId w:val="2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34"/>
  </w:num>
  <w:num w:numId="9">
    <w:abstractNumId w:val="19"/>
  </w:num>
  <w:num w:numId="10">
    <w:abstractNumId w:val="35"/>
  </w:num>
  <w:num w:numId="11">
    <w:abstractNumId w:val="27"/>
  </w:num>
  <w:num w:numId="12">
    <w:abstractNumId w:val="0"/>
  </w:num>
  <w:num w:numId="13">
    <w:abstractNumId w:val="3"/>
  </w:num>
  <w:num w:numId="14">
    <w:abstractNumId w:val="6"/>
  </w:num>
  <w:num w:numId="15">
    <w:abstractNumId w:val="12"/>
  </w:num>
  <w:num w:numId="16">
    <w:abstractNumId w:val="11"/>
  </w:num>
  <w:num w:numId="17">
    <w:abstractNumId w:val="22"/>
  </w:num>
  <w:num w:numId="18">
    <w:abstractNumId w:val="24"/>
  </w:num>
  <w:num w:numId="19">
    <w:abstractNumId w:val="1"/>
  </w:num>
  <w:num w:numId="20">
    <w:abstractNumId w:val="28"/>
  </w:num>
  <w:num w:numId="21">
    <w:abstractNumId w:val="18"/>
  </w:num>
  <w:num w:numId="22">
    <w:abstractNumId w:val="20"/>
  </w:num>
  <w:num w:numId="23">
    <w:abstractNumId w:val="7"/>
  </w:num>
  <w:num w:numId="24">
    <w:abstractNumId w:val="33"/>
  </w:num>
  <w:num w:numId="25">
    <w:abstractNumId w:val="15"/>
  </w:num>
  <w:num w:numId="26">
    <w:abstractNumId w:val="31"/>
  </w:num>
  <w:num w:numId="27">
    <w:abstractNumId w:val="5"/>
  </w:num>
  <w:num w:numId="28">
    <w:abstractNumId w:val="10"/>
  </w:num>
  <w:num w:numId="29">
    <w:abstractNumId w:val="17"/>
  </w:num>
  <w:num w:numId="30">
    <w:abstractNumId w:val="30"/>
  </w:num>
  <w:num w:numId="31">
    <w:abstractNumId w:val="9"/>
  </w:num>
  <w:num w:numId="32">
    <w:abstractNumId w:val="26"/>
  </w:num>
  <w:num w:numId="33">
    <w:abstractNumId w:val="2"/>
  </w:num>
  <w:num w:numId="34">
    <w:abstractNumId w:val="14"/>
  </w:num>
  <w:num w:numId="35">
    <w:abstractNumId w:val="13"/>
  </w:num>
  <w:num w:numId="36">
    <w:abstractNumId w:val="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60"/>
    <w:rsid w:val="000006FB"/>
    <w:rsid w:val="00002C1D"/>
    <w:rsid w:val="00011C0B"/>
    <w:rsid w:val="00012EF6"/>
    <w:rsid w:val="00015B69"/>
    <w:rsid w:val="000370A8"/>
    <w:rsid w:val="0004573D"/>
    <w:rsid w:val="00047F28"/>
    <w:rsid w:val="00072696"/>
    <w:rsid w:val="000754AD"/>
    <w:rsid w:val="000946FE"/>
    <w:rsid w:val="000B0270"/>
    <w:rsid w:val="000B26A8"/>
    <w:rsid w:val="000E2A5E"/>
    <w:rsid w:val="000E6AA1"/>
    <w:rsid w:val="000F386B"/>
    <w:rsid w:val="000F44F0"/>
    <w:rsid w:val="00116556"/>
    <w:rsid w:val="00121FF9"/>
    <w:rsid w:val="001233C9"/>
    <w:rsid w:val="0014407B"/>
    <w:rsid w:val="00144C3C"/>
    <w:rsid w:val="0014671A"/>
    <w:rsid w:val="00156BB1"/>
    <w:rsid w:val="00166A86"/>
    <w:rsid w:val="001729B4"/>
    <w:rsid w:val="00173F16"/>
    <w:rsid w:val="00187672"/>
    <w:rsid w:val="001910FA"/>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54DAE"/>
    <w:rsid w:val="00262623"/>
    <w:rsid w:val="00265DF0"/>
    <w:rsid w:val="00283B4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3F12"/>
    <w:rsid w:val="00381E88"/>
    <w:rsid w:val="00386C09"/>
    <w:rsid w:val="003A33FB"/>
    <w:rsid w:val="003A391E"/>
    <w:rsid w:val="003A4812"/>
    <w:rsid w:val="003B044C"/>
    <w:rsid w:val="003C7A6B"/>
    <w:rsid w:val="003D0594"/>
    <w:rsid w:val="003E29C2"/>
    <w:rsid w:val="003E5B2C"/>
    <w:rsid w:val="003F11FD"/>
    <w:rsid w:val="004471DE"/>
    <w:rsid w:val="00447DD6"/>
    <w:rsid w:val="0045735C"/>
    <w:rsid w:val="00465B51"/>
    <w:rsid w:val="004733A1"/>
    <w:rsid w:val="00475569"/>
    <w:rsid w:val="0047791A"/>
    <w:rsid w:val="0048436B"/>
    <w:rsid w:val="004851ED"/>
    <w:rsid w:val="00496538"/>
    <w:rsid w:val="00497D50"/>
    <w:rsid w:val="004A783F"/>
    <w:rsid w:val="004B4BFE"/>
    <w:rsid w:val="004C050D"/>
    <w:rsid w:val="004E6921"/>
    <w:rsid w:val="004E6FCE"/>
    <w:rsid w:val="00500460"/>
    <w:rsid w:val="00506211"/>
    <w:rsid w:val="00512D27"/>
    <w:rsid w:val="00516F75"/>
    <w:rsid w:val="0053474E"/>
    <w:rsid w:val="00535574"/>
    <w:rsid w:val="005522A4"/>
    <w:rsid w:val="00554CD1"/>
    <w:rsid w:val="005558AB"/>
    <w:rsid w:val="00581B4B"/>
    <w:rsid w:val="00581E6B"/>
    <w:rsid w:val="005915C2"/>
    <w:rsid w:val="005A08FD"/>
    <w:rsid w:val="005A4F5F"/>
    <w:rsid w:val="005A615B"/>
    <w:rsid w:val="005B38C3"/>
    <w:rsid w:val="005C1D1D"/>
    <w:rsid w:val="005C4B6F"/>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22EA"/>
    <w:rsid w:val="006938E8"/>
    <w:rsid w:val="00694146"/>
    <w:rsid w:val="006C49EB"/>
    <w:rsid w:val="006D0A09"/>
    <w:rsid w:val="006D482F"/>
    <w:rsid w:val="006E23A9"/>
    <w:rsid w:val="0070173D"/>
    <w:rsid w:val="0071039D"/>
    <w:rsid w:val="00711197"/>
    <w:rsid w:val="007139B6"/>
    <w:rsid w:val="00714548"/>
    <w:rsid w:val="00722287"/>
    <w:rsid w:val="00724DFC"/>
    <w:rsid w:val="00736DEF"/>
    <w:rsid w:val="00741E56"/>
    <w:rsid w:val="00744F3A"/>
    <w:rsid w:val="0075732C"/>
    <w:rsid w:val="0078252D"/>
    <w:rsid w:val="007A7C5E"/>
    <w:rsid w:val="007B1025"/>
    <w:rsid w:val="007D368F"/>
    <w:rsid w:val="007D5E61"/>
    <w:rsid w:val="007E0858"/>
    <w:rsid w:val="007E6A6C"/>
    <w:rsid w:val="008043A9"/>
    <w:rsid w:val="00805334"/>
    <w:rsid w:val="008149E3"/>
    <w:rsid w:val="008259DF"/>
    <w:rsid w:val="0083570F"/>
    <w:rsid w:val="00836209"/>
    <w:rsid w:val="00851E4A"/>
    <w:rsid w:val="0086129A"/>
    <w:rsid w:val="008A2111"/>
    <w:rsid w:val="008B28E1"/>
    <w:rsid w:val="008B65B0"/>
    <w:rsid w:val="008C1C5F"/>
    <w:rsid w:val="008D1F26"/>
    <w:rsid w:val="008D363A"/>
    <w:rsid w:val="008E01C9"/>
    <w:rsid w:val="008F0E1C"/>
    <w:rsid w:val="00904625"/>
    <w:rsid w:val="009113DA"/>
    <w:rsid w:val="00920E25"/>
    <w:rsid w:val="00922E54"/>
    <w:rsid w:val="00926EB5"/>
    <w:rsid w:val="00927411"/>
    <w:rsid w:val="00940287"/>
    <w:rsid w:val="00943971"/>
    <w:rsid w:val="00946BAA"/>
    <w:rsid w:val="00954A21"/>
    <w:rsid w:val="0096488D"/>
    <w:rsid w:val="00981A5E"/>
    <w:rsid w:val="0099272E"/>
    <w:rsid w:val="009B37D6"/>
    <w:rsid w:val="009B434C"/>
    <w:rsid w:val="009B749F"/>
    <w:rsid w:val="009C61DA"/>
    <w:rsid w:val="009D2B69"/>
    <w:rsid w:val="009D3921"/>
    <w:rsid w:val="009D5B1B"/>
    <w:rsid w:val="009F2A90"/>
    <w:rsid w:val="009F5595"/>
    <w:rsid w:val="00A0028E"/>
    <w:rsid w:val="00A213ED"/>
    <w:rsid w:val="00A22B2A"/>
    <w:rsid w:val="00A23B93"/>
    <w:rsid w:val="00A5390B"/>
    <w:rsid w:val="00A53A9D"/>
    <w:rsid w:val="00A80865"/>
    <w:rsid w:val="00A80E49"/>
    <w:rsid w:val="00AA4AE7"/>
    <w:rsid w:val="00AB061E"/>
    <w:rsid w:val="00AB29FD"/>
    <w:rsid w:val="00AC3086"/>
    <w:rsid w:val="00AE4244"/>
    <w:rsid w:val="00AE559E"/>
    <w:rsid w:val="00AF14D0"/>
    <w:rsid w:val="00AF438A"/>
    <w:rsid w:val="00AF4D96"/>
    <w:rsid w:val="00B01C94"/>
    <w:rsid w:val="00B04A12"/>
    <w:rsid w:val="00B05A53"/>
    <w:rsid w:val="00B15A26"/>
    <w:rsid w:val="00B23BE8"/>
    <w:rsid w:val="00B31C51"/>
    <w:rsid w:val="00B42822"/>
    <w:rsid w:val="00B5372A"/>
    <w:rsid w:val="00B67676"/>
    <w:rsid w:val="00B910F7"/>
    <w:rsid w:val="00B963C7"/>
    <w:rsid w:val="00BB0CA6"/>
    <w:rsid w:val="00BB1A5C"/>
    <w:rsid w:val="00C0743F"/>
    <w:rsid w:val="00C14D08"/>
    <w:rsid w:val="00C16BDB"/>
    <w:rsid w:val="00C2376D"/>
    <w:rsid w:val="00C26D33"/>
    <w:rsid w:val="00C337E1"/>
    <w:rsid w:val="00C401DC"/>
    <w:rsid w:val="00C40BC1"/>
    <w:rsid w:val="00C435E8"/>
    <w:rsid w:val="00C44E76"/>
    <w:rsid w:val="00C540B5"/>
    <w:rsid w:val="00C550DB"/>
    <w:rsid w:val="00C56D47"/>
    <w:rsid w:val="00C71FBD"/>
    <w:rsid w:val="00C73210"/>
    <w:rsid w:val="00C80298"/>
    <w:rsid w:val="00C846C5"/>
    <w:rsid w:val="00C9008F"/>
    <w:rsid w:val="00C94127"/>
    <w:rsid w:val="00CA7E2B"/>
    <w:rsid w:val="00CB05A6"/>
    <w:rsid w:val="00CC79C6"/>
    <w:rsid w:val="00CD4FAD"/>
    <w:rsid w:val="00CE0AE5"/>
    <w:rsid w:val="00CE5423"/>
    <w:rsid w:val="00CF7ADF"/>
    <w:rsid w:val="00D000DB"/>
    <w:rsid w:val="00D0097B"/>
    <w:rsid w:val="00D02515"/>
    <w:rsid w:val="00D11CDE"/>
    <w:rsid w:val="00D11D30"/>
    <w:rsid w:val="00D172D5"/>
    <w:rsid w:val="00D26A98"/>
    <w:rsid w:val="00D53EA0"/>
    <w:rsid w:val="00D6270D"/>
    <w:rsid w:val="00D65B05"/>
    <w:rsid w:val="00D66AF9"/>
    <w:rsid w:val="00D66C88"/>
    <w:rsid w:val="00D679C9"/>
    <w:rsid w:val="00D707A4"/>
    <w:rsid w:val="00D81034"/>
    <w:rsid w:val="00D90D37"/>
    <w:rsid w:val="00D9622C"/>
    <w:rsid w:val="00DA7279"/>
    <w:rsid w:val="00DB10F7"/>
    <w:rsid w:val="00DB4E89"/>
    <w:rsid w:val="00DB74FF"/>
    <w:rsid w:val="00DC02B1"/>
    <w:rsid w:val="00DC526F"/>
    <w:rsid w:val="00DE158C"/>
    <w:rsid w:val="00DE6049"/>
    <w:rsid w:val="00DF0B4A"/>
    <w:rsid w:val="00DF5624"/>
    <w:rsid w:val="00E013FB"/>
    <w:rsid w:val="00E05DE4"/>
    <w:rsid w:val="00E27B86"/>
    <w:rsid w:val="00E60F39"/>
    <w:rsid w:val="00E62EEF"/>
    <w:rsid w:val="00E7540F"/>
    <w:rsid w:val="00EC2678"/>
    <w:rsid w:val="00EC748A"/>
    <w:rsid w:val="00ED0FD2"/>
    <w:rsid w:val="00EF1DB6"/>
    <w:rsid w:val="00EF32AA"/>
    <w:rsid w:val="00EF3883"/>
    <w:rsid w:val="00F028D4"/>
    <w:rsid w:val="00F0634B"/>
    <w:rsid w:val="00F105C3"/>
    <w:rsid w:val="00F132CB"/>
    <w:rsid w:val="00F21762"/>
    <w:rsid w:val="00F47207"/>
    <w:rsid w:val="00F63931"/>
    <w:rsid w:val="00F670D1"/>
    <w:rsid w:val="00F73633"/>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D5A8E-B6D3-45C3-ABA5-44BC82DE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10143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Katerina Buresova</cp:lastModifiedBy>
  <cp:revision>2</cp:revision>
  <cp:lastPrinted>2023-08-17T08:32:00Z</cp:lastPrinted>
  <dcterms:created xsi:type="dcterms:W3CDTF">2023-08-24T08:14:00Z</dcterms:created>
  <dcterms:modified xsi:type="dcterms:W3CDTF">2023-08-24T08:14:00Z</dcterms:modified>
</cp:coreProperties>
</file>