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57BB" w14:textId="77777777" w:rsidR="0035195B" w:rsidRDefault="00000000">
      <w:pPr>
        <w:pStyle w:val="Obsahtabulky"/>
        <w:tabs>
          <w:tab w:val="left" w:pos="7168"/>
          <w:tab w:val="left" w:pos="8057"/>
        </w:tabs>
        <w:jc w:val="right"/>
        <w:rPr>
          <w:b/>
          <w:bCs/>
          <w:sz w:val="20"/>
          <w:szCs w:val="20"/>
        </w:rPr>
      </w:pP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00116/12/2023</w:t>
      </w:r>
      <w:r>
        <w:rPr>
          <w:b/>
          <w:bCs/>
        </w:rPr>
        <w:fldChar w:fldCharType="end"/>
      </w:r>
      <w:r>
        <w:rPr>
          <w:b/>
          <w:bCs/>
        </w:rPr>
        <w:t xml:space="preserve"> - změna objednávky č. 00105/12/2023</w:t>
      </w:r>
    </w:p>
    <w:tbl>
      <w:tblPr>
        <w:tblW w:w="10097" w:type="dxa"/>
        <w:tblInd w:w="-10" w:type="dxa"/>
        <w:tblLayout w:type="fixed"/>
        <w:tblCellMar>
          <w:top w:w="55" w:type="dxa"/>
          <w:left w:w="55" w:type="dxa"/>
          <w:bottom w:w="55" w:type="dxa"/>
          <w:right w:w="55" w:type="dxa"/>
        </w:tblCellMar>
        <w:tblLook w:val="0000" w:firstRow="0" w:lastRow="0" w:firstColumn="0" w:lastColumn="0" w:noHBand="0" w:noVBand="0"/>
      </w:tblPr>
      <w:tblGrid>
        <w:gridCol w:w="5045"/>
        <w:gridCol w:w="5052"/>
      </w:tblGrid>
      <w:tr w:rsidR="0035195B" w14:paraId="19F280C9" w14:textId="77777777">
        <w:trPr>
          <w:trHeight w:val="54"/>
        </w:trPr>
        <w:tc>
          <w:tcPr>
            <w:tcW w:w="5045" w:type="dxa"/>
            <w:vMerge w:val="restart"/>
            <w:tcBorders>
              <w:top w:val="single" w:sz="8" w:space="0" w:color="000000"/>
              <w:left w:val="single" w:sz="8" w:space="0" w:color="000000"/>
              <w:bottom w:val="single" w:sz="4" w:space="0" w:color="000000"/>
            </w:tcBorders>
          </w:tcPr>
          <w:p w14:paraId="639F9346" w14:textId="77777777" w:rsidR="0035195B" w:rsidRDefault="00000000">
            <w:pPr>
              <w:pStyle w:val="Obsahtabulky"/>
              <w:tabs>
                <w:tab w:val="left" w:pos="11"/>
              </w:tabs>
              <w:spacing w:before="113"/>
              <w:ind w:left="113"/>
              <w:rPr>
                <w:sz w:val="20"/>
                <w:szCs w:val="20"/>
              </w:rPr>
            </w:pPr>
            <w:r>
              <w:rPr>
                <w:sz w:val="20"/>
                <w:szCs w:val="20"/>
              </w:rPr>
              <w:t>Odběratel:</w:t>
            </w:r>
          </w:p>
          <w:p w14:paraId="7BE1C575" w14:textId="77777777" w:rsidR="0035195B"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1F612253" w14:textId="77777777" w:rsidR="0035195B"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6C6E97B3" w14:textId="77777777" w:rsidR="0035195B"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69BEAE27" w14:textId="77777777" w:rsidR="0035195B"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532BFF62" w14:textId="77777777" w:rsidR="0035195B"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59F13E0C" w14:textId="77777777" w:rsidR="0035195B" w:rsidRDefault="0035195B">
            <w:pPr>
              <w:pStyle w:val="Obsahtabulky"/>
              <w:rPr>
                <w:sz w:val="20"/>
                <w:szCs w:val="20"/>
              </w:rPr>
            </w:pPr>
          </w:p>
          <w:p w14:paraId="16E63E55" w14:textId="6AC583D2" w:rsidR="0035195B" w:rsidRDefault="00000000">
            <w:pPr>
              <w:pStyle w:val="Obsahtabulky"/>
              <w:spacing w:before="57"/>
              <w:ind w:left="113"/>
              <w:rPr>
                <w:sz w:val="20"/>
                <w:szCs w:val="20"/>
              </w:rPr>
            </w:pPr>
            <w:r>
              <w:rPr>
                <w:sz w:val="20"/>
                <w:szCs w:val="20"/>
              </w:rPr>
              <w:t xml:space="preserve">Telefon: </w:t>
            </w:r>
          </w:p>
          <w:p w14:paraId="19F212E8" w14:textId="365F0933" w:rsidR="0035195B" w:rsidRDefault="00000000">
            <w:pPr>
              <w:pStyle w:val="Obsahtabulky"/>
              <w:ind w:left="113"/>
              <w:rPr>
                <w:rFonts w:ascii="Verdana" w:hAnsi="Verdana" w:hint="eastAsia"/>
                <w:sz w:val="16"/>
                <w:szCs w:val="16"/>
              </w:rPr>
            </w:pPr>
            <w:r>
              <w:rPr>
                <w:sz w:val="20"/>
                <w:szCs w:val="20"/>
              </w:rPr>
              <w:t xml:space="preserve">E-mail: </w:t>
            </w:r>
          </w:p>
          <w:p w14:paraId="76CC0174" w14:textId="77777777" w:rsidR="0035195B" w:rsidRDefault="0000000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14:paraId="0B60C1AB" w14:textId="77777777" w:rsidR="0035195B" w:rsidRDefault="0035195B">
            <w:pPr>
              <w:pStyle w:val="Obsahtabulky"/>
              <w:tabs>
                <w:tab w:val="left" w:pos="1650"/>
              </w:tabs>
              <w:spacing w:before="57"/>
              <w:ind w:left="113"/>
              <w:rPr>
                <w:sz w:val="20"/>
                <w:szCs w:val="20"/>
              </w:rPr>
            </w:pPr>
          </w:p>
        </w:tc>
      </w:tr>
      <w:tr w:rsidR="0035195B" w14:paraId="5CA8BC44" w14:textId="77777777">
        <w:trPr>
          <w:trHeight w:val="2132"/>
        </w:trPr>
        <w:tc>
          <w:tcPr>
            <w:tcW w:w="5045" w:type="dxa"/>
            <w:vMerge/>
            <w:tcBorders>
              <w:top w:val="single" w:sz="8" w:space="0" w:color="000000"/>
              <w:left w:val="single" w:sz="8" w:space="0" w:color="000000"/>
              <w:bottom w:val="single" w:sz="4" w:space="0" w:color="000000"/>
            </w:tcBorders>
          </w:tcPr>
          <w:p w14:paraId="07435353" w14:textId="77777777" w:rsidR="0035195B" w:rsidRDefault="0035195B"/>
        </w:tc>
        <w:tc>
          <w:tcPr>
            <w:tcW w:w="5052" w:type="dxa"/>
            <w:tcBorders>
              <w:top w:val="single" w:sz="20" w:space="0" w:color="000000"/>
              <w:left w:val="single" w:sz="20" w:space="0" w:color="000000"/>
              <w:bottom w:val="single" w:sz="20" w:space="0" w:color="000000"/>
              <w:right w:val="single" w:sz="20" w:space="0" w:color="000000"/>
            </w:tcBorders>
          </w:tcPr>
          <w:p w14:paraId="3CE04263" w14:textId="77777777" w:rsidR="0035195B" w:rsidRDefault="00000000">
            <w:pPr>
              <w:pStyle w:val="Obsahtabulky"/>
              <w:spacing w:before="113"/>
              <w:ind w:left="113"/>
              <w:rPr>
                <w:sz w:val="20"/>
                <w:szCs w:val="20"/>
              </w:rPr>
            </w:pPr>
            <w:r>
              <w:rPr>
                <w:sz w:val="20"/>
                <w:szCs w:val="20"/>
              </w:rPr>
              <w:t>Dodavatel:</w:t>
            </w:r>
          </w:p>
          <w:p w14:paraId="025FA264" w14:textId="77777777" w:rsidR="0035195B"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AULICH s.r.o.</w:t>
            </w:r>
            <w:r>
              <w:rPr>
                <w:b/>
                <w:bCs/>
                <w:sz w:val="20"/>
                <w:szCs w:val="20"/>
              </w:rPr>
              <w:fldChar w:fldCharType="end"/>
            </w:r>
          </w:p>
          <w:p w14:paraId="29E58250" w14:textId="77777777" w:rsidR="0035195B"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Jiřího z Poděbrad 324</w:t>
            </w:r>
            <w:r>
              <w:rPr>
                <w:b/>
                <w:bCs/>
                <w:sz w:val="20"/>
                <w:szCs w:val="20"/>
              </w:rPr>
              <w:fldChar w:fldCharType="end"/>
            </w:r>
          </w:p>
          <w:p w14:paraId="64C50271" w14:textId="77777777" w:rsidR="0035195B"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31 Hronov</w:t>
            </w:r>
            <w:r>
              <w:rPr>
                <w:b/>
                <w:bCs/>
                <w:sz w:val="20"/>
                <w:szCs w:val="20"/>
              </w:rPr>
              <w:fldChar w:fldCharType="end"/>
            </w:r>
          </w:p>
          <w:p w14:paraId="74FB8F8D" w14:textId="77777777" w:rsidR="0035195B"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71BF00A4" w14:textId="77777777" w:rsidR="0035195B" w:rsidRDefault="0035195B">
            <w:pPr>
              <w:pStyle w:val="Obsahtabulky"/>
              <w:ind w:left="113"/>
              <w:rPr>
                <w:b/>
                <w:bCs/>
                <w:sz w:val="20"/>
                <w:szCs w:val="20"/>
              </w:rPr>
            </w:pPr>
          </w:p>
          <w:p w14:paraId="47888D7C" w14:textId="77777777" w:rsidR="0035195B"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28815220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fldChar w:fldCharType="end"/>
            </w:r>
          </w:p>
        </w:tc>
      </w:tr>
      <w:tr w:rsidR="0035195B" w14:paraId="57E97485" w14:textId="77777777">
        <w:trPr>
          <w:trHeight w:val="761"/>
        </w:trPr>
        <w:tc>
          <w:tcPr>
            <w:tcW w:w="5045" w:type="dxa"/>
            <w:tcBorders>
              <w:left w:val="single" w:sz="8" w:space="0" w:color="000000"/>
              <w:bottom w:val="single" w:sz="8" w:space="0" w:color="000000"/>
            </w:tcBorders>
          </w:tcPr>
          <w:p w14:paraId="504B5DF6" w14:textId="77777777" w:rsidR="0035195B"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MUNAX00XNMQK</w:t>
            </w:r>
          </w:p>
          <w:p w14:paraId="7660775D" w14:textId="77777777" w:rsidR="0035195B" w:rsidRDefault="00000000">
            <w:pPr>
              <w:rPr>
                <w:rFonts w:cs="Arial"/>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4458/2023 INV</w:t>
            </w:r>
          </w:p>
          <w:p w14:paraId="6DD0122F" w14:textId="77777777" w:rsidR="0035195B" w:rsidRDefault="00000000">
            <w:pPr>
              <w:rPr>
                <w:rFonts w:cs="Arial"/>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89860/2023</w:t>
            </w:r>
          </w:p>
          <w:p w14:paraId="62568863" w14:textId="79B9DFA4" w:rsidR="0035195B"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14:paraId="2CBB2CC9" w14:textId="76F0B161" w:rsidR="0035195B"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14:paraId="23B1E74C" w14:textId="0AD1DDDD" w:rsidR="0035195B"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14:paraId="7B032500" w14:textId="77777777" w:rsidR="0035195B" w:rsidRDefault="0035195B">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14:paraId="42AF5B66" w14:textId="77777777" w:rsidR="0035195B" w:rsidRDefault="0035195B">
            <w:pPr>
              <w:pStyle w:val="Obsahtabulky"/>
              <w:tabs>
                <w:tab w:val="left" w:pos="1586"/>
              </w:tabs>
              <w:rPr>
                <w:sz w:val="20"/>
                <w:szCs w:val="20"/>
              </w:rPr>
            </w:pPr>
          </w:p>
          <w:p w14:paraId="5C522F32" w14:textId="77777777" w:rsidR="0035195B"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22.8.2023</w:t>
            </w:r>
            <w:r>
              <w:rPr>
                <w:sz w:val="20"/>
                <w:szCs w:val="20"/>
              </w:rPr>
              <w:fldChar w:fldCharType="end"/>
            </w:r>
          </w:p>
        </w:tc>
      </w:tr>
    </w:tbl>
    <w:p w14:paraId="3227E69D" w14:textId="77777777" w:rsidR="0035195B" w:rsidRDefault="0035195B">
      <w:pPr>
        <w:pStyle w:val="Standard"/>
        <w:suppressLineNumbers/>
        <w:jc w:val="both"/>
        <w:rPr>
          <w:rFonts w:cs="Arial"/>
          <w:color w:val="000000"/>
          <w:sz w:val="20"/>
          <w:szCs w:val="20"/>
        </w:rPr>
      </w:pPr>
    </w:p>
    <w:p w14:paraId="3FC6D5C6" w14:textId="77777777" w:rsidR="0035195B" w:rsidRDefault="00000000">
      <w:pPr>
        <w:pStyle w:val="Standard"/>
        <w:suppressLineNumbers/>
        <w:jc w:val="both"/>
        <w:rPr>
          <w:rFonts w:cs="Arial"/>
          <w:color w:val="000000"/>
          <w:sz w:val="20"/>
          <w:szCs w:val="20"/>
        </w:rPr>
      </w:pPr>
      <w:r>
        <w:rPr>
          <w:rFonts w:cs="Arial"/>
          <w:color w:val="000000"/>
          <w:sz w:val="20"/>
          <w:szCs w:val="20"/>
        </w:rPr>
        <w:t>Město Náchod objednává u Vás výměnu svítidel v budově Základní umělecké školy v Náchodě za celkovou cenu díla ve výši 150 000 Kč bez DPH (není plátce DPH) a to s termíny provedení díla sjednanými takto:</w:t>
      </w:r>
    </w:p>
    <w:p w14:paraId="4A03E45F" w14:textId="77777777" w:rsidR="0035195B" w:rsidRDefault="0035195B">
      <w:pPr>
        <w:pStyle w:val="Standard"/>
        <w:suppressLineNumbers/>
        <w:jc w:val="both"/>
        <w:rPr>
          <w:rFonts w:cs="Arial"/>
          <w:color w:val="000000"/>
          <w:sz w:val="20"/>
          <w:szCs w:val="20"/>
        </w:rPr>
      </w:pPr>
    </w:p>
    <w:p w14:paraId="125CE961" w14:textId="77777777" w:rsidR="0035195B" w:rsidRDefault="00000000">
      <w:pPr>
        <w:pStyle w:val="Textbody"/>
        <w:rPr>
          <w:color w:val="000000"/>
          <w:sz w:val="20"/>
          <w:szCs w:val="20"/>
        </w:rPr>
      </w:pPr>
      <w:r>
        <w:rPr>
          <w:color w:val="000000"/>
          <w:sz w:val="20"/>
          <w:szCs w:val="20"/>
        </w:rPr>
        <w:t>- dokončení díla nejpozději do 29. 9. 2023,</w:t>
      </w:r>
    </w:p>
    <w:p w14:paraId="1171F20D" w14:textId="77777777" w:rsidR="0035195B" w:rsidRDefault="00000000">
      <w:pPr>
        <w:pStyle w:val="Textbody"/>
      </w:pPr>
      <w:r>
        <w:rPr>
          <w:color w:val="000000"/>
          <w:sz w:val="20"/>
          <w:szCs w:val="20"/>
        </w:rPr>
        <w:t>- vyklizení staveniště a předání díla nejpozději do 29. 9. 2023</w:t>
      </w:r>
      <w:r>
        <w:rPr>
          <w:rFonts w:cs="Arial"/>
          <w:color w:val="000000"/>
          <w:sz w:val="20"/>
          <w:szCs w:val="20"/>
        </w:rPr>
        <w:t>.</w:t>
      </w:r>
    </w:p>
    <w:p w14:paraId="5B5F9EF5" w14:textId="77777777" w:rsidR="0035195B" w:rsidRDefault="0035195B">
      <w:pPr>
        <w:suppressLineNumbers/>
        <w:jc w:val="both"/>
        <w:rPr>
          <w:sz w:val="20"/>
          <w:szCs w:val="20"/>
        </w:rPr>
      </w:pPr>
    </w:p>
    <w:p w14:paraId="7E620CB8" w14:textId="77777777" w:rsidR="0035195B" w:rsidRDefault="00000000">
      <w:pPr>
        <w:suppressLineNumbers/>
        <w:jc w:val="both"/>
        <w:rPr>
          <w:b/>
          <w:bCs/>
          <w:sz w:val="20"/>
          <w:szCs w:val="20"/>
        </w:rPr>
      </w:pPr>
      <w:r>
        <w:rPr>
          <w:b/>
          <w:bCs/>
          <w:sz w:val="20"/>
          <w:szCs w:val="20"/>
        </w:rPr>
        <w:t>Změna objednávky se týká navýšení ceny za:</w:t>
      </w:r>
    </w:p>
    <w:p w14:paraId="128EE861" w14:textId="77777777" w:rsidR="0035195B" w:rsidRDefault="00000000">
      <w:pPr>
        <w:suppressLineNumbers/>
        <w:jc w:val="both"/>
        <w:rPr>
          <w:sz w:val="20"/>
          <w:szCs w:val="20"/>
        </w:rPr>
      </w:pPr>
      <w:r>
        <w:rPr>
          <w:sz w:val="20"/>
          <w:szCs w:val="20"/>
        </w:rPr>
        <w:t xml:space="preserve"> -      </w:t>
      </w:r>
      <w:r>
        <w:rPr>
          <w:rFonts w:cs="Arial"/>
          <w:color w:val="000000"/>
          <w:sz w:val="20"/>
          <w:szCs w:val="20"/>
        </w:rPr>
        <w:t>spotřební materiál – krabice, kabely, svorky</w:t>
      </w:r>
    </w:p>
    <w:p w14:paraId="0F759CB2" w14:textId="77777777" w:rsidR="0035195B" w:rsidRDefault="00000000">
      <w:pPr>
        <w:numPr>
          <w:ilvl w:val="0"/>
          <w:numId w:val="1"/>
        </w:numPr>
        <w:tabs>
          <w:tab w:val="left" w:pos="420"/>
        </w:tabs>
        <w:jc w:val="both"/>
        <w:rPr>
          <w:rFonts w:cs="Arial"/>
          <w:color w:val="000000"/>
          <w:sz w:val="20"/>
          <w:szCs w:val="20"/>
        </w:rPr>
      </w:pPr>
      <w:r>
        <w:rPr>
          <w:rFonts w:cs="Arial"/>
          <w:color w:val="000000"/>
          <w:sz w:val="20"/>
          <w:szCs w:val="20"/>
        </w:rPr>
        <w:t>dokončovací práce – tmelení po hmoždinkách a oprava maleb</w:t>
      </w:r>
    </w:p>
    <w:p w14:paraId="2E0908C5" w14:textId="77777777" w:rsidR="0035195B" w:rsidRDefault="00000000">
      <w:pPr>
        <w:numPr>
          <w:ilvl w:val="0"/>
          <w:numId w:val="1"/>
        </w:numPr>
        <w:tabs>
          <w:tab w:val="left" w:pos="420"/>
        </w:tabs>
        <w:jc w:val="both"/>
        <w:rPr>
          <w:rFonts w:cs="Arial"/>
          <w:color w:val="000000"/>
          <w:sz w:val="20"/>
          <w:szCs w:val="20"/>
        </w:rPr>
      </w:pPr>
      <w:r>
        <w:rPr>
          <w:rFonts w:cs="Arial"/>
          <w:color w:val="000000"/>
          <w:sz w:val="20"/>
          <w:szCs w:val="20"/>
        </w:rPr>
        <w:t>roztřídění, odvoz a likvidace původních těles a trubic</w:t>
      </w:r>
    </w:p>
    <w:p w14:paraId="2BA23892" w14:textId="77777777" w:rsidR="0035195B" w:rsidRDefault="00000000">
      <w:pPr>
        <w:numPr>
          <w:ilvl w:val="0"/>
          <w:numId w:val="1"/>
        </w:numPr>
        <w:tabs>
          <w:tab w:val="left" w:pos="420"/>
        </w:tabs>
        <w:jc w:val="both"/>
        <w:rPr>
          <w:rFonts w:cs="Arial"/>
          <w:color w:val="000000"/>
          <w:sz w:val="20"/>
          <w:szCs w:val="20"/>
        </w:rPr>
      </w:pPr>
      <w:r>
        <w:rPr>
          <w:rFonts w:cs="Arial"/>
          <w:color w:val="000000"/>
          <w:sz w:val="20"/>
          <w:szCs w:val="20"/>
        </w:rPr>
        <w:t>doprava, odvoz na sběrný dvůr</w:t>
      </w:r>
    </w:p>
    <w:p w14:paraId="09610C10" w14:textId="77777777" w:rsidR="0035195B" w:rsidRDefault="0035195B">
      <w:pPr>
        <w:suppressLineNumbers/>
        <w:jc w:val="both"/>
        <w:rPr>
          <w:sz w:val="20"/>
          <w:szCs w:val="20"/>
        </w:rPr>
      </w:pPr>
    </w:p>
    <w:p w14:paraId="6B187F2D" w14:textId="77777777" w:rsidR="0035195B" w:rsidRDefault="00000000">
      <w:pPr>
        <w:rPr>
          <w:rFonts w:cs="Arial"/>
          <w:sz w:val="20"/>
          <w:szCs w:val="20"/>
        </w:rPr>
      </w:pPr>
      <w:r>
        <w:rPr>
          <w:rFonts w:cs="Arial"/>
          <w:sz w:val="20"/>
          <w:szCs w:val="20"/>
        </w:rPr>
        <w:t>Ostatní ujednání z původní objednávky zůstávají v platnosti.</w:t>
      </w:r>
    </w:p>
    <w:p w14:paraId="25D3D87C" w14:textId="77777777" w:rsidR="0035195B" w:rsidRDefault="00000000">
      <w:pPr>
        <w:pStyle w:val="Obsahtabulky"/>
        <w:spacing w:before="113"/>
        <w:ind w:left="57"/>
        <w:rPr>
          <w:sz w:val="20"/>
          <w:szCs w:val="20"/>
        </w:rPr>
      </w:pPr>
      <w:r>
        <w:rPr>
          <w:sz w:val="20"/>
          <w:szCs w:val="20"/>
        </w:rPr>
        <w:fldChar w:fldCharType="begin"/>
      </w:r>
      <w:r>
        <w:rPr>
          <w:sz w:val="20"/>
          <w:szCs w:val="20"/>
        </w:rPr>
        <w:instrText xml:space="preserve"> FILLIN "objednavkaHorniText"</w:instrText>
      </w:r>
      <w:r>
        <w:rPr>
          <w:sz w:val="20"/>
          <w:szCs w:val="20"/>
        </w:rPr>
        <w:fldChar w:fldCharType="separate"/>
      </w:r>
      <w:r>
        <w:rPr>
          <w:sz w:val="20"/>
          <w:szCs w:val="20"/>
        </w:rPr>
        <w:fldChar w:fldCharType="end"/>
      </w:r>
    </w:p>
    <w:p w14:paraId="4B24DFB1" w14:textId="77777777" w:rsidR="0035195B" w:rsidRDefault="00000000">
      <w:pPr>
        <w:pStyle w:val="Obsahtabulky"/>
        <w:spacing w:before="57"/>
        <w:ind w:left="113"/>
        <w:rPr>
          <w:sz w:val="20"/>
          <w:szCs w:val="20"/>
        </w:rPr>
      </w:pPr>
      <w:r>
        <w:rPr>
          <w:b/>
          <w:bCs/>
          <w:color w:val="C9211E"/>
          <w:sz w:val="20"/>
          <w:szCs w:val="20"/>
        </w:rPr>
        <w:t>REKAPITULACE:</w:t>
      </w:r>
      <w:r>
        <w:rPr>
          <w:sz w:val="20"/>
          <w:szCs w:val="20"/>
        </w:rPr>
        <w:t xml:space="preserve"> </w:t>
      </w:r>
    </w:p>
    <w:tbl>
      <w:tblPr>
        <w:tblW w:w="10080" w:type="dxa"/>
        <w:tblInd w:w="12" w:type="dxa"/>
        <w:tblLayout w:type="fixed"/>
        <w:tblCellMar>
          <w:top w:w="55" w:type="dxa"/>
          <w:left w:w="55" w:type="dxa"/>
          <w:bottom w:w="55" w:type="dxa"/>
          <w:right w:w="55" w:type="dxa"/>
        </w:tblCellMar>
        <w:tblLook w:val="0000" w:firstRow="0" w:lastRow="0" w:firstColumn="0" w:lastColumn="0" w:noHBand="0" w:noVBand="0"/>
      </w:tblPr>
      <w:tblGrid>
        <w:gridCol w:w="11"/>
        <w:gridCol w:w="3287"/>
        <w:gridCol w:w="560"/>
        <w:gridCol w:w="898"/>
        <w:gridCol w:w="271"/>
        <w:gridCol w:w="735"/>
        <w:gridCol w:w="73"/>
        <w:gridCol w:w="1169"/>
        <w:gridCol w:w="11"/>
        <w:gridCol w:w="608"/>
        <w:gridCol w:w="118"/>
        <w:gridCol w:w="1081"/>
        <w:gridCol w:w="1258"/>
      </w:tblGrid>
      <w:tr w:rsidR="0035195B" w14:paraId="6BAD362C" w14:textId="77777777">
        <w:trPr>
          <w:gridBefore w:val="1"/>
          <w:wBefore w:w="12" w:type="dxa"/>
        </w:trPr>
        <w:tc>
          <w:tcPr>
            <w:tcW w:w="3293" w:type="dxa"/>
            <w:tcBorders>
              <w:bottom w:val="single" w:sz="2" w:space="0" w:color="000000"/>
            </w:tcBorders>
          </w:tcPr>
          <w:p w14:paraId="60A6708D" w14:textId="77777777" w:rsidR="0035195B" w:rsidRDefault="00000000">
            <w:pPr>
              <w:pStyle w:val="Obsahtabulky"/>
              <w:ind w:left="57"/>
              <w:rPr>
                <w:sz w:val="20"/>
                <w:szCs w:val="20"/>
              </w:rPr>
            </w:pPr>
            <w:r>
              <w:rPr>
                <w:sz w:val="20"/>
                <w:szCs w:val="20"/>
              </w:rPr>
              <w:t>Označení dodávky</w:t>
            </w:r>
          </w:p>
        </w:tc>
        <w:tc>
          <w:tcPr>
            <w:tcW w:w="561" w:type="dxa"/>
            <w:tcBorders>
              <w:bottom w:val="single" w:sz="2" w:space="0" w:color="000000"/>
            </w:tcBorders>
          </w:tcPr>
          <w:p w14:paraId="6C38B699" w14:textId="77777777" w:rsidR="0035195B" w:rsidRDefault="00000000">
            <w:pPr>
              <w:pStyle w:val="Obsahtabulky"/>
              <w:jc w:val="center"/>
              <w:rPr>
                <w:sz w:val="20"/>
                <w:szCs w:val="20"/>
              </w:rPr>
            </w:pPr>
            <w:r>
              <w:rPr>
                <w:sz w:val="20"/>
                <w:szCs w:val="20"/>
              </w:rPr>
              <w:t>MJ</w:t>
            </w:r>
          </w:p>
        </w:tc>
        <w:tc>
          <w:tcPr>
            <w:tcW w:w="900" w:type="dxa"/>
            <w:tcBorders>
              <w:bottom w:val="single" w:sz="2" w:space="0" w:color="000000"/>
            </w:tcBorders>
          </w:tcPr>
          <w:p w14:paraId="56C20291" w14:textId="77777777" w:rsidR="0035195B" w:rsidRDefault="00000000">
            <w:pPr>
              <w:pStyle w:val="Obsahtabulky"/>
              <w:jc w:val="right"/>
              <w:rPr>
                <w:sz w:val="20"/>
                <w:szCs w:val="20"/>
              </w:rPr>
            </w:pPr>
            <w:r>
              <w:rPr>
                <w:sz w:val="20"/>
                <w:szCs w:val="20"/>
              </w:rPr>
              <w:t>Množství</w:t>
            </w:r>
          </w:p>
        </w:tc>
        <w:tc>
          <w:tcPr>
            <w:tcW w:w="1080" w:type="dxa"/>
            <w:gridSpan w:val="3"/>
            <w:tcBorders>
              <w:bottom w:val="single" w:sz="2" w:space="0" w:color="000000"/>
            </w:tcBorders>
          </w:tcPr>
          <w:p w14:paraId="6BE95F99" w14:textId="77777777" w:rsidR="0035195B" w:rsidRDefault="00000000">
            <w:pPr>
              <w:pStyle w:val="Obsahtabulky"/>
              <w:jc w:val="right"/>
              <w:rPr>
                <w:sz w:val="20"/>
                <w:szCs w:val="20"/>
              </w:rPr>
            </w:pPr>
            <w:r>
              <w:rPr>
                <w:sz w:val="20"/>
                <w:szCs w:val="20"/>
              </w:rPr>
              <w:t>Cena za jed.</w:t>
            </w:r>
          </w:p>
        </w:tc>
        <w:tc>
          <w:tcPr>
            <w:tcW w:w="1182" w:type="dxa"/>
            <w:gridSpan w:val="2"/>
            <w:tcBorders>
              <w:bottom w:val="single" w:sz="2" w:space="0" w:color="000000"/>
            </w:tcBorders>
          </w:tcPr>
          <w:p w14:paraId="73055223" w14:textId="77777777" w:rsidR="0035195B" w:rsidRDefault="00000000">
            <w:pPr>
              <w:pStyle w:val="Obsahtabulky"/>
              <w:jc w:val="right"/>
              <w:rPr>
                <w:sz w:val="20"/>
                <w:szCs w:val="20"/>
              </w:rPr>
            </w:pPr>
            <w:r>
              <w:rPr>
                <w:sz w:val="20"/>
                <w:szCs w:val="20"/>
              </w:rPr>
              <w:t>Cena bez DPH</w:t>
            </w:r>
          </w:p>
        </w:tc>
        <w:tc>
          <w:tcPr>
            <w:tcW w:w="727" w:type="dxa"/>
            <w:gridSpan w:val="2"/>
            <w:tcBorders>
              <w:bottom w:val="single" w:sz="2" w:space="0" w:color="000000"/>
            </w:tcBorders>
          </w:tcPr>
          <w:p w14:paraId="2E2CF5BD" w14:textId="77777777" w:rsidR="0035195B" w:rsidRDefault="00000000">
            <w:pPr>
              <w:pStyle w:val="Obsahtabulky"/>
              <w:jc w:val="right"/>
              <w:rPr>
                <w:sz w:val="20"/>
                <w:szCs w:val="20"/>
              </w:rPr>
            </w:pPr>
            <w:r>
              <w:rPr>
                <w:sz w:val="20"/>
                <w:szCs w:val="20"/>
              </w:rPr>
              <w:t>DPH %</w:t>
            </w:r>
          </w:p>
        </w:tc>
        <w:tc>
          <w:tcPr>
            <w:tcW w:w="1083" w:type="dxa"/>
            <w:tcBorders>
              <w:bottom w:val="single" w:sz="2" w:space="0" w:color="000000"/>
            </w:tcBorders>
          </w:tcPr>
          <w:p w14:paraId="0DDC123B" w14:textId="77777777" w:rsidR="0035195B" w:rsidRDefault="00000000">
            <w:pPr>
              <w:pStyle w:val="Obsahtabulky"/>
              <w:jc w:val="right"/>
              <w:rPr>
                <w:sz w:val="20"/>
                <w:szCs w:val="20"/>
              </w:rPr>
            </w:pPr>
            <w:r>
              <w:rPr>
                <w:sz w:val="20"/>
                <w:szCs w:val="20"/>
              </w:rPr>
              <w:t>DPH Kč</w:t>
            </w:r>
          </w:p>
        </w:tc>
        <w:tc>
          <w:tcPr>
            <w:tcW w:w="1254" w:type="dxa"/>
            <w:tcBorders>
              <w:bottom w:val="single" w:sz="2" w:space="0" w:color="000000"/>
            </w:tcBorders>
          </w:tcPr>
          <w:p w14:paraId="4EB4083F" w14:textId="77777777" w:rsidR="0035195B" w:rsidRDefault="00000000">
            <w:pPr>
              <w:pStyle w:val="Obsahtabulky"/>
              <w:jc w:val="right"/>
              <w:rPr>
                <w:sz w:val="20"/>
                <w:szCs w:val="20"/>
              </w:rPr>
            </w:pPr>
            <w:r>
              <w:rPr>
                <w:sz w:val="20"/>
                <w:szCs w:val="20"/>
              </w:rPr>
              <w:t>Cena s DPH</w:t>
            </w:r>
          </w:p>
        </w:tc>
      </w:tr>
      <w:tr w:rsidR="0035195B" w14:paraId="27E00785" w14:textId="77777777">
        <w:trPr>
          <w:gridBefore w:val="1"/>
          <w:wBefore w:w="12" w:type="dxa"/>
        </w:trPr>
        <w:tc>
          <w:tcPr>
            <w:tcW w:w="3293" w:type="dxa"/>
          </w:tcPr>
          <w:p w14:paraId="6F04154A" w14:textId="77777777" w:rsidR="00351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Výměna svítidel ZUŠ</w:t>
            </w:r>
            <w:r>
              <w:rPr>
                <w:b/>
                <w:bCs/>
                <w:sz w:val="20"/>
                <w:szCs w:val="20"/>
              </w:rPr>
              <w:fldChar w:fldCharType="end"/>
            </w:r>
          </w:p>
        </w:tc>
        <w:tc>
          <w:tcPr>
            <w:tcW w:w="561" w:type="dxa"/>
          </w:tcPr>
          <w:p w14:paraId="0AB1B9E3" w14:textId="77777777" w:rsidR="00351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00" w:type="dxa"/>
          </w:tcPr>
          <w:p w14:paraId="5F34F2A2"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080" w:type="dxa"/>
            <w:gridSpan w:val="3"/>
          </w:tcPr>
          <w:p w14:paraId="0D4D2166"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150 000,00</w:t>
            </w:r>
            <w:r>
              <w:rPr>
                <w:sz w:val="20"/>
                <w:szCs w:val="20"/>
              </w:rPr>
              <w:fldChar w:fldCharType="end"/>
            </w:r>
          </w:p>
        </w:tc>
        <w:tc>
          <w:tcPr>
            <w:tcW w:w="1182" w:type="dxa"/>
            <w:gridSpan w:val="2"/>
          </w:tcPr>
          <w:p w14:paraId="6306F2C9"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150 000,00</w:t>
            </w:r>
            <w:r>
              <w:rPr>
                <w:sz w:val="20"/>
                <w:szCs w:val="20"/>
              </w:rPr>
              <w:fldChar w:fldCharType="end"/>
            </w:r>
          </w:p>
        </w:tc>
        <w:tc>
          <w:tcPr>
            <w:tcW w:w="727" w:type="dxa"/>
            <w:gridSpan w:val="2"/>
          </w:tcPr>
          <w:p w14:paraId="1C9CF3B8" w14:textId="77777777" w:rsidR="00351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83" w:type="dxa"/>
          </w:tcPr>
          <w:p w14:paraId="4C3EA67F"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54" w:type="dxa"/>
          </w:tcPr>
          <w:p w14:paraId="1A862903"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150 000,00</w:t>
            </w:r>
            <w:r>
              <w:rPr>
                <w:sz w:val="20"/>
                <w:szCs w:val="20"/>
              </w:rPr>
              <w:fldChar w:fldCharType="end"/>
            </w:r>
          </w:p>
        </w:tc>
      </w:tr>
      <w:tr w:rsidR="0035195B" w14:paraId="11FFF0E2" w14:textId="77777777">
        <w:trPr>
          <w:gridBefore w:val="1"/>
          <w:wBefore w:w="12" w:type="dxa"/>
        </w:trPr>
        <w:tc>
          <w:tcPr>
            <w:tcW w:w="3293" w:type="dxa"/>
          </w:tcPr>
          <w:p w14:paraId="588D5254" w14:textId="77777777" w:rsidR="00351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Vícepráce při výměně svítidel ZUŠ</w:t>
            </w:r>
            <w:r>
              <w:rPr>
                <w:b/>
                <w:bCs/>
                <w:sz w:val="20"/>
                <w:szCs w:val="20"/>
              </w:rPr>
              <w:fldChar w:fldCharType="end"/>
            </w:r>
          </w:p>
        </w:tc>
        <w:tc>
          <w:tcPr>
            <w:tcW w:w="561" w:type="dxa"/>
          </w:tcPr>
          <w:p w14:paraId="409C58A0" w14:textId="77777777" w:rsidR="00351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00" w:type="dxa"/>
          </w:tcPr>
          <w:p w14:paraId="4900D27C"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080" w:type="dxa"/>
            <w:gridSpan w:val="3"/>
          </w:tcPr>
          <w:p w14:paraId="3F97A927"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28 250,00</w:t>
            </w:r>
            <w:r>
              <w:rPr>
                <w:sz w:val="20"/>
                <w:szCs w:val="20"/>
              </w:rPr>
              <w:fldChar w:fldCharType="end"/>
            </w:r>
          </w:p>
        </w:tc>
        <w:tc>
          <w:tcPr>
            <w:tcW w:w="1182" w:type="dxa"/>
            <w:gridSpan w:val="2"/>
          </w:tcPr>
          <w:p w14:paraId="3841094C"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28 250,00</w:t>
            </w:r>
            <w:r>
              <w:rPr>
                <w:sz w:val="20"/>
                <w:szCs w:val="20"/>
              </w:rPr>
              <w:fldChar w:fldCharType="end"/>
            </w:r>
          </w:p>
        </w:tc>
        <w:tc>
          <w:tcPr>
            <w:tcW w:w="727" w:type="dxa"/>
            <w:gridSpan w:val="2"/>
          </w:tcPr>
          <w:p w14:paraId="320E7111" w14:textId="77777777" w:rsidR="00351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83" w:type="dxa"/>
          </w:tcPr>
          <w:p w14:paraId="6F146573"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54" w:type="dxa"/>
          </w:tcPr>
          <w:p w14:paraId="7C84E988" w14:textId="77777777" w:rsidR="00351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28 250,00</w:t>
            </w:r>
            <w:r>
              <w:rPr>
                <w:sz w:val="20"/>
                <w:szCs w:val="20"/>
              </w:rPr>
              <w:fldChar w:fldCharType="end"/>
            </w:r>
          </w:p>
        </w:tc>
      </w:tr>
      <w:tr w:rsidR="0035195B" w14:paraId="0D230399" w14:textId="77777777">
        <w:tc>
          <w:tcPr>
            <w:tcW w:w="5773" w:type="dxa"/>
            <w:gridSpan w:val="6"/>
            <w:tcBorders>
              <w:top w:val="single" w:sz="2" w:space="0" w:color="000000"/>
            </w:tcBorders>
          </w:tcPr>
          <w:p w14:paraId="22C8C5ED" w14:textId="77777777" w:rsidR="0035195B" w:rsidRDefault="00000000">
            <w:pPr>
              <w:pStyle w:val="Obsahtabulky"/>
              <w:ind w:left="57"/>
              <w:rPr>
                <w:sz w:val="20"/>
                <w:szCs w:val="20"/>
              </w:rPr>
            </w:pPr>
            <w:r>
              <w:rPr>
                <w:sz w:val="20"/>
                <w:szCs w:val="20"/>
              </w:rPr>
              <w:t>Součet položek</w:t>
            </w:r>
          </w:p>
        </w:tc>
        <w:tc>
          <w:tcPr>
            <w:tcW w:w="1244" w:type="dxa"/>
            <w:gridSpan w:val="2"/>
            <w:tcBorders>
              <w:top w:val="single" w:sz="2" w:space="0" w:color="000000"/>
            </w:tcBorders>
          </w:tcPr>
          <w:p w14:paraId="0B5DD4F1" w14:textId="77777777" w:rsidR="0035195B" w:rsidRDefault="00000000">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178 250,00</w:t>
            </w:r>
            <w:r>
              <w:rPr>
                <w:sz w:val="20"/>
                <w:szCs w:val="20"/>
              </w:rPr>
              <w:fldChar w:fldCharType="end"/>
            </w:r>
          </w:p>
        </w:tc>
        <w:tc>
          <w:tcPr>
            <w:tcW w:w="620" w:type="dxa"/>
            <w:gridSpan w:val="2"/>
            <w:tcBorders>
              <w:top w:val="single" w:sz="2" w:space="0" w:color="000000"/>
            </w:tcBorders>
          </w:tcPr>
          <w:p w14:paraId="29BECBBD" w14:textId="77777777" w:rsidR="0035195B" w:rsidRDefault="0035195B">
            <w:pPr>
              <w:pStyle w:val="Obsahtabulky"/>
              <w:ind w:left="113"/>
              <w:jc w:val="right"/>
              <w:rPr>
                <w:sz w:val="20"/>
                <w:szCs w:val="20"/>
              </w:rPr>
            </w:pPr>
          </w:p>
        </w:tc>
        <w:tc>
          <w:tcPr>
            <w:tcW w:w="1200" w:type="dxa"/>
            <w:gridSpan w:val="2"/>
            <w:tcBorders>
              <w:top w:val="single" w:sz="2" w:space="0" w:color="000000"/>
            </w:tcBorders>
          </w:tcPr>
          <w:p w14:paraId="179ACF41" w14:textId="77777777" w:rsidR="0035195B" w:rsidRDefault="00000000">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60" w:type="dxa"/>
            <w:tcBorders>
              <w:top w:val="single" w:sz="2" w:space="0" w:color="000000"/>
            </w:tcBorders>
          </w:tcPr>
          <w:p w14:paraId="290DAFEE" w14:textId="77777777" w:rsidR="0035195B" w:rsidRDefault="00000000">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178 250,00</w:t>
            </w:r>
            <w:r>
              <w:rPr>
                <w:sz w:val="20"/>
                <w:szCs w:val="20"/>
              </w:rPr>
              <w:fldChar w:fldCharType="end"/>
            </w:r>
          </w:p>
        </w:tc>
      </w:tr>
      <w:tr w:rsidR="0035195B" w14:paraId="2060B910" w14:textId="77777777">
        <w:trPr>
          <w:gridBefore w:val="1"/>
          <w:wBefore w:w="12" w:type="dxa"/>
          <w:trHeight w:val="911"/>
        </w:trPr>
        <w:tc>
          <w:tcPr>
            <w:tcW w:w="5025" w:type="dxa"/>
            <w:gridSpan w:val="4"/>
          </w:tcPr>
          <w:p w14:paraId="134DB8A9" w14:textId="77777777" w:rsidR="0035195B" w:rsidRDefault="0035195B">
            <w:pPr>
              <w:pStyle w:val="Obsahtabulky"/>
              <w:spacing w:before="57"/>
              <w:rPr>
                <w:sz w:val="20"/>
                <w:szCs w:val="20"/>
              </w:rPr>
            </w:pPr>
          </w:p>
        </w:tc>
        <w:tc>
          <w:tcPr>
            <w:tcW w:w="5060" w:type="dxa"/>
            <w:gridSpan w:val="8"/>
          </w:tcPr>
          <w:tbl>
            <w:tblPr>
              <w:tblW w:w="4685" w:type="dxa"/>
              <w:tblInd w:w="268" w:type="dxa"/>
              <w:tblLayout w:type="fixed"/>
              <w:tblCellMar>
                <w:top w:w="55" w:type="dxa"/>
                <w:left w:w="55" w:type="dxa"/>
                <w:bottom w:w="55" w:type="dxa"/>
                <w:right w:w="55" w:type="dxa"/>
              </w:tblCellMar>
              <w:tblLook w:val="0000" w:firstRow="0" w:lastRow="0" w:firstColumn="0" w:lastColumn="0" w:noHBand="0" w:noVBand="0"/>
            </w:tblPr>
            <w:tblGrid>
              <w:gridCol w:w="2342"/>
              <w:gridCol w:w="2343"/>
            </w:tblGrid>
            <w:tr w:rsidR="0035195B" w14:paraId="6F2172C6" w14:textId="77777777">
              <w:tc>
                <w:tcPr>
                  <w:tcW w:w="4685" w:type="dxa"/>
                  <w:gridSpan w:val="2"/>
                  <w:tcBorders>
                    <w:bottom w:val="single" w:sz="2" w:space="0" w:color="000000"/>
                  </w:tcBorders>
                </w:tcPr>
                <w:p w14:paraId="27B1E817" w14:textId="77777777" w:rsidR="0035195B" w:rsidRDefault="0035195B">
                  <w:pPr>
                    <w:pStyle w:val="Obsahtabulky"/>
                    <w:tabs>
                      <w:tab w:val="left" w:pos="150"/>
                      <w:tab w:val="left" w:pos="3450"/>
                      <w:tab w:val="left" w:pos="3611"/>
                      <w:tab w:val="left" w:pos="3846"/>
                      <w:tab w:val="left" w:pos="3900"/>
                    </w:tabs>
                    <w:jc w:val="right"/>
                    <w:rPr>
                      <w:sz w:val="20"/>
                      <w:szCs w:val="20"/>
                    </w:rPr>
                  </w:pPr>
                </w:p>
              </w:tc>
            </w:tr>
            <w:tr w:rsidR="0035195B" w14:paraId="7BDE7637" w14:textId="77777777">
              <w:tc>
                <w:tcPr>
                  <w:tcW w:w="2342" w:type="dxa"/>
                  <w:tcBorders>
                    <w:top w:val="single" w:sz="8" w:space="0" w:color="000000"/>
                    <w:left w:val="single" w:sz="8" w:space="0" w:color="000000"/>
                    <w:bottom w:val="single" w:sz="8" w:space="0" w:color="000000"/>
                  </w:tcBorders>
                </w:tcPr>
                <w:p w14:paraId="713D0D83" w14:textId="77777777" w:rsidR="0035195B"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14:paraId="4E3C56E5" w14:textId="77777777" w:rsidR="0035195B"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178 250,00</w:t>
                  </w:r>
                  <w:r>
                    <w:rPr>
                      <w:b/>
                      <w:bCs/>
                      <w:sz w:val="20"/>
                      <w:szCs w:val="20"/>
                    </w:rPr>
                    <w:fldChar w:fldCharType="end"/>
                  </w:r>
                  <w:r>
                    <w:rPr>
                      <w:b/>
                      <w:bCs/>
                      <w:sz w:val="20"/>
                      <w:szCs w:val="20"/>
                    </w:rPr>
                    <w:t xml:space="preserve"> Kč</w:t>
                  </w:r>
                </w:p>
              </w:tc>
            </w:tr>
          </w:tbl>
          <w:p w14:paraId="206A12D2" w14:textId="77777777" w:rsidR="0035195B" w:rsidRDefault="0035195B">
            <w:pPr>
              <w:pStyle w:val="Obsahtabulky"/>
              <w:rPr>
                <w:sz w:val="20"/>
                <w:szCs w:val="20"/>
              </w:rPr>
            </w:pPr>
          </w:p>
        </w:tc>
      </w:tr>
    </w:tbl>
    <w:p w14:paraId="39A86C2F" w14:textId="77777777" w:rsidR="0035195B" w:rsidRDefault="0035195B">
      <w:pPr>
        <w:pStyle w:val="Obsahtabulky"/>
        <w:spacing w:before="57"/>
        <w:ind w:left="113"/>
        <w:rPr>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092"/>
      </w:tblGrid>
      <w:tr w:rsidR="0035195B" w14:paraId="17BBB15A" w14:textId="77777777">
        <w:tc>
          <w:tcPr>
            <w:tcW w:w="10092" w:type="dxa"/>
            <w:tcBorders>
              <w:top w:val="single" w:sz="2" w:space="0" w:color="000000"/>
              <w:bottom w:val="single" w:sz="2" w:space="0" w:color="000000"/>
            </w:tcBorders>
          </w:tcPr>
          <w:p w14:paraId="0D4B2AF5" w14:textId="77777777" w:rsidR="0035195B" w:rsidRDefault="00000000">
            <w:pPr>
              <w:pStyle w:val="Obsahtabulky"/>
              <w:spacing w:before="57" w:after="57"/>
              <w:ind w:left="57"/>
              <w:jc w:val="right"/>
              <w:rPr>
                <w:sz w:val="20"/>
                <w:szCs w:val="20"/>
              </w:rPr>
            </w:pPr>
            <w:r>
              <w:rPr>
                <w:sz w:val="20"/>
                <w:szCs w:val="20"/>
              </w:rPr>
              <w:fldChar w:fldCharType="begin"/>
            </w:r>
            <w:r>
              <w:rPr>
                <w:sz w:val="20"/>
                <w:szCs w:val="20"/>
              </w:rPr>
              <w:instrText xml:space="preserve"> FILLIN "objednavkaDolniText"</w:instrText>
            </w:r>
            <w:r>
              <w:rPr>
                <w:sz w:val="20"/>
                <w:szCs w:val="20"/>
              </w:rPr>
              <w:fldChar w:fldCharType="separate"/>
            </w:r>
            <w:r>
              <w:rPr>
                <w:sz w:val="20"/>
                <w:szCs w:val="20"/>
              </w:rPr>
              <w:fldChar w:fldCharType="end"/>
            </w:r>
            <w:r>
              <w:rPr>
                <w:b/>
                <w:bCs/>
                <w:sz w:val="20"/>
                <w:szCs w:val="20"/>
              </w:rPr>
              <w:t>Není plátce DPH</w:t>
            </w:r>
          </w:p>
        </w:tc>
      </w:tr>
    </w:tbl>
    <w:p w14:paraId="168F93F4" w14:textId="77777777" w:rsidR="0035195B" w:rsidRDefault="0035195B">
      <w:pPr>
        <w:pStyle w:val="Obsahtabulky"/>
        <w:spacing w:before="57"/>
        <w:rPr>
          <w:sz w:val="20"/>
          <w:szCs w:val="20"/>
        </w:rPr>
      </w:pPr>
    </w:p>
    <w:p w14:paraId="1D2BAB58" w14:textId="77777777" w:rsidR="0035195B" w:rsidRDefault="00000000">
      <w:pPr>
        <w:pStyle w:val="Textbody"/>
        <w:suppressLineNumbers/>
        <w:spacing w:before="57" w:after="0"/>
        <w:rPr>
          <w:sz w:val="18"/>
          <w:szCs w:val="18"/>
        </w:rPr>
      </w:pPr>
      <w:r>
        <w:rPr>
          <w:rFonts w:cs="Arial"/>
          <w:b/>
          <w:bCs/>
          <w:sz w:val="18"/>
          <w:szCs w:val="18"/>
        </w:rPr>
        <w:t xml:space="preserve">Obchodní podmínky města </w:t>
      </w:r>
      <w:proofErr w:type="spellStart"/>
      <w:r>
        <w:rPr>
          <w:rFonts w:cs="Arial"/>
          <w:b/>
          <w:bCs/>
          <w:sz w:val="18"/>
          <w:szCs w:val="18"/>
        </w:rPr>
        <w:t>Náchoda</w:t>
      </w:r>
      <w:proofErr w:type="spellEnd"/>
      <w:r>
        <w:rPr>
          <w:rFonts w:cs="Arial"/>
          <w:sz w:val="18"/>
          <w:szCs w:val="18"/>
        </w:rPr>
        <w:t>, jakožto odběratele, jsou následující:</w:t>
      </w:r>
    </w:p>
    <w:p w14:paraId="2F590F2F" w14:textId="77777777" w:rsidR="0035195B" w:rsidRDefault="00000000">
      <w:pPr>
        <w:pStyle w:val="Textbody"/>
        <w:spacing w:before="120" w:after="0"/>
        <w:rPr>
          <w:sz w:val="18"/>
          <w:szCs w:val="18"/>
        </w:rPr>
      </w:pPr>
      <w:r>
        <w:rPr>
          <w:sz w:val="18"/>
          <w:szCs w:val="18"/>
        </w:rPr>
        <w:t>Místem plnění je ZUŠ Náchod, Tyršova 247, 547 01 Náchod</w:t>
      </w:r>
      <w:r>
        <w:rPr>
          <w:color w:val="70AD47"/>
          <w:sz w:val="18"/>
          <w:szCs w:val="18"/>
        </w:rPr>
        <w:t xml:space="preserve">. </w:t>
      </w:r>
      <w:r>
        <w:rPr>
          <w:sz w:val="18"/>
          <w:szCs w:val="18"/>
        </w:rPr>
        <w:t>Náklady spojené s dopravou nese dodavatel.</w:t>
      </w:r>
    </w:p>
    <w:p w14:paraId="06A84B1B" w14:textId="77777777" w:rsidR="0035195B" w:rsidRDefault="00000000">
      <w:pPr>
        <w:pStyle w:val="Standard"/>
        <w:spacing w:before="120"/>
        <w:jc w:val="both"/>
        <w:rPr>
          <w:sz w:val="18"/>
          <w:szCs w:val="18"/>
        </w:rPr>
      </w:pPr>
      <w:r>
        <w:rPr>
          <w:sz w:val="18"/>
          <w:szCs w:val="18"/>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18"/>
          <w:szCs w:val="18"/>
        </w:rPr>
        <w:t>.</w:t>
      </w:r>
      <w:r>
        <w:rPr>
          <w:sz w:val="18"/>
          <w:szCs w:val="18"/>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w:t>
      </w:r>
      <w:proofErr w:type="gramStart"/>
      <w:r>
        <w:rPr>
          <w:sz w:val="18"/>
          <w:szCs w:val="18"/>
        </w:rPr>
        <w:t>té</w:t>
      </w:r>
      <w:proofErr w:type="gramEnd"/>
      <w:r>
        <w:rPr>
          <w:sz w:val="18"/>
          <w:szCs w:val="18"/>
        </w:rPr>
        <w:t xml:space="preserve"> které povinnosti vznikla.</w:t>
      </w:r>
    </w:p>
    <w:p w14:paraId="0155F3CC" w14:textId="77777777" w:rsidR="0035195B" w:rsidRDefault="00000000">
      <w:pPr>
        <w:pStyle w:val="Standard"/>
        <w:spacing w:before="120"/>
        <w:jc w:val="both"/>
        <w:rPr>
          <w:sz w:val="18"/>
          <w:szCs w:val="18"/>
        </w:rPr>
      </w:pPr>
      <w:r>
        <w:rPr>
          <w:sz w:val="18"/>
          <w:szCs w:val="18"/>
        </w:rPr>
        <w:lastRenderedPageBreak/>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14:paraId="59769A4C" w14:textId="77777777" w:rsidR="0035195B" w:rsidRDefault="00000000">
      <w:pPr>
        <w:pStyle w:val="Textbody"/>
        <w:spacing w:before="120" w:after="0"/>
        <w:jc w:val="both"/>
        <w:rPr>
          <w:color w:val="000000"/>
          <w:sz w:val="18"/>
          <w:szCs w:val="18"/>
        </w:rPr>
      </w:pPr>
      <w:r>
        <w:rPr>
          <w:color w:val="000000"/>
          <w:sz w:val="18"/>
          <w:szCs w:val="18"/>
        </w:rPr>
        <w:t>Cena díla je splatná do 30 dnů od doručení faktury, nejdříve však od dokončení díla; přílohou faktury musí být odběratelem odsouhlasený soupis provedených prací.</w:t>
      </w:r>
    </w:p>
    <w:p w14:paraId="360A3080" w14:textId="77777777" w:rsidR="0035195B" w:rsidRDefault="00000000">
      <w:pPr>
        <w:pStyle w:val="Textbody"/>
        <w:spacing w:before="120" w:after="0"/>
        <w:jc w:val="both"/>
        <w:rPr>
          <w:color w:val="000000"/>
          <w:sz w:val="18"/>
          <w:szCs w:val="18"/>
        </w:rPr>
      </w:pPr>
      <w:r>
        <w:rPr>
          <w:color w:val="000000"/>
          <w:sz w:val="18"/>
          <w:szCs w:val="18"/>
        </w:rPr>
        <w:t>Cena díla bude zaplacena bankovním převodem na účet, který bude uveden na faktuře. Odběratel je oprávněn odmítnout zaplacení ceny díla, dokud nedojde k vyklizení staveniště a předání díla.</w:t>
      </w:r>
    </w:p>
    <w:p w14:paraId="3FF36A1A" w14:textId="77777777" w:rsidR="0035195B" w:rsidRDefault="00000000">
      <w:pPr>
        <w:pStyle w:val="Standard"/>
        <w:spacing w:before="120"/>
        <w:jc w:val="both"/>
        <w:rPr>
          <w:sz w:val="18"/>
          <w:szCs w:val="18"/>
        </w:rPr>
      </w:pPr>
      <w:r>
        <w:rPr>
          <w:rFonts w:eastAsia="Times New Roman" w:cs="Arial"/>
          <w:bCs/>
          <w:color w:val="000000"/>
          <w:sz w:val="18"/>
          <w:szCs w:val="18"/>
          <w:lang w:eastAsia="en-US"/>
        </w:rPr>
        <w:t>Dodavatel se zavazuje, že dílo bude provedeno v kvalitě alespoň průměrné. Dodavatel poskytuje na jakost díla záruku v délce 24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w:t>
      </w:r>
      <w:r>
        <w:rPr>
          <w:rFonts w:eastAsia="Times New Roman" w:cs="Arial"/>
          <w:bCs/>
          <w:sz w:val="18"/>
          <w:szCs w:val="18"/>
          <w:lang w:eastAsia="en-US"/>
        </w:rPr>
        <w:t>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14:paraId="783A4BD9" w14:textId="77777777" w:rsidR="0035195B" w:rsidRDefault="00000000">
      <w:pPr>
        <w:pStyle w:val="Standard"/>
        <w:spacing w:before="120"/>
        <w:jc w:val="both"/>
        <w:rPr>
          <w:rFonts w:eastAsia="Times New Roman" w:cs="Arial"/>
          <w:bCs/>
          <w:sz w:val="18"/>
          <w:szCs w:val="18"/>
          <w:lang w:eastAsia="en-US"/>
        </w:rPr>
      </w:pPr>
      <w:r>
        <w:rPr>
          <w:rFonts w:eastAsia="Times New Roman" w:cs="Arial"/>
          <w:bCs/>
          <w:sz w:val="18"/>
          <w:szCs w:val="18"/>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14:paraId="6F7CACF4" w14:textId="77777777" w:rsidR="0035195B" w:rsidRDefault="00000000">
      <w:pPr>
        <w:pStyle w:val="Standard"/>
        <w:spacing w:before="120"/>
        <w:jc w:val="both"/>
        <w:rPr>
          <w:rFonts w:eastAsia="Times New Roman" w:cs="Arial"/>
          <w:bCs/>
          <w:sz w:val="18"/>
          <w:szCs w:val="18"/>
          <w:lang w:eastAsia="en-US"/>
        </w:rPr>
      </w:pPr>
      <w:r>
        <w:rPr>
          <w:rFonts w:eastAsia="Times New Roman" w:cs="Arial"/>
          <w:bCs/>
          <w:sz w:val="18"/>
          <w:szCs w:val="18"/>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1D0406DA" w14:textId="77777777" w:rsidR="0035195B" w:rsidRDefault="00000000">
      <w:pPr>
        <w:pStyle w:val="Standard"/>
        <w:spacing w:before="120"/>
        <w:jc w:val="both"/>
        <w:rPr>
          <w:sz w:val="18"/>
          <w:szCs w:val="18"/>
        </w:rPr>
      </w:pPr>
      <w:r>
        <w:rPr>
          <w:sz w:val="18"/>
          <w:szCs w:val="18"/>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3E879690" w14:textId="77777777" w:rsidR="0035195B" w:rsidRDefault="00000000">
      <w:pPr>
        <w:pStyle w:val="Standard"/>
        <w:spacing w:before="120"/>
        <w:jc w:val="both"/>
        <w:rPr>
          <w:color w:val="000000"/>
          <w:sz w:val="18"/>
          <w:szCs w:val="18"/>
        </w:rPr>
      </w:pPr>
      <w:r>
        <w:rPr>
          <w:color w:val="000000"/>
          <w:sz w:val="18"/>
          <w:szCs w:val="18"/>
        </w:rPr>
        <w:t>Tato objednávka zůstává v platnosti po dobu 14 dnů ode dne jejího doručení a během této doby může být ze strany dodavatele akceptována.</w:t>
      </w:r>
    </w:p>
    <w:p w14:paraId="72A7E315" w14:textId="77777777" w:rsidR="0035195B" w:rsidRDefault="00000000">
      <w:pPr>
        <w:pStyle w:val="Standard"/>
        <w:spacing w:before="120"/>
        <w:jc w:val="both"/>
        <w:rPr>
          <w:color w:val="000000"/>
          <w:sz w:val="18"/>
          <w:szCs w:val="18"/>
        </w:rPr>
      </w:pPr>
      <w:r>
        <w:rPr>
          <w:color w:val="000000"/>
          <w:sz w:val="18"/>
          <w:szCs w:val="18"/>
        </w:rPr>
        <w:t>Tato objednávka může být akceptována jedním z následujících způsobů:</w:t>
      </w:r>
    </w:p>
    <w:p w14:paraId="2DBF957D" w14:textId="77777777" w:rsidR="0035195B" w:rsidRDefault="00000000">
      <w:pPr>
        <w:pStyle w:val="Standard"/>
        <w:jc w:val="both"/>
        <w:rPr>
          <w:color w:val="000000"/>
          <w:sz w:val="18"/>
          <w:szCs w:val="18"/>
        </w:rPr>
      </w:pPr>
      <w:r>
        <w:rPr>
          <w:color w:val="000000"/>
          <w:sz w:val="18"/>
          <w:szCs w:val="18"/>
        </w:rPr>
        <w:t>- odpovědí na tuto objednávku, za které vyplyne bezvýhradná akceptace objednávky; odpověď musí mít stejnou formu jako objednávka samotná,</w:t>
      </w:r>
    </w:p>
    <w:p w14:paraId="29D6B5CD" w14:textId="77777777" w:rsidR="0035195B" w:rsidRDefault="00000000">
      <w:pPr>
        <w:pStyle w:val="Standard"/>
        <w:jc w:val="both"/>
        <w:rPr>
          <w:color w:val="000000"/>
          <w:sz w:val="18"/>
          <w:szCs w:val="18"/>
        </w:rPr>
      </w:pPr>
      <w:r>
        <w:rPr>
          <w:color w:val="000000"/>
          <w:sz w:val="18"/>
          <w:szCs w:val="18"/>
        </w:rPr>
        <w:t>- podpisem akceptační doložky na této objednávce v případně osobního předávání objednávky.</w:t>
      </w:r>
    </w:p>
    <w:p w14:paraId="2D0947B3" w14:textId="77777777" w:rsidR="0035195B" w:rsidRDefault="00000000">
      <w:pPr>
        <w:pStyle w:val="Standard"/>
        <w:spacing w:before="120"/>
        <w:jc w:val="both"/>
        <w:rPr>
          <w:color w:val="000000"/>
          <w:sz w:val="18"/>
          <w:szCs w:val="18"/>
        </w:rPr>
      </w:pPr>
      <w:r>
        <w:rPr>
          <w:color w:val="000000"/>
          <w:sz w:val="18"/>
          <w:szCs w:val="18"/>
        </w:rPr>
        <w:t>Tato objednávka nabývá účinnosti nejdříve dnem uveřejnění jejího textu (včetně textu její akceptace) prostřednictvím registru smluv. Město Náchod prohlašuje, že uveřejnění prostřednictvím registru smluv zajistí.</w:t>
      </w:r>
    </w:p>
    <w:p w14:paraId="581069C7" w14:textId="77777777" w:rsidR="0035195B" w:rsidRDefault="0035195B">
      <w:pPr>
        <w:pStyle w:val="Standard"/>
        <w:jc w:val="both"/>
        <w:rPr>
          <w:rFonts w:cs="Arial"/>
          <w:color w:val="000000"/>
          <w:sz w:val="18"/>
          <w:szCs w:val="18"/>
        </w:rPr>
      </w:pPr>
    </w:p>
    <w:p w14:paraId="08B6E9A3" w14:textId="77777777" w:rsidR="0035195B" w:rsidRDefault="00000000">
      <w:pPr>
        <w:pStyle w:val="Standard"/>
        <w:jc w:val="both"/>
        <w:rPr>
          <w:color w:val="000000"/>
          <w:sz w:val="18"/>
          <w:szCs w:val="18"/>
        </w:rPr>
      </w:pPr>
      <w:r>
        <w:rPr>
          <w:color w:val="000000"/>
          <w:sz w:val="18"/>
          <w:szCs w:val="18"/>
        </w:rPr>
        <w:t>Město Náchod prohlašuje za účelem provedení finanční kontroly, že financování uvedené dodávky je zajištěno v jeho rozpočtové kapitole 12.</w:t>
      </w:r>
    </w:p>
    <w:p w14:paraId="6C2DCCBB" w14:textId="77777777" w:rsidR="0035195B" w:rsidRDefault="0035195B">
      <w:pPr>
        <w:pStyle w:val="Standard"/>
        <w:jc w:val="both"/>
        <w:rPr>
          <w:rFonts w:cs="Arial"/>
          <w:color w:val="000000"/>
          <w:sz w:val="18"/>
          <w:szCs w:val="18"/>
        </w:rPr>
      </w:pPr>
    </w:p>
    <w:p w14:paraId="34141CD1" w14:textId="77777777" w:rsidR="0035195B" w:rsidRDefault="00000000">
      <w:pPr>
        <w:pStyle w:val="Standard"/>
        <w:jc w:val="both"/>
        <w:rPr>
          <w:color w:val="000000"/>
          <w:sz w:val="18"/>
          <w:szCs w:val="18"/>
        </w:rPr>
      </w:pPr>
      <w:r>
        <w:rPr>
          <w:color w:val="000000"/>
          <w:sz w:val="18"/>
          <w:szCs w:val="18"/>
        </w:rPr>
        <w:t xml:space="preserve">Město Náchod prohlašuje, že tato objednávka se vystavuje na základě usnesení Rady města </w:t>
      </w:r>
      <w:proofErr w:type="spellStart"/>
      <w:r>
        <w:rPr>
          <w:color w:val="000000"/>
          <w:sz w:val="18"/>
          <w:szCs w:val="18"/>
        </w:rPr>
        <w:t>Náchoda</w:t>
      </w:r>
      <w:proofErr w:type="spellEnd"/>
      <w:r>
        <w:rPr>
          <w:color w:val="000000"/>
          <w:sz w:val="18"/>
          <w:szCs w:val="18"/>
        </w:rPr>
        <w:t xml:space="preserve"> č. 36/810/23 ze dne 24. 7. 2023.</w:t>
      </w:r>
    </w:p>
    <w:p w14:paraId="02A25393" w14:textId="77777777" w:rsidR="0035195B" w:rsidRDefault="0035195B">
      <w:pPr>
        <w:pStyle w:val="Standard"/>
        <w:jc w:val="both"/>
        <w:rPr>
          <w:color w:val="000000"/>
          <w:sz w:val="20"/>
          <w:szCs w:val="20"/>
        </w:rPr>
      </w:pPr>
    </w:p>
    <w:p w14:paraId="286CD31E" w14:textId="77777777" w:rsidR="0035195B" w:rsidRDefault="00000000">
      <w:pPr>
        <w:pStyle w:val="Standard"/>
        <w:jc w:val="both"/>
        <w:rPr>
          <w:b/>
          <w:bCs/>
        </w:rPr>
      </w:pPr>
      <w:r>
        <w:rPr>
          <w:b/>
          <w:bCs/>
          <w:color w:val="000000"/>
          <w:sz w:val="20"/>
          <w:szCs w:val="20"/>
        </w:rPr>
        <w:t xml:space="preserve">Město Náchod prohlašuje, že tato změna objednávky se vystavuje na základě usnesení Rady města </w:t>
      </w:r>
      <w:proofErr w:type="spellStart"/>
      <w:r>
        <w:rPr>
          <w:b/>
          <w:bCs/>
          <w:color w:val="000000"/>
          <w:sz w:val="20"/>
          <w:szCs w:val="20"/>
        </w:rPr>
        <w:t>Náchoda</w:t>
      </w:r>
      <w:proofErr w:type="spellEnd"/>
      <w:r>
        <w:rPr>
          <w:b/>
          <w:bCs/>
          <w:color w:val="000000"/>
          <w:sz w:val="20"/>
          <w:szCs w:val="20"/>
        </w:rPr>
        <w:t xml:space="preserve"> č. 38/849/23 ze dne 16. 8. 2023.</w:t>
      </w:r>
    </w:p>
    <w:p w14:paraId="71EBFFE3" w14:textId="77777777" w:rsidR="0035195B" w:rsidRDefault="0035195B">
      <w:pPr>
        <w:pStyle w:val="Standard"/>
        <w:jc w:val="both"/>
      </w:pPr>
    </w:p>
    <w:p w14:paraId="05C49E15" w14:textId="77777777" w:rsidR="0035195B" w:rsidRDefault="00000000">
      <w:pPr>
        <w:pStyle w:val="Standard"/>
        <w:jc w:val="both"/>
        <w:rPr>
          <w:b/>
          <w:color w:val="000000"/>
          <w:sz w:val="20"/>
          <w:szCs w:val="20"/>
        </w:rPr>
      </w:pPr>
      <w:r>
        <w:rPr>
          <w:b/>
          <w:color w:val="000000"/>
          <w:sz w:val="20"/>
          <w:szCs w:val="20"/>
        </w:rPr>
        <w:t>město Náchod</w:t>
      </w:r>
    </w:p>
    <w:p w14:paraId="62F12D6B" w14:textId="77777777" w:rsidR="0035195B" w:rsidRDefault="0035195B">
      <w:pPr>
        <w:pStyle w:val="Standard"/>
        <w:jc w:val="both"/>
        <w:rPr>
          <w:rFonts w:cs="Arial"/>
          <w:color w:val="000000"/>
          <w:sz w:val="20"/>
          <w:szCs w:val="20"/>
        </w:rPr>
      </w:pPr>
    </w:p>
    <w:p w14:paraId="59685F00" w14:textId="77777777" w:rsidR="0035195B" w:rsidRDefault="0035195B">
      <w:pPr>
        <w:pStyle w:val="Standard"/>
        <w:jc w:val="both"/>
        <w:rPr>
          <w:rFonts w:cs="Arial"/>
          <w:color w:val="000000"/>
          <w:sz w:val="20"/>
          <w:szCs w:val="20"/>
        </w:rPr>
      </w:pPr>
    </w:p>
    <w:p w14:paraId="141169E1" w14:textId="77777777" w:rsidR="0035195B" w:rsidRDefault="00000000">
      <w:pPr>
        <w:pStyle w:val="Standard"/>
        <w:jc w:val="both"/>
        <w:rPr>
          <w:color w:val="000000"/>
          <w:sz w:val="20"/>
          <w:szCs w:val="20"/>
        </w:rPr>
      </w:pPr>
      <w:r>
        <w:rPr>
          <w:color w:val="000000"/>
          <w:sz w:val="20"/>
          <w:szCs w:val="20"/>
        </w:rPr>
        <w:t>…………………………..</w:t>
      </w:r>
    </w:p>
    <w:p w14:paraId="7B179F45" w14:textId="30391212" w:rsidR="0035195B" w:rsidRDefault="00000000">
      <w:pPr>
        <w:pStyle w:val="Standard"/>
        <w:jc w:val="both"/>
        <w:rPr>
          <w:iCs/>
          <w:color w:val="000000"/>
          <w:sz w:val="20"/>
          <w:szCs w:val="20"/>
        </w:rPr>
      </w:pPr>
      <w:r>
        <w:rPr>
          <w:iCs/>
          <w:color w:val="000000"/>
          <w:sz w:val="20"/>
          <w:szCs w:val="20"/>
        </w:rPr>
        <w:t>, místostarosta města</w:t>
      </w:r>
    </w:p>
    <w:p w14:paraId="544625A8" w14:textId="77777777" w:rsidR="0035195B" w:rsidRDefault="00000000">
      <w:pPr>
        <w:pStyle w:val="Standard"/>
        <w:ind w:left="5103"/>
        <w:jc w:val="both"/>
        <w:rPr>
          <w:color w:val="000000"/>
          <w:sz w:val="20"/>
          <w:szCs w:val="20"/>
        </w:rPr>
      </w:pPr>
      <w:r>
        <w:rPr>
          <w:color w:val="000000"/>
          <w:sz w:val="20"/>
          <w:szCs w:val="20"/>
        </w:rPr>
        <w:t>…………………….</w:t>
      </w:r>
    </w:p>
    <w:p w14:paraId="221F8728" w14:textId="18770B84" w:rsidR="0035195B" w:rsidRDefault="00000000">
      <w:pPr>
        <w:pStyle w:val="Standard"/>
        <w:ind w:left="5103"/>
        <w:jc w:val="both"/>
        <w:rPr>
          <w:color w:val="000000"/>
          <w:sz w:val="20"/>
          <w:szCs w:val="20"/>
        </w:rPr>
      </w:pPr>
      <w:r>
        <w:rPr>
          <w:color w:val="000000"/>
          <w:sz w:val="20"/>
          <w:szCs w:val="20"/>
        </w:rPr>
        <w:t>, příkazce operace</w:t>
      </w:r>
    </w:p>
    <w:p w14:paraId="2E90DD4D" w14:textId="77777777" w:rsidR="0035195B" w:rsidRDefault="0035195B">
      <w:pPr>
        <w:pStyle w:val="Standard"/>
        <w:ind w:left="5103"/>
        <w:jc w:val="both"/>
        <w:rPr>
          <w:rFonts w:cs="Arial"/>
          <w:color w:val="000000"/>
          <w:sz w:val="20"/>
          <w:szCs w:val="20"/>
        </w:rPr>
      </w:pPr>
    </w:p>
    <w:p w14:paraId="0686AFAA" w14:textId="77777777" w:rsidR="0035195B" w:rsidRDefault="0035195B">
      <w:pPr>
        <w:pStyle w:val="Standard"/>
        <w:ind w:left="5103"/>
        <w:jc w:val="both"/>
        <w:rPr>
          <w:rFonts w:cs="Arial"/>
          <w:color w:val="000000"/>
          <w:sz w:val="20"/>
          <w:szCs w:val="20"/>
        </w:rPr>
      </w:pPr>
    </w:p>
    <w:p w14:paraId="780DB451" w14:textId="77777777" w:rsidR="0035195B" w:rsidRDefault="0035195B">
      <w:pPr>
        <w:pStyle w:val="Standard"/>
        <w:ind w:left="5103"/>
        <w:jc w:val="both"/>
        <w:rPr>
          <w:rFonts w:cs="Arial"/>
          <w:color w:val="000000"/>
          <w:sz w:val="20"/>
          <w:szCs w:val="20"/>
        </w:rPr>
      </w:pPr>
    </w:p>
    <w:p w14:paraId="40CB8408" w14:textId="77777777" w:rsidR="0035195B" w:rsidRDefault="00000000">
      <w:pPr>
        <w:pStyle w:val="Standard"/>
        <w:ind w:left="5103"/>
        <w:jc w:val="both"/>
        <w:rPr>
          <w:color w:val="000000"/>
          <w:sz w:val="20"/>
          <w:szCs w:val="20"/>
        </w:rPr>
      </w:pPr>
      <w:r>
        <w:rPr>
          <w:color w:val="000000"/>
          <w:sz w:val="20"/>
          <w:szCs w:val="20"/>
        </w:rPr>
        <w:t>…………………….</w:t>
      </w:r>
    </w:p>
    <w:p w14:paraId="5A950371" w14:textId="2A018BAA" w:rsidR="0035195B" w:rsidRDefault="00000000">
      <w:pPr>
        <w:pStyle w:val="Standard"/>
        <w:ind w:left="5103"/>
        <w:jc w:val="both"/>
        <w:rPr>
          <w:color w:val="000000"/>
          <w:sz w:val="20"/>
          <w:szCs w:val="20"/>
        </w:rPr>
      </w:pPr>
      <w:r>
        <w:rPr>
          <w:color w:val="000000"/>
          <w:sz w:val="20"/>
          <w:szCs w:val="20"/>
        </w:rPr>
        <w:t>, správce rozpočtu</w:t>
      </w:r>
    </w:p>
    <w:p w14:paraId="21B1EC68" w14:textId="77777777" w:rsidR="0035195B" w:rsidRDefault="0035195B">
      <w:pPr>
        <w:pStyle w:val="Standard"/>
        <w:jc w:val="both"/>
        <w:rPr>
          <w:color w:val="000000"/>
          <w:sz w:val="20"/>
          <w:szCs w:val="20"/>
        </w:rPr>
      </w:pPr>
    </w:p>
    <w:p w14:paraId="41C709E7" w14:textId="77777777" w:rsidR="0035195B" w:rsidRDefault="0035195B">
      <w:pPr>
        <w:pStyle w:val="Standard"/>
        <w:tabs>
          <w:tab w:val="left" w:pos="5670"/>
        </w:tabs>
        <w:jc w:val="both"/>
        <w:rPr>
          <w:rFonts w:cs="Arial"/>
          <w:color w:val="000000"/>
          <w:sz w:val="20"/>
          <w:szCs w:val="20"/>
        </w:rPr>
      </w:pPr>
    </w:p>
    <w:p w14:paraId="0BD3BEA2" w14:textId="77777777" w:rsidR="0035195B" w:rsidRDefault="0035195B">
      <w:pPr>
        <w:pStyle w:val="Standard"/>
        <w:tabs>
          <w:tab w:val="left" w:pos="5670"/>
        </w:tabs>
        <w:jc w:val="both"/>
        <w:rPr>
          <w:rFonts w:cs="Arial"/>
          <w:color w:val="000000"/>
          <w:sz w:val="20"/>
          <w:szCs w:val="20"/>
        </w:rPr>
      </w:pPr>
    </w:p>
    <w:p w14:paraId="55450CEA" w14:textId="77777777" w:rsidR="0035195B" w:rsidRDefault="0035195B">
      <w:pPr>
        <w:pStyle w:val="Standard"/>
        <w:tabs>
          <w:tab w:val="left" w:pos="5670"/>
        </w:tabs>
        <w:jc w:val="both"/>
        <w:rPr>
          <w:rFonts w:cs="Arial"/>
          <w:color w:val="000000"/>
          <w:sz w:val="20"/>
          <w:szCs w:val="20"/>
        </w:rPr>
      </w:pPr>
    </w:p>
    <w:p w14:paraId="550D5276" w14:textId="77777777" w:rsidR="0035195B" w:rsidRDefault="00000000">
      <w:pPr>
        <w:pStyle w:val="Standard"/>
        <w:tabs>
          <w:tab w:val="left" w:pos="5103"/>
        </w:tabs>
        <w:jc w:val="both"/>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14:paraId="7B215074" w14:textId="77777777" w:rsidR="0035195B" w:rsidRDefault="00000000">
      <w:pPr>
        <w:pStyle w:val="Standard"/>
        <w:tabs>
          <w:tab w:val="left" w:pos="5103"/>
        </w:tabs>
        <w:jc w:val="both"/>
      </w:pPr>
      <w:r>
        <w:rPr>
          <w:rFonts w:cs="Arial"/>
          <w:color w:val="000000"/>
          <w:sz w:val="20"/>
          <w:szCs w:val="20"/>
        </w:rPr>
        <w:tab/>
      </w:r>
      <w:r>
        <w:rPr>
          <w:color w:val="000000"/>
          <w:sz w:val="20"/>
          <w:szCs w:val="20"/>
        </w:rPr>
        <w:t>podpis za dodavatele</w:t>
      </w:r>
    </w:p>
    <w:p w14:paraId="48187F4E" w14:textId="77777777" w:rsidR="0035195B" w:rsidRDefault="0035195B">
      <w:pPr>
        <w:pStyle w:val="Standard"/>
        <w:tabs>
          <w:tab w:val="left" w:pos="5103"/>
        </w:tabs>
        <w:jc w:val="both"/>
        <w:rPr>
          <w:rFonts w:cs="Arial"/>
          <w:color w:val="000000"/>
          <w:sz w:val="20"/>
          <w:szCs w:val="20"/>
        </w:rPr>
      </w:pPr>
    </w:p>
    <w:p w14:paraId="6ED8B544" w14:textId="77777777" w:rsidR="0035195B" w:rsidRDefault="0035195B">
      <w:pPr>
        <w:pStyle w:val="Standard"/>
        <w:tabs>
          <w:tab w:val="left" w:pos="5103"/>
        </w:tabs>
        <w:jc w:val="both"/>
        <w:rPr>
          <w:rFonts w:cs="Arial"/>
          <w:color w:val="000000"/>
          <w:sz w:val="20"/>
          <w:szCs w:val="20"/>
        </w:rPr>
      </w:pPr>
    </w:p>
    <w:p w14:paraId="0AAEDB0E" w14:textId="77777777" w:rsidR="0035195B" w:rsidRDefault="00000000">
      <w:pPr>
        <w:pStyle w:val="Standard"/>
        <w:tabs>
          <w:tab w:val="left" w:pos="5103"/>
        </w:tabs>
        <w:jc w:val="both"/>
      </w:pPr>
      <w:r>
        <w:rPr>
          <w:color w:val="000000"/>
          <w:sz w:val="20"/>
          <w:szCs w:val="20"/>
        </w:rPr>
        <w:t xml:space="preserve">Objednávku </w:t>
      </w:r>
      <w:r>
        <w:rPr>
          <w:b/>
          <w:bCs/>
          <w:color w:val="000000"/>
          <w:sz w:val="20"/>
          <w:szCs w:val="20"/>
        </w:rPr>
        <w:t>akceptuji bez výhrad</w:t>
      </w:r>
      <w:r>
        <w:rPr>
          <w:color w:val="000000"/>
          <w:sz w:val="20"/>
          <w:szCs w:val="20"/>
        </w:rPr>
        <w:t>, dne ……………</w:t>
      </w:r>
      <w:r>
        <w:rPr>
          <w:color w:val="000000"/>
          <w:sz w:val="20"/>
          <w:szCs w:val="20"/>
        </w:rPr>
        <w:tab/>
        <w:t>…………………….</w:t>
      </w:r>
    </w:p>
    <w:p w14:paraId="71166A8B" w14:textId="77777777" w:rsidR="0035195B" w:rsidRDefault="00000000">
      <w:pPr>
        <w:pStyle w:val="Standard"/>
        <w:tabs>
          <w:tab w:val="left" w:pos="5103"/>
        </w:tabs>
        <w:jc w:val="both"/>
      </w:pPr>
      <w:r>
        <w:rPr>
          <w:rFonts w:cs="Arial"/>
          <w:color w:val="000000"/>
          <w:sz w:val="20"/>
          <w:szCs w:val="20"/>
        </w:rPr>
        <w:tab/>
      </w:r>
      <w:r>
        <w:rPr>
          <w:color w:val="000000"/>
          <w:sz w:val="20"/>
          <w:szCs w:val="20"/>
        </w:rPr>
        <w:t>podpis za dodavatele</w:t>
      </w:r>
      <w:bookmarkStart w:id="0" w:name="_Hlk122598208"/>
      <w:bookmarkEnd w:id="0"/>
    </w:p>
    <w:sectPr w:rsidR="0035195B">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57EE"/>
    <w:multiLevelType w:val="multilevel"/>
    <w:tmpl w:val="06DEE928"/>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15:restartNumberingAfterBreak="0">
    <w:nsid w:val="78C15940"/>
    <w:multiLevelType w:val="multilevel"/>
    <w:tmpl w:val="6916E2B8"/>
    <w:lvl w:ilvl="0">
      <w:start w:val="1"/>
      <w:numFmt w:val="bullet"/>
      <w:lvlText w:val="-"/>
      <w:lvlJc w:val="left"/>
      <w:pPr>
        <w:tabs>
          <w:tab w:val="num" w:pos="420"/>
        </w:tabs>
        <w:ind w:left="420" w:hanging="360"/>
      </w:pPr>
      <w:rPr>
        <w:rFonts w:ascii="Arial" w:hAnsi="Arial" w:cs="Arial"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num w:numId="1" w16cid:durableId="1192764369">
    <w:abstractNumId w:val="1"/>
  </w:num>
  <w:num w:numId="2" w16cid:durableId="157339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35195B"/>
    <w:rsid w:val="002421DF"/>
    <w:rsid w:val="00351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7B37"/>
  <w15:docId w15:val="{AC05EC5F-E7C9-4B8B-B260-C10056A2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6892</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2022-12-14T16:04:00Z</cp:lastPrinted>
  <dcterms:created xsi:type="dcterms:W3CDTF">2023-08-22T10:39:00Z</dcterms:created>
  <dcterms:modified xsi:type="dcterms:W3CDTF">2023-08-22T10:39:00Z</dcterms:modified>
  <dc:language>cs-CZ</dc:language>
</cp:coreProperties>
</file>