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8DCC" w14:textId="57CCE1DC" w:rsidR="006B19F0" w:rsidRPr="00104D40" w:rsidRDefault="00501892" w:rsidP="006B19F0">
      <w:pPr>
        <w:spacing w:after="0"/>
        <w:jc w:val="center"/>
        <w:rPr>
          <w:rFonts w:ascii="Garamond" w:hAnsi="Garamond" w:cs="Arial"/>
          <w:b/>
          <w:sz w:val="28"/>
          <w:szCs w:val="28"/>
        </w:rPr>
      </w:pPr>
      <w:r>
        <w:rPr>
          <w:rFonts w:ascii="Garamond" w:hAnsi="Garamond" w:cs="Arial"/>
          <w:b/>
          <w:sz w:val="28"/>
          <w:szCs w:val="28"/>
        </w:rPr>
        <w:t>DNS</w:t>
      </w:r>
      <w:r w:rsidRPr="00F61236">
        <w:rPr>
          <w:rFonts w:ascii="Garamond" w:hAnsi="Garamond" w:cs="Arial"/>
          <w:b/>
          <w:sz w:val="28"/>
          <w:szCs w:val="28"/>
        </w:rPr>
        <w:t xml:space="preserve">: </w:t>
      </w:r>
      <w:r w:rsidR="00801A1C">
        <w:rPr>
          <w:rFonts w:ascii="Garamond" w:hAnsi="Garamond" w:cs="Arial"/>
          <w:b/>
          <w:sz w:val="28"/>
          <w:szCs w:val="28"/>
        </w:rPr>
        <w:t>„</w:t>
      </w:r>
      <w:r w:rsidR="00902C15" w:rsidRPr="009804D3">
        <w:rPr>
          <w:rFonts w:ascii="Garamond" w:hAnsi="Garamond" w:cs="Arial"/>
          <w:b/>
          <w:bCs/>
          <w:sz w:val="28"/>
          <w:szCs w:val="28"/>
        </w:rPr>
        <w:t xml:space="preserve">Propagační </w:t>
      </w:r>
      <w:r w:rsidR="00902C15" w:rsidRPr="00104D40">
        <w:rPr>
          <w:rFonts w:ascii="Garamond" w:hAnsi="Garamond" w:cs="Arial"/>
          <w:b/>
          <w:bCs/>
          <w:sz w:val="28"/>
          <w:szCs w:val="28"/>
        </w:rPr>
        <w:t>předměty</w:t>
      </w:r>
      <w:r w:rsidR="00902C15" w:rsidRPr="00104D40">
        <w:rPr>
          <w:rFonts w:ascii="Garamond" w:hAnsi="Garamond"/>
          <w:b/>
          <w:bCs/>
        </w:rPr>
        <w:t xml:space="preserve"> </w:t>
      </w:r>
      <w:r w:rsidR="009559E2" w:rsidRPr="00104D40">
        <w:rPr>
          <w:rFonts w:ascii="Garamond" w:hAnsi="Garamond" w:cs="Arial"/>
          <w:b/>
          <w:bCs/>
          <w:sz w:val="28"/>
          <w:szCs w:val="28"/>
        </w:rPr>
        <w:t>VZ:</w:t>
      </w:r>
      <w:r w:rsidR="009559E2" w:rsidRPr="00104D40">
        <w:rPr>
          <w:rFonts w:ascii="Garamond" w:hAnsi="Garamond" w:cs="Arial"/>
          <w:b/>
          <w:sz w:val="28"/>
          <w:szCs w:val="28"/>
        </w:rPr>
        <w:t xml:space="preserve"> </w:t>
      </w:r>
      <w:r w:rsidR="006F1E2B" w:rsidRPr="00104D40">
        <w:rPr>
          <w:rFonts w:ascii="Garamond" w:hAnsi="Garamond" w:cs="Arial"/>
          <w:b/>
          <w:bCs/>
          <w:sz w:val="28"/>
          <w:szCs w:val="28"/>
        </w:rPr>
        <w:t>0</w:t>
      </w:r>
      <w:r w:rsidR="006B1939">
        <w:rPr>
          <w:rFonts w:ascii="Garamond" w:hAnsi="Garamond" w:cs="Arial"/>
          <w:b/>
          <w:bCs/>
          <w:sz w:val="28"/>
          <w:szCs w:val="28"/>
        </w:rPr>
        <w:t>1</w:t>
      </w:r>
      <w:r w:rsidR="0003234F">
        <w:rPr>
          <w:rFonts w:ascii="Garamond" w:hAnsi="Garamond" w:cs="Arial"/>
          <w:b/>
          <w:bCs/>
          <w:sz w:val="28"/>
          <w:szCs w:val="28"/>
        </w:rPr>
        <w:t>8</w:t>
      </w:r>
      <w:r w:rsidR="009559E2" w:rsidRPr="00104D40">
        <w:rPr>
          <w:rFonts w:ascii="Garamond" w:hAnsi="Garamond" w:cs="Arial"/>
          <w:b/>
          <w:bCs/>
          <w:sz w:val="28"/>
          <w:szCs w:val="28"/>
        </w:rPr>
        <w:t>-</w:t>
      </w:r>
      <w:r w:rsidR="006B19F0" w:rsidRPr="00104D40">
        <w:rPr>
          <w:rFonts w:ascii="Garamond" w:hAnsi="Garamond" w:cs="Arial"/>
          <w:b/>
          <w:bCs/>
          <w:sz w:val="28"/>
          <w:szCs w:val="28"/>
        </w:rPr>
        <w:t>202</w:t>
      </w:r>
      <w:r w:rsidR="00C463A8">
        <w:rPr>
          <w:rFonts w:ascii="Garamond" w:hAnsi="Garamond" w:cs="Arial"/>
          <w:b/>
          <w:bCs/>
          <w:sz w:val="28"/>
          <w:szCs w:val="28"/>
        </w:rPr>
        <w:t>3</w:t>
      </w:r>
      <w:r w:rsidR="006B19F0" w:rsidRPr="00104D40">
        <w:rPr>
          <w:rFonts w:ascii="Garamond" w:hAnsi="Garamond" w:cs="Arial"/>
          <w:b/>
          <w:bCs/>
          <w:sz w:val="28"/>
          <w:szCs w:val="28"/>
        </w:rPr>
        <w:t>“</w:t>
      </w:r>
    </w:p>
    <w:p w14:paraId="224891EB" w14:textId="77777777" w:rsidR="006B19F0" w:rsidRPr="00104D40" w:rsidRDefault="006B19F0" w:rsidP="006B19F0">
      <w:pPr>
        <w:pStyle w:val="Zkladntext"/>
        <w:pBdr>
          <w:bottom w:val="single" w:sz="6" w:space="1" w:color="auto"/>
        </w:pBdr>
        <w:spacing w:line="276" w:lineRule="auto"/>
        <w:jc w:val="center"/>
        <w:rPr>
          <w:rFonts w:ascii="Garamond" w:hAnsi="Garamond" w:cs="Arial"/>
          <w:b w:val="0"/>
          <w:sz w:val="20"/>
          <w:u w:val="none"/>
        </w:rPr>
      </w:pPr>
      <w:r w:rsidRPr="00104D40">
        <w:rPr>
          <w:rFonts w:ascii="Garamond" w:hAnsi="Garamond" w:cs="Arial"/>
          <w:sz w:val="24"/>
          <w:szCs w:val="24"/>
          <w:u w:val="none"/>
        </w:rPr>
        <w:t>Sm</w:t>
      </w:r>
      <w:r w:rsidR="00501892" w:rsidRPr="00104D40">
        <w:rPr>
          <w:rFonts w:ascii="Garamond" w:hAnsi="Garamond"/>
          <w:sz w:val="24"/>
          <w:szCs w:val="24"/>
          <w:u w:val="none"/>
        </w:rPr>
        <w:t xml:space="preserve">louva </w:t>
      </w:r>
      <w:r w:rsidR="00501892" w:rsidRPr="00104D40">
        <w:rPr>
          <w:rFonts w:ascii="Garamond" w:hAnsi="Garamond" w:cs="Arial"/>
          <w:sz w:val="24"/>
          <w:szCs w:val="24"/>
          <w:u w:val="none"/>
        </w:rPr>
        <w:t>kupní</w:t>
      </w:r>
      <w:r w:rsidR="00501892" w:rsidRPr="00104D40">
        <w:rPr>
          <w:rFonts w:ascii="Garamond" w:hAnsi="Garamond" w:cs="Arial"/>
          <w:b w:val="0"/>
          <w:sz w:val="20"/>
          <w:u w:val="none"/>
        </w:rPr>
        <w:t xml:space="preserve"> </w:t>
      </w:r>
      <w:r w:rsidR="00501892" w:rsidRPr="00104D40">
        <w:rPr>
          <w:rFonts w:ascii="Garamond" w:hAnsi="Garamond" w:cs="Arial"/>
          <w:b w:val="0"/>
          <w:sz w:val="22"/>
          <w:szCs w:val="22"/>
          <w:u w:val="none"/>
        </w:rPr>
        <w:t xml:space="preserve">podle ust. § 2079 a násl. zákona č. 89/2012 Sb., </w:t>
      </w:r>
      <w:r w:rsidR="00B67C72" w:rsidRPr="00104D40">
        <w:rPr>
          <w:rFonts w:ascii="Garamond" w:hAnsi="Garamond" w:cs="Arial"/>
          <w:b w:val="0"/>
          <w:sz w:val="22"/>
          <w:szCs w:val="22"/>
          <w:u w:val="none"/>
        </w:rPr>
        <w:t>o</w:t>
      </w:r>
      <w:r w:rsidR="00501892" w:rsidRPr="00104D40">
        <w:rPr>
          <w:rFonts w:ascii="Garamond" w:hAnsi="Garamond" w:cs="Arial"/>
          <w:b w:val="0"/>
          <w:sz w:val="22"/>
          <w:szCs w:val="22"/>
          <w:u w:val="none"/>
        </w:rPr>
        <w:t>bčanský zákoník (dále jen „o.z.“</w:t>
      </w:r>
      <w:r w:rsidRPr="00104D40">
        <w:rPr>
          <w:rFonts w:ascii="Garamond" w:hAnsi="Garamond" w:cs="Arial"/>
          <w:b w:val="0"/>
          <w:sz w:val="22"/>
          <w:szCs w:val="22"/>
          <w:u w:val="none"/>
        </w:rPr>
        <w:t xml:space="preserve"> )</w:t>
      </w:r>
    </w:p>
    <w:p w14:paraId="5512B0CC" w14:textId="77777777" w:rsidR="00B53C70" w:rsidRPr="00104D40" w:rsidRDefault="006B19F0" w:rsidP="006B19F0">
      <w:pPr>
        <w:spacing w:before="120" w:after="0"/>
        <w:rPr>
          <w:rFonts w:ascii="Garamond" w:hAnsi="Garamond" w:cs="Palatino Linotype"/>
          <w:color w:val="000000"/>
          <w:sz w:val="20"/>
          <w:szCs w:val="20"/>
        </w:rPr>
      </w:pPr>
      <w:r w:rsidRPr="00104D40">
        <w:rPr>
          <w:rFonts w:ascii="Garamond" w:hAnsi="Garamond" w:cs="Palatino Linotype"/>
          <w:color w:val="000000"/>
          <w:sz w:val="20"/>
          <w:szCs w:val="20"/>
        </w:rPr>
        <w:t>Tato</w:t>
      </w:r>
      <w:r w:rsidR="00501892" w:rsidRPr="00104D40">
        <w:rPr>
          <w:rFonts w:ascii="Garamond" w:hAnsi="Garamond" w:cs="Palatino Linotype"/>
          <w:color w:val="000000"/>
          <w:sz w:val="20"/>
          <w:szCs w:val="20"/>
        </w:rPr>
        <w:t xml:space="preserve"> smlouva je uzavřena v rámci nadepsaného zavedeného dynamického nákupního systému (DNS)</w:t>
      </w:r>
    </w:p>
    <w:p w14:paraId="48462611" w14:textId="2C698D3B" w:rsidR="00C463A8" w:rsidRDefault="00501892">
      <w:pPr>
        <w:spacing w:before="60" w:after="60"/>
        <w:jc w:val="both"/>
        <w:rPr>
          <w:rFonts w:ascii="Garamond" w:hAnsi="Garamond" w:cs="Palatino Linotype"/>
          <w:color w:val="000000"/>
          <w:sz w:val="20"/>
          <w:szCs w:val="20"/>
        </w:rPr>
      </w:pPr>
      <w:r w:rsidRPr="00104D40">
        <w:rPr>
          <w:rFonts w:ascii="Garamond" w:hAnsi="Garamond" w:cs="Palatino Linotype"/>
          <w:color w:val="000000"/>
          <w:sz w:val="20"/>
          <w:szCs w:val="20"/>
        </w:rPr>
        <w:t>Číslo smlouvy objednatele: P2</w:t>
      </w:r>
      <w:r w:rsidR="00C463A8">
        <w:rPr>
          <w:rFonts w:ascii="Garamond" w:hAnsi="Garamond" w:cs="Palatino Linotype"/>
          <w:color w:val="000000"/>
          <w:sz w:val="20"/>
          <w:szCs w:val="20"/>
        </w:rPr>
        <w:t>3</w:t>
      </w:r>
      <w:r w:rsidRPr="00104D40">
        <w:rPr>
          <w:rFonts w:ascii="Garamond" w:hAnsi="Garamond" w:cs="Palatino Linotype"/>
          <w:color w:val="000000"/>
          <w:sz w:val="20"/>
          <w:szCs w:val="20"/>
        </w:rPr>
        <w:t>V00000</w:t>
      </w:r>
      <w:r w:rsidR="0003234F">
        <w:rPr>
          <w:rFonts w:ascii="Garamond" w:hAnsi="Garamond" w:cs="Palatino Linotype"/>
          <w:color w:val="000000"/>
          <w:sz w:val="20"/>
          <w:szCs w:val="20"/>
        </w:rPr>
        <w:t>365</w:t>
      </w:r>
      <w:r w:rsidR="00F22FB7" w:rsidRPr="00104D40">
        <w:rPr>
          <w:rFonts w:ascii="Garamond" w:hAnsi="Garamond" w:cs="Palatino Linotype"/>
          <w:color w:val="000000"/>
          <w:sz w:val="20"/>
          <w:szCs w:val="20"/>
        </w:rPr>
        <w:tab/>
      </w:r>
      <w:r w:rsidR="00F22FB7" w:rsidRPr="00104D40">
        <w:rPr>
          <w:rFonts w:ascii="Garamond" w:hAnsi="Garamond" w:cs="Palatino Linotype"/>
          <w:color w:val="000000"/>
          <w:sz w:val="20"/>
          <w:szCs w:val="20"/>
        </w:rPr>
        <w:tab/>
      </w:r>
    </w:p>
    <w:p w14:paraId="49156670" w14:textId="62817A64" w:rsidR="00B53C70" w:rsidRPr="00104D40" w:rsidRDefault="00501892">
      <w:pPr>
        <w:spacing w:before="60" w:after="60"/>
        <w:jc w:val="both"/>
        <w:rPr>
          <w:rFonts w:ascii="Garamond" w:hAnsi="Garamond" w:cs="Arial"/>
          <w:sz w:val="20"/>
          <w:szCs w:val="20"/>
        </w:rPr>
      </w:pPr>
      <w:r w:rsidRPr="00104D40">
        <w:rPr>
          <w:rFonts w:ascii="Garamond" w:hAnsi="Garamond" w:cs="Palatino Linotype"/>
          <w:color w:val="000000"/>
          <w:sz w:val="20"/>
          <w:szCs w:val="20"/>
        </w:rPr>
        <w:t xml:space="preserve">Číslo smlouvy dodavatele: </w:t>
      </w:r>
      <w:r w:rsidRPr="00104D40">
        <w:rPr>
          <w:rFonts w:ascii="Garamond" w:hAnsi="Garamond" w:cs="Arial"/>
          <w:sz w:val="20"/>
          <w:szCs w:val="20"/>
        </w:rPr>
        <w:t>[</w:t>
      </w:r>
      <w:permStart w:id="1117459218" w:edGrp="everyone"/>
      <w:r w:rsidRPr="00104D40">
        <w:rPr>
          <w:rStyle w:val="Znakapoznpodarou"/>
          <w:rFonts w:ascii="Garamond" w:hAnsi="Garamond"/>
          <w:sz w:val="20"/>
          <w:szCs w:val="20"/>
        </w:rPr>
        <w:footnoteReference w:id="1"/>
      </w:r>
      <w:permEnd w:id="1117459218"/>
      <w:r w:rsidRPr="00104D40">
        <w:rPr>
          <w:rFonts w:ascii="Garamond" w:hAnsi="Garamond" w:cs="Arial"/>
          <w:sz w:val="20"/>
          <w:szCs w:val="20"/>
        </w:rPr>
        <w:t>]</w:t>
      </w:r>
    </w:p>
    <w:p w14:paraId="5507B8D8" w14:textId="77777777" w:rsidR="00B53C70" w:rsidRPr="00104D40" w:rsidRDefault="00501892">
      <w:pPr>
        <w:pStyle w:val="Odstavecseseznamem"/>
        <w:numPr>
          <w:ilvl w:val="0"/>
          <w:numId w:val="3"/>
        </w:numPr>
        <w:spacing w:before="120" w:after="0"/>
        <w:ind w:left="567" w:hanging="567"/>
        <w:contextualSpacing w:val="0"/>
        <w:jc w:val="both"/>
        <w:rPr>
          <w:rFonts w:ascii="Garamond" w:hAnsi="Garamond"/>
          <w:b/>
        </w:rPr>
      </w:pPr>
      <w:r w:rsidRPr="00104D40">
        <w:rPr>
          <w:rFonts w:ascii="Garamond" w:hAnsi="Garamond"/>
          <w:b/>
        </w:rPr>
        <w:t>Smluvní strany</w:t>
      </w:r>
    </w:p>
    <w:p w14:paraId="244B0E5D" w14:textId="77777777" w:rsidR="00B53C70" w:rsidRDefault="00501892">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4298ECBE" w14:textId="2BBDFD71" w:rsidR="00B53C70" w:rsidRDefault="00501892" w:rsidP="00DB5BC4">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32B099C4" w14:textId="291F14D5" w:rsidR="00C54AC4" w:rsidRDefault="00C54AC4" w:rsidP="00DB5BC4">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t>Ing. Petrem Benešem, kvestorem</w:t>
      </w:r>
    </w:p>
    <w:p w14:paraId="7FBF1FF1"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sidR="009F57CC">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62396878"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4F69B09D" w14:textId="77777777" w:rsidR="00B53C70" w:rsidRDefault="00501892">
      <w:pPr>
        <w:spacing w:after="0" w:line="240" w:lineRule="auto"/>
        <w:jc w:val="both"/>
        <w:rPr>
          <w:rFonts w:ascii="Garamond" w:hAnsi="Garamond" w:cs="Arial"/>
          <w:b/>
          <w:sz w:val="20"/>
          <w:szCs w:val="20"/>
        </w:rPr>
      </w:pPr>
      <w:r>
        <w:rPr>
          <w:rFonts w:ascii="Garamond" w:hAnsi="Garamond" w:cs="Arial"/>
          <w:b/>
          <w:sz w:val="20"/>
          <w:szCs w:val="20"/>
        </w:rPr>
        <w:t>a</w:t>
      </w:r>
    </w:p>
    <w:p w14:paraId="24A95BE4" w14:textId="2EBEFAE7" w:rsidR="00B53C70" w:rsidRDefault="00501892">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r>
        <w:rPr>
          <w:rFonts w:ascii="Garamond" w:hAnsi="Garamond" w:cs="Arial"/>
          <w:sz w:val="20"/>
          <w:szCs w:val="20"/>
        </w:rPr>
        <w:t>[</w:t>
      </w:r>
      <w:permStart w:id="810445495" w:edGrp="everyone"/>
      <w:r w:rsidR="00A02A38" w:rsidRPr="00156328">
        <w:t>RD Present s. r. o</w:t>
      </w:r>
      <w:permEnd w:id="810445495"/>
      <w:r>
        <w:rPr>
          <w:rFonts w:ascii="Garamond" w:hAnsi="Garamond" w:cs="Arial"/>
          <w:sz w:val="20"/>
          <w:szCs w:val="20"/>
        </w:rPr>
        <w:t>]</w:t>
      </w:r>
    </w:p>
    <w:p w14:paraId="1037000A" w14:textId="6706AC9C"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w:t>
      </w:r>
      <w:permStart w:id="239754219" w:edGrp="everyone"/>
      <w:r w:rsidR="00121254">
        <w:t xml:space="preserve">Pod Všemi </w:t>
      </w:r>
      <w:r w:rsidR="00121254" w:rsidRPr="00121254">
        <w:t>svatými 17, Plzeň</w:t>
      </w:r>
      <w:permEnd w:id="239754219"/>
      <w:r>
        <w:rPr>
          <w:rFonts w:ascii="Garamond" w:hAnsi="Garamond" w:cs="Arial"/>
          <w:sz w:val="20"/>
          <w:szCs w:val="20"/>
        </w:rPr>
        <w:t>]</w:t>
      </w:r>
    </w:p>
    <w:p w14:paraId="29093AAE" w14:textId="0935F1FA"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t>[</w:t>
      </w:r>
      <w:permStart w:id="1309562500" w:edGrp="everyone"/>
      <w:r w:rsidR="009741A1">
        <w:t>Bc. Janem Braunem</w:t>
      </w:r>
      <w:permEnd w:id="1309562500"/>
      <w:r>
        <w:rPr>
          <w:rFonts w:ascii="Garamond" w:hAnsi="Garamond" w:cs="Arial"/>
          <w:sz w:val="20"/>
          <w:szCs w:val="20"/>
        </w:rPr>
        <w:t>]</w:t>
      </w:r>
    </w:p>
    <w:p w14:paraId="621CDDC8" w14:textId="446764A1"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t>[</w:t>
      </w:r>
      <w:permStart w:id="934032178" w:edGrp="everyone"/>
      <w:r w:rsidR="009C401C">
        <w:t>08227489</w:t>
      </w:r>
      <w:permEnd w:id="934032178"/>
      <w:r>
        <w:rPr>
          <w:rFonts w:ascii="Garamond" w:hAnsi="Garamond" w:cs="Arial"/>
          <w:sz w:val="20"/>
          <w:szCs w:val="20"/>
        </w:rPr>
        <w:t>]</w:t>
      </w:r>
      <w:r>
        <w:rPr>
          <w:rFonts w:ascii="Garamond" w:hAnsi="Garamond" w:cs="Arial"/>
          <w:sz w:val="20"/>
          <w:szCs w:val="20"/>
        </w:rPr>
        <w:tab/>
        <w:t>DIČ:</w:t>
      </w:r>
      <w:r>
        <w:rPr>
          <w:rFonts w:ascii="Garamond" w:hAnsi="Garamond"/>
          <w:sz w:val="20"/>
          <w:szCs w:val="20"/>
        </w:rPr>
        <w:tab/>
      </w:r>
      <w:r>
        <w:rPr>
          <w:rFonts w:ascii="Garamond" w:hAnsi="Garamond" w:cs="Arial"/>
          <w:sz w:val="20"/>
          <w:szCs w:val="20"/>
        </w:rPr>
        <w:t>[</w:t>
      </w:r>
      <w:permStart w:id="1392902842" w:edGrp="everyone"/>
      <w:r w:rsidR="00090D01">
        <w:t>CZ08</w:t>
      </w:r>
      <w:r w:rsidR="00090D01" w:rsidRPr="00090D01">
        <w:t>227489</w:t>
      </w:r>
      <w:permEnd w:id="1392902842"/>
      <w:r>
        <w:rPr>
          <w:rFonts w:ascii="Garamond" w:hAnsi="Garamond" w:cs="Arial"/>
          <w:sz w:val="20"/>
          <w:szCs w:val="20"/>
        </w:rPr>
        <w:t>]</w:t>
      </w:r>
    </w:p>
    <w:p w14:paraId="087520D2" w14:textId="3905DC51"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r>
        <w:rPr>
          <w:rFonts w:ascii="Garamond" w:hAnsi="Garamond" w:cs="Arial"/>
          <w:sz w:val="20"/>
          <w:szCs w:val="20"/>
        </w:rPr>
        <w:t>[</w:t>
      </w:r>
      <w:permStart w:id="1306090143" w:edGrp="everyone"/>
      <w:r w:rsidR="005B7E52">
        <w:t>krajským soudem v Plzni</w:t>
      </w:r>
      <w:permEnd w:id="1306090143"/>
      <w:r>
        <w:rPr>
          <w:rFonts w:ascii="Garamond" w:hAnsi="Garamond" w:cs="Arial"/>
          <w:sz w:val="20"/>
          <w:szCs w:val="20"/>
        </w:rPr>
        <w:t>]</w:t>
      </w:r>
      <w:r>
        <w:rPr>
          <w:rFonts w:ascii="Garamond" w:hAnsi="Garamond"/>
          <w:sz w:val="20"/>
          <w:szCs w:val="20"/>
        </w:rPr>
        <w:t xml:space="preserve">, oddíl </w:t>
      </w:r>
      <w:r>
        <w:rPr>
          <w:rFonts w:ascii="Garamond" w:hAnsi="Garamond" w:cs="Arial"/>
          <w:sz w:val="20"/>
          <w:szCs w:val="20"/>
        </w:rPr>
        <w:t>[</w:t>
      </w:r>
      <w:permStart w:id="673990494" w:edGrp="everyone"/>
      <w:r w:rsidR="0082163A">
        <w:t>37913</w:t>
      </w:r>
      <w:permEnd w:id="673990494"/>
      <w:r>
        <w:rPr>
          <w:rFonts w:ascii="Garamond" w:hAnsi="Garamond" w:cs="Arial"/>
          <w:sz w:val="20"/>
          <w:szCs w:val="20"/>
        </w:rPr>
        <w:t>]</w:t>
      </w:r>
      <w:r>
        <w:rPr>
          <w:rFonts w:ascii="Garamond" w:hAnsi="Garamond"/>
          <w:sz w:val="20"/>
          <w:szCs w:val="20"/>
        </w:rPr>
        <w:t xml:space="preserve">, vložka </w:t>
      </w:r>
      <w:r>
        <w:rPr>
          <w:rFonts w:ascii="Garamond" w:hAnsi="Garamond" w:cs="Arial"/>
          <w:sz w:val="20"/>
          <w:szCs w:val="20"/>
        </w:rPr>
        <w:t>[</w:t>
      </w:r>
      <w:permStart w:id="525558510" w:edGrp="everyone"/>
      <w:r w:rsidR="0082163A">
        <w:t>C</w:t>
      </w:r>
      <w:permEnd w:id="525558510"/>
      <w:r>
        <w:rPr>
          <w:rFonts w:ascii="Garamond" w:hAnsi="Garamond" w:cs="Arial"/>
          <w:sz w:val="20"/>
          <w:szCs w:val="20"/>
        </w:rPr>
        <w:t>]</w:t>
      </w:r>
    </w:p>
    <w:p w14:paraId="1078BFA1"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035C44D4" w14:textId="55094C91" w:rsidR="00B53C70" w:rsidRDefault="00501892">
      <w:pPr>
        <w:spacing w:after="0" w:line="240" w:lineRule="auto"/>
        <w:ind w:left="567"/>
        <w:jc w:val="both"/>
        <w:rPr>
          <w:rFonts w:ascii="Garamond" w:hAnsi="Garamond" w:cs="Arial"/>
          <w:b/>
          <w:i/>
          <w:sz w:val="20"/>
          <w:szCs w:val="20"/>
        </w:rPr>
      </w:pPr>
      <w:r>
        <w:rPr>
          <w:rFonts w:ascii="Garamond" w:hAnsi="Garamond" w:cs="Arial"/>
          <w:sz w:val="20"/>
          <w:szCs w:val="20"/>
        </w:rPr>
        <w:t>[</w:t>
      </w:r>
      <w:r w:rsidR="00E851BC">
        <w:t>XXX</w:t>
      </w:r>
      <w:r>
        <w:rPr>
          <w:rFonts w:ascii="Garamond" w:hAnsi="Garamond" w:cs="Arial"/>
          <w:sz w:val="20"/>
          <w:szCs w:val="20"/>
        </w:rPr>
        <w:t>], e-mail [</w:t>
      </w:r>
      <w:permStart w:id="1527530669" w:edGrp="everyone"/>
      <w:r w:rsidR="00E851BC">
        <w:t>XXX</w:t>
      </w:r>
      <w:permEnd w:id="1527530669"/>
      <w:r>
        <w:rPr>
          <w:rFonts w:ascii="Garamond" w:hAnsi="Garamond" w:cs="Arial"/>
          <w:sz w:val="20"/>
          <w:szCs w:val="20"/>
        </w:rPr>
        <w:t>], tel.: [</w:t>
      </w:r>
      <w:r w:rsidR="00E851BC">
        <w:t>XXX</w:t>
      </w:r>
      <w:r>
        <w:rPr>
          <w:rFonts w:ascii="Garamond" w:hAnsi="Garamond" w:cs="Arial"/>
          <w:sz w:val="20"/>
          <w:szCs w:val="20"/>
        </w:rPr>
        <w:t>] (dále jen „Kontaktní osoba Dodavatele“)</w:t>
      </w:r>
    </w:p>
    <w:p w14:paraId="05C93B7B"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13FB9595"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35A63BF0" w14:textId="6D410A5A"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Celková cena za předmět plnění: [</w:t>
      </w:r>
      <w:permStart w:id="99107997" w:edGrp="everyone"/>
      <w:r w:rsidR="00EC41D5">
        <w:t>52 890</w:t>
      </w:r>
      <w:permEnd w:id="99107997"/>
      <w:r>
        <w:rPr>
          <w:rFonts w:ascii="Garamond" w:hAnsi="Garamond" w:cs="Arial"/>
          <w:sz w:val="20"/>
          <w:szCs w:val="20"/>
        </w:rPr>
        <w:t>] Kč bez DPH.</w:t>
      </w:r>
    </w:p>
    <w:p w14:paraId="4556329D"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16E0955E"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40CEF2F1" w14:textId="77777777" w:rsidR="00B53C70" w:rsidRDefault="00501892">
      <w:pPr>
        <w:pStyle w:val="Odstavecseseznamem"/>
        <w:numPr>
          <w:ilvl w:val="1"/>
          <w:numId w:val="3"/>
        </w:numPr>
        <w:spacing w:before="120" w:after="12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5E4ADF71"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796ACE5C" w14:textId="77777777" w:rsidR="00B53C70" w:rsidRDefault="00501892">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117B973C" w14:textId="1030EDD6" w:rsidR="00B53C70" w:rsidRDefault="00501892">
      <w:pPr>
        <w:spacing w:after="0"/>
        <w:ind w:left="567" w:hanging="567"/>
        <w:jc w:val="both"/>
        <w:rPr>
          <w:rFonts w:ascii="Garamond" w:hAnsi="Garamond"/>
          <w:sz w:val="20"/>
          <w:szCs w:val="20"/>
        </w:rPr>
      </w:pPr>
      <w:r>
        <w:rPr>
          <w:rFonts w:ascii="Garamond" w:hAnsi="Garamond"/>
          <w:sz w:val="20"/>
          <w:szCs w:val="20"/>
        </w:rPr>
        <w:t>Příloha č. 2 – Technická specifikace předmětu plnění</w:t>
      </w:r>
    </w:p>
    <w:p w14:paraId="4D659D5B" w14:textId="175FD91A" w:rsidR="00222727" w:rsidRPr="00E10963" w:rsidRDefault="00472F2D" w:rsidP="00E10963">
      <w:pPr>
        <w:spacing w:after="0"/>
        <w:ind w:left="567" w:hanging="567"/>
        <w:jc w:val="both"/>
        <w:rPr>
          <w:rFonts w:ascii="Garamond" w:hAnsi="Garamond"/>
          <w:sz w:val="20"/>
          <w:szCs w:val="20"/>
        </w:rPr>
      </w:pPr>
      <w:r w:rsidRPr="00472F2D">
        <w:rPr>
          <w:rFonts w:ascii="Garamond" w:hAnsi="Garamond"/>
          <w:sz w:val="20"/>
          <w:szCs w:val="20"/>
        </w:rPr>
        <w:t xml:space="preserve">Příloha č. 3 </w:t>
      </w:r>
      <w:r w:rsidR="00C463A8" w:rsidRPr="00472F2D">
        <w:rPr>
          <w:rFonts w:ascii="Garamond" w:hAnsi="Garamond"/>
          <w:sz w:val="20"/>
          <w:szCs w:val="20"/>
        </w:rPr>
        <w:t xml:space="preserve">– </w:t>
      </w:r>
      <w:r w:rsidR="008D0B4D">
        <w:rPr>
          <w:rFonts w:ascii="Garamond" w:hAnsi="Garamond"/>
          <w:sz w:val="20"/>
          <w:szCs w:val="20"/>
        </w:rPr>
        <w:t>Tiskové podklady</w:t>
      </w:r>
      <w:r w:rsidRPr="00472F2D">
        <w:rPr>
          <w:rFonts w:ascii="Garamond" w:hAnsi="Garamond"/>
          <w:sz w:val="20"/>
          <w:szCs w:val="20"/>
        </w:rPr>
        <w:t>_PP (II</w:t>
      </w:r>
      <w:r w:rsidR="008D0B4D" w:rsidRPr="00472F2D">
        <w:rPr>
          <w:rFonts w:ascii="Garamond" w:hAnsi="Garamond"/>
          <w:sz w:val="20"/>
          <w:szCs w:val="20"/>
        </w:rPr>
        <w:t>.) -</w:t>
      </w:r>
      <w:r w:rsidRPr="00472F2D">
        <w:rPr>
          <w:rFonts w:ascii="Garamond" w:hAnsi="Garamond"/>
          <w:sz w:val="20"/>
          <w:szCs w:val="20"/>
        </w:rPr>
        <w:t>0</w:t>
      </w:r>
      <w:r w:rsidR="006B1939">
        <w:rPr>
          <w:rFonts w:ascii="Garamond" w:hAnsi="Garamond"/>
          <w:sz w:val="20"/>
          <w:szCs w:val="20"/>
        </w:rPr>
        <w:t>1</w:t>
      </w:r>
      <w:r w:rsidR="0003234F">
        <w:rPr>
          <w:rFonts w:ascii="Garamond" w:hAnsi="Garamond"/>
          <w:sz w:val="20"/>
          <w:szCs w:val="20"/>
        </w:rPr>
        <w:t>8</w:t>
      </w:r>
      <w:r w:rsidRPr="00472F2D">
        <w:rPr>
          <w:rFonts w:ascii="Garamond" w:hAnsi="Garamond"/>
          <w:sz w:val="20"/>
          <w:szCs w:val="20"/>
        </w:rPr>
        <w:t>-202</w:t>
      </w:r>
      <w:r w:rsidR="00C463A8">
        <w:rPr>
          <w:rFonts w:ascii="Garamond" w:hAnsi="Garamond"/>
          <w:sz w:val="20"/>
          <w:szCs w:val="20"/>
        </w:rPr>
        <w:t>3</w:t>
      </w:r>
    </w:p>
    <w:p w14:paraId="4E528D9D" w14:textId="77777777" w:rsidR="000E2E9C" w:rsidRDefault="000E2E9C">
      <w:pPr>
        <w:spacing w:after="0"/>
        <w:ind w:left="567" w:hanging="567"/>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222727" w14:paraId="2C6C08AE" w14:textId="77777777" w:rsidTr="00263074">
        <w:trPr>
          <w:trHeight w:val="2007"/>
        </w:trPr>
        <w:tc>
          <w:tcPr>
            <w:tcW w:w="4336" w:type="dxa"/>
          </w:tcPr>
          <w:p w14:paraId="500FACE8" w14:textId="77777777" w:rsidR="00222727" w:rsidRDefault="00222727" w:rsidP="00263074">
            <w:pPr>
              <w:spacing w:after="0"/>
              <w:jc w:val="both"/>
              <w:rPr>
                <w:rFonts w:ascii="Garamond" w:hAnsi="Garamond"/>
                <w:sz w:val="20"/>
                <w:szCs w:val="20"/>
              </w:rPr>
            </w:pPr>
            <w:r>
              <w:rPr>
                <w:rFonts w:ascii="Garamond" w:hAnsi="Garamond"/>
                <w:sz w:val="20"/>
                <w:szCs w:val="20"/>
              </w:rPr>
              <w:t>Dne (viz elektronický podpis)</w:t>
            </w:r>
          </w:p>
          <w:p w14:paraId="04691734" w14:textId="77777777" w:rsidR="00222727" w:rsidRDefault="00222727" w:rsidP="00263074">
            <w:pPr>
              <w:spacing w:after="0"/>
              <w:jc w:val="both"/>
              <w:rPr>
                <w:rFonts w:ascii="Garamond" w:hAnsi="Garamond"/>
                <w:sz w:val="20"/>
                <w:szCs w:val="20"/>
              </w:rPr>
            </w:pPr>
            <w:r>
              <w:rPr>
                <w:rFonts w:ascii="Garamond" w:hAnsi="Garamond"/>
                <w:sz w:val="20"/>
                <w:szCs w:val="20"/>
              </w:rPr>
              <w:t>Za Objednatele:</w:t>
            </w:r>
          </w:p>
          <w:p w14:paraId="4EABCDFA" w14:textId="77777777" w:rsidR="00222727" w:rsidRDefault="00222727" w:rsidP="00263074">
            <w:pPr>
              <w:spacing w:after="0"/>
              <w:jc w:val="both"/>
              <w:rPr>
                <w:rFonts w:ascii="Garamond" w:hAnsi="Garamond"/>
                <w:sz w:val="20"/>
                <w:szCs w:val="20"/>
              </w:rPr>
            </w:pPr>
          </w:p>
          <w:p w14:paraId="3009D07B" w14:textId="77777777" w:rsidR="00222727" w:rsidRDefault="00222727" w:rsidP="00263074">
            <w:pPr>
              <w:spacing w:after="0"/>
              <w:jc w:val="both"/>
              <w:rPr>
                <w:rFonts w:ascii="Garamond" w:hAnsi="Garamond"/>
                <w:sz w:val="20"/>
                <w:szCs w:val="20"/>
              </w:rPr>
            </w:pPr>
          </w:p>
          <w:p w14:paraId="038FBE4D" w14:textId="77777777" w:rsidR="00222727" w:rsidRDefault="00222727" w:rsidP="00263074">
            <w:pPr>
              <w:spacing w:after="0"/>
              <w:jc w:val="both"/>
              <w:rPr>
                <w:rFonts w:ascii="Garamond" w:hAnsi="Garamond"/>
                <w:sz w:val="20"/>
                <w:szCs w:val="20"/>
              </w:rPr>
            </w:pPr>
          </w:p>
          <w:p w14:paraId="3C844B9E" w14:textId="77777777" w:rsidR="00222727" w:rsidRDefault="00222727" w:rsidP="00263074">
            <w:pPr>
              <w:spacing w:after="0"/>
              <w:jc w:val="both"/>
              <w:rPr>
                <w:rFonts w:ascii="Garamond" w:hAnsi="Garamond"/>
                <w:sz w:val="20"/>
                <w:szCs w:val="20"/>
              </w:rPr>
            </w:pPr>
          </w:p>
          <w:p w14:paraId="3A55B65A" w14:textId="77777777" w:rsidR="00222727" w:rsidRDefault="00222727" w:rsidP="00263074">
            <w:pPr>
              <w:spacing w:after="0"/>
              <w:jc w:val="both"/>
              <w:rPr>
                <w:rFonts w:ascii="Garamond" w:hAnsi="Garamond"/>
                <w:sz w:val="20"/>
                <w:szCs w:val="20"/>
              </w:rPr>
            </w:pPr>
            <w:r>
              <w:rPr>
                <w:rFonts w:ascii="Garamond" w:hAnsi="Garamond"/>
                <w:sz w:val="20"/>
                <w:szCs w:val="20"/>
              </w:rPr>
              <w:t>-----------------------------------------------</w:t>
            </w:r>
          </w:p>
          <w:p w14:paraId="05417F41" w14:textId="77777777" w:rsidR="00222727" w:rsidRDefault="00222727" w:rsidP="00263074">
            <w:pPr>
              <w:spacing w:after="0"/>
              <w:jc w:val="both"/>
              <w:rPr>
                <w:rFonts w:ascii="Garamond" w:hAnsi="Garamond"/>
                <w:b/>
                <w:sz w:val="20"/>
                <w:szCs w:val="20"/>
              </w:rPr>
            </w:pPr>
            <w:r>
              <w:rPr>
                <w:rFonts w:ascii="Garamond" w:hAnsi="Garamond"/>
                <w:b/>
                <w:sz w:val="20"/>
                <w:szCs w:val="20"/>
              </w:rPr>
              <w:t>Západočeská univerzita v Plzni</w:t>
            </w:r>
          </w:p>
          <w:p w14:paraId="2D8E2114" w14:textId="0E6C7DBA" w:rsidR="00585B2C" w:rsidRPr="0004409C" w:rsidRDefault="00585B2C" w:rsidP="00585B2C">
            <w:pPr>
              <w:spacing w:after="0"/>
              <w:jc w:val="both"/>
              <w:rPr>
                <w:rFonts w:ascii="Garamond" w:hAnsi="Garamond"/>
                <w:sz w:val="20"/>
                <w:szCs w:val="20"/>
              </w:rPr>
            </w:pPr>
            <w:r>
              <w:rPr>
                <w:rFonts w:ascii="Garamond" w:hAnsi="Garamond"/>
                <w:sz w:val="20"/>
                <w:szCs w:val="20"/>
              </w:rPr>
              <w:t xml:space="preserve">Ing. Petr </w:t>
            </w:r>
            <w:r w:rsidR="00DB5BC4">
              <w:rPr>
                <w:rFonts w:ascii="Garamond" w:hAnsi="Garamond"/>
                <w:sz w:val="20"/>
                <w:szCs w:val="20"/>
              </w:rPr>
              <w:t>Beneš</w:t>
            </w:r>
          </w:p>
          <w:p w14:paraId="640B5745" w14:textId="4097CB51" w:rsidR="00222727" w:rsidRDefault="00585B2C" w:rsidP="00585B2C">
            <w:pPr>
              <w:spacing w:after="0"/>
              <w:jc w:val="both"/>
              <w:rPr>
                <w:rFonts w:ascii="Garamond" w:hAnsi="Garamond"/>
                <w:sz w:val="20"/>
                <w:szCs w:val="20"/>
              </w:rPr>
            </w:pPr>
            <w:r>
              <w:rPr>
                <w:rFonts w:ascii="Garamond" w:hAnsi="Garamond"/>
                <w:sz w:val="20"/>
                <w:szCs w:val="20"/>
              </w:rPr>
              <w:t>kves</w:t>
            </w:r>
            <w:r w:rsidRPr="0004409C">
              <w:rPr>
                <w:rFonts w:ascii="Garamond" w:hAnsi="Garamond"/>
                <w:sz w:val="20"/>
                <w:szCs w:val="20"/>
              </w:rPr>
              <w:t>tor</w:t>
            </w:r>
            <w:r>
              <w:rPr>
                <w:rFonts w:ascii="Garamond" w:hAnsi="Garamond"/>
                <w:sz w:val="20"/>
                <w:szCs w:val="20"/>
              </w:rPr>
              <w:br/>
            </w:r>
            <w:r w:rsidR="00222727">
              <w:rPr>
                <w:rFonts w:ascii="Garamond" w:hAnsi="Garamond"/>
                <w:i/>
                <w:sz w:val="20"/>
                <w:szCs w:val="20"/>
              </w:rPr>
              <w:t>podepsáno elektronicky</w:t>
            </w:r>
          </w:p>
        </w:tc>
        <w:tc>
          <w:tcPr>
            <w:tcW w:w="4336" w:type="dxa"/>
          </w:tcPr>
          <w:p w14:paraId="221FDF51" w14:textId="77777777" w:rsidR="00222727" w:rsidRDefault="00222727" w:rsidP="00263074">
            <w:pPr>
              <w:spacing w:after="0"/>
              <w:jc w:val="both"/>
              <w:rPr>
                <w:rFonts w:ascii="Garamond" w:hAnsi="Garamond"/>
                <w:sz w:val="20"/>
                <w:szCs w:val="20"/>
              </w:rPr>
            </w:pPr>
            <w:r>
              <w:rPr>
                <w:rFonts w:ascii="Garamond" w:hAnsi="Garamond"/>
                <w:sz w:val="20"/>
                <w:szCs w:val="20"/>
              </w:rPr>
              <w:t>Dne (viz elektronický podpis)</w:t>
            </w:r>
          </w:p>
          <w:p w14:paraId="3BC6EA76" w14:textId="77777777" w:rsidR="00222727" w:rsidRDefault="00222727" w:rsidP="00263074">
            <w:pPr>
              <w:spacing w:after="0"/>
              <w:jc w:val="both"/>
              <w:rPr>
                <w:rFonts w:ascii="Garamond" w:hAnsi="Garamond"/>
                <w:sz w:val="20"/>
                <w:szCs w:val="20"/>
              </w:rPr>
            </w:pPr>
            <w:r>
              <w:rPr>
                <w:rFonts w:ascii="Garamond" w:hAnsi="Garamond"/>
                <w:sz w:val="20"/>
                <w:szCs w:val="20"/>
              </w:rPr>
              <w:t>Za Dodavatele:</w:t>
            </w:r>
          </w:p>
          <w:p w14:paraId="591D8802" w14:textId="77777777" w:rsidR="00222727" w:rsidRDefault="00222727" w:rsidP="00263074">
            <w:pPr>
              <w:spacing w:after="0"/>
              <w:jc w:val="both"/>
              <w:rPr>
                <w:rFonts w:ascii="Garamond" w:hAnsi="Garamond"/>
                <w:sz w:val="20"/>
                <w:szCs w:val="20"/>
              </w:rPr>
            </w:pPr>
          </w:p>
          <w:p w14:paraId="5CF79814" w14:textId="77777777" w:rsidR="00222727" w:rsidRDefault="00222727" w:rsidP="00263074">
            <w:pPr>
              <w:spacing w:after="0"/>
              <w:jc w:val="both"/>
              <w:rPr>
                <w:rFonts w:ascii="Garamond" w:hAnsi="Garamond"/>
                <w:sz w:val="20"/>
                <w:szCs w:val="20"/>
              </w:rPr>
            </w:pPr>
          </w:p>
          <w:p w14:paraId="219231ED" w14:textId="77777777" w:rsidR="00222727" w:rsidRDefault="00222727" w:rsidP="00263074">
            <w:pPr>
              <w:spacing w:after="0"/>
              <w:jc w:val="both"/>
              <w:rPr>
                <w:rFonts w:ascii="Garamond" w:hAnsi="Garamond"/>
                <w:sz w:val="20"/>
                <w:szCs w:val="20"/>
              </w:rPr>
            </w:pPr>
          </w:p>
          <w:p w14:paraId="009211D7" w14:textId="77777777" w:rsidR="00222727" w:rsidRDefault="00222727" w:rsidP="00263074">
            <w:pPr>
              <w:spacing w:after="0"/>
              <w:jc w:val="both"/>
              <w:rPr>
                <w:rFonts w:ascii="Garamond" w:hAnsi="Garamond"/>
                <w:sz w:val="20"/>
                <w:szCs w:val="20"/>
              </w:rPr>
            </w:pPr>
          </w:p>
          <w:p w14:paraId="7EC3162E" w14:textId="77777777" w:rsidR="00222727" w:rsidRDefault="00222727" w:rsidP="00263074">
            <w:pPr>
              <w:spacing w:after="0"/>
              <w:jc w:val="both"/>
              <w:rPr>
                <w:rFonts w:ascii="Garamond" w:hAnsi="Garamond"/>
                <w:sz w:val="20"/>
                <w:szCs w:val="20"/>
              </w:rPr>
            </w:pPr>
            <w:r>
              <w:rPr>
                <w:rFonts w:ascii="Garamond" w:hAnsi="Garamond"/>
                <w:sz w:val="20"/>
                <w:szCs w:val="20"/>
              </w:rPr>
              <w:t xml:space="preserve">--------------------------------------------------- </w:t>
            </w:r>
          </w:p>
          <w:p w14:paraId="1D36E1F1" w14:textId="18E318E2" w:rsidR="00222727" w:rsidRDefault="00222727" w:rsidP="00263074">
            <w:pPr>
              <w:spacing w:after="0"/>
              <w:jc w:val="both"/>
              <w:rPr>
                <w:rFonts w:ascii="Garamond" w:hAnsi="Garamond"/>
                <w:i/>
                <w:sz w:val="20"/>
                <w:szCs w:val="20"/>
              </w:rPr>
            </w:pPr>
            <w:r>
              <w:rPr>
                <w:rFonts w:ascii="Garamond" w:hAnsi="Garamond"/>
                <w:sz w:val="20"/>
                <w:szCs w:val="20"/>
              </w:rPr>
              <w:t>[</w:t>
            </w:r>
            <w:permStart w:id="1721843208" w:edGrp="everyone"/>
            <w:r w:rsidR="005C2218">
              <w:t>RD Present s.r.o.</w:t>
            </w:r>
            <w:permEnd w:id="1721843208"/>
            <w:r>
              <w:rPr>
                <w:rFonts w:ascii="Garamond" w:hAnsi="Garamond"/>
                <w:sz w:val="20"/>
                <w:szCs w:val="20"/>
              </w:rPr>
              <w:t>]</w:t>
            </w:r>
          </w:p>
          <w:p w14:paraId="5D86A9E6" w14:textId="3F515B2F" w:rsidR="00222727" w:rsidRDefault="00222727" w:rsidP="00263074">
            <w:pPr>
              <w:spacing w:after="0"/>
              <w:jc w:val="both"/>
              <w:rPr>
                <w:rFonts w:ascii="Garamond" w:hAnsi="Garamond"/>
                <w:i/>
                <w:sz w:val="20"/>
                <w:szCs w:val="20"/>
              </w:rPr>
            </w:pPr>
            <w:r>
              <w:rPr>
                <w:rFonts w:ascii="Garamond" w:hAnsi="Garamond"/>
                <w:sz w:val="20"/>
                <w:szCs w:val="20"/>
              </w:rPr>
              <w:t>[</w:t>
            </w:r>
            <w:permStart w:id="1691971136" w:edGrp="everyone"/>
            <w:r w:rsidR="00081542">
              <w:t>Bc. Jan Braun</w:t>
            </w:r>
            <w:permEnd w:id="1691971136"/>
            <w:r>
              <w:rPr>
                <w:rFonts w:ascii="Garamond" w:hAnsi="Garamond"/>
                <w:sz w:val="20"/>
                <w:szCs w:val="20"/>
              </w:rPr>
              <w:t>]</w:t>
            </w:r>
          </w:p>
          <w:p w14:paraId="1230C41C" w14:textId="153C89AD" w:rsidR="00564BFC" w:rsidRDefault="00564BFC" w:rsidP="00564BFC">
            <w:pPr>
              <w:spacing w:after="0"/>
              <w:jc w:val="both"/>
              <w:rPr>
                <w:rFonts w:ascii="Garamond" w:hAnsi="Garamond"/>
                <w:i/>
                <w:sz w:val="20"/>
                <w:szCs w:val="20"/>
              </w:rPr>
            </w:pPr>
            <w:r>
              <w:rPr>
                <w:rFonts w:ascii="Garamond" w:hAnsi="Garamond"/>
                <w:sz w:val="20"/>
                <w:szCs w:val="20"/>
              </w:rPr>
              <w:t>[</w:t>
            </w:r>
            <w:permStart w:id="1955142056" w:edGrp="everyone"/>
            <w:r w:rsidR="00EC41D5">
              <w:t xml:space="preserve">jednatel </w:t>
            </w:r>
            <w:permEnd w:id="1955142056"/>
            <w:r>
              <w:rPr>
                <w:rFonts w:ascii="Garamond" w:hAnsi="Garamond"/>
                <w:sz w:val="20"/>
                <w:szCs w:val="20"/>
              </w:rPr>
              <w:t>]</w:t>
            </w:r>
          </w:p>
          <w:p w14:paraId="776D052A" w14:textId="6CBA0D18" w:rsidR="009F57CC" w:rsidRPr="00015A6A" w:rsidRDefault="00222727" w:rsidP="00263074">
            <w:pPr>
              <w:spacing w:after="0"/>
              <w:jc w:val="both"/>
              <w:rPr>
                <w:rFonts w:ascii="Garamond" w:hAnsi="Garamond"/>
                <w:i/>
                <w:sz w:val="20"/>
                <w:szCs w:val="20"/>
              </w:rPr>
            </w:pPr>
            <w:r>
              <w:rPr>
                <w:rFonts w:ascii="Garamond" w:hAnsi="Garamond"/>
                <w:i/>
                <w:sz w:val="20"/>
                <w:szCs w:val="20"/>
              </w:rPr>
              <w:t>podepsáno elektronicky</w:t>
            </w:r>
          </w:p>
        </w:tc>
      </w:tr>
    </w:tbl>
    <w:p w14:paraId="4795CEC1" w14:textId="77777777" w:rsidR="00222727" w:rsidRDefault="00222727">
      <w:pPr>
        <w:spacing w:after="0"/>
        <w:jc w:val="both"/>
        <w:rPr>
          <w:rFonts w:ascii="Garamond" w:hAnsi="Garamond"/>
          <w:sz w:val="20"/>
          <w:szCs w:val="20"/>
        </w:rPr>
        <w:sectPr w:rsidR="00222727" w:rsidSect="00C463A8">
          <w:headerReference w:type="default" r:id="rId7"/>
          <w:footerReference w:type="default" r:id="rId8"/>
          <w:headerReference w:type="first" r:id="rId9"/>
          <w:footerReference w:type="first" r:id="rId10"/>
          <w:pgSz w:w="11906" w:h="16838"/>
          <w:pgMar w:top="1418" w:right="1418" w:bottom="567" w:left="1418" w:header="709" w:footer="0" w:gutter="0"/>
          <w:cols w:space="708"/>
          <w:titlePg/>
          <w:docGrid w:linePitch="360"/>
        </w:sectPr>
      </w:pPr>
    </w:p>
    <w:p w14:paraId="5929B042" w14:textId="77777777" w:rsidR="00B53C70" w:rsidRDefault="00501892">
      <w:pPr>
        <w:rPr>
          <w:rFonts w:ascii="Garamond" w:hAnsi="Garamond" w:cs="Arial"/>
          <w:b/>
          <w:sz w:val="28"/>
          <w:szCs w:val="28"/>
        </w:rPr>
      </w:pPr>
      <w:r>
        <w:rPr>
          <w:rFonts w:ascii="Garamond" w:hAnsi="Garamond" w:cs="Arial"/>
          <w:b/>
          <w:sz w:val="28"/>
          <w:szCs w:val="28"/>
        </w:rPr>
        <w:lastRenderedPageBreak/>
        <w:t>Příloha č. 1 – Obchodní a platební podmínky</w:t>
      </w:r>
    </w:p>
    <w:p w14:paraId="2F5BAE44" w14:textId="77777777" w:rsidR="00B53C70" w:rsidRDefault="00501892">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6B393BD2" w14:textId="77777777" w:rsidR="00B53C70" w:rsidRDefault="00501892">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0DB8CE5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05CFC9F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0F84396A"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5E9B56D2" w14:textId="77777777" w:rsidR="00B53C70" w:rsidRDefault="00501892">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085EA2CA"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3197D376"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28981290"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6D0CD6BB"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096BB85"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51A4B342"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367DD1EE"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13EB60F8"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47F3C4D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6DD32F2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59C54DE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2E6DA3">
        <w:rPr>
          <w:rFonts w:ascii="Garamond" w:hAnsi="Garamond" w:cs="Arial"/>
          <w:sz w:val="20"/>
          <w:szCs w:val="20"/>
        </w:rPr>
        <w:t xml:space="preserve">bankovním převodem, </w:t>
      </w:r>
      <w:r w:rsidR="002E6DA3">
        <w:rPr>
          <w:rFonts w:ascii="Garamond" w:hAnsi="Garamond" w:cs="Arial"/>
          <w:sz w:val="20"/>
          <w:szCs w:val="20"/>
        </w:rPr>
        <w:br/>
      </w:r>
      <w:r>
        <w:rPr>
          <w:rFonts w:ascii="Garamond" w:hAnsi="Garamond" w:cs="Arial"/>
          <w:sz w:val="20"/>
          <w:szCs w:val="20"/>
        </w:rPr>
        <w:t>v české měně na základě daňového dokladu (dále jen „faktura“) vystaveného Dodavatelem a doručeného Objednateli.</w:t>
      </w:r>
      <w:r w:rsidR="0096725F">
        <w:rPr>
          <w:rFonts w:ascii="Garamond" w:hAnsi="Garamond" w:cs="Arial"/>
          <w:sz w:val="20"/>
          <w:szCs w:val="20"/>
        </w:rPr>
        <w:t xml:space="preserve"> </w:t>
      </w:r>
    </w:p>
    <w:p w14:paraId="014A634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1DCF2B6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2FC1DAE1"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AF6A66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235A38D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574243B3" w14:textId="77777777" w:rsidR="00B53C70" w:rsidRDefault="00501892">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242C1673"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4A660D3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817111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37F67139"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04626C74"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4EE76253"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1DB3EF3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1AED858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252920E8"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Dodavatel </w:t>
      </w:r>
      <w:r w:rsidR="002E6DA3">
        <w:rPr>
          <w:rFonts w:ascii="Garamond" w:hAnsi="Garamond"/>
          <w:sz w:val="20"/>
          <w:szCs w:val="20"/>
        </w:rPr>
        <w:t xml:space="preserve">bere na vědomí, že Objednatel je subjektem povinným uveřejňovat smlouvy dle zákona č. 340/2015 Sb., </w:t>
      </w:r>
      <w:r w:rsidR="002E6DA3">
        <w:rPr>
          <w:rFonts w:ascii="Garamond" w:hAnsi="Garamond"/>
          <w:i/>
          <w:sz w:val="20"/>
          <w:szCs w:val="20"/>
        </w:rPr>
        <w:t>o zvláštních podmínkách účinnosti některých smluv, uveřejňování těchto smluv a o registru smluv</w:t>
      </w:r>
      <w:r w:rsidR="002E6DA3">
        <w:rPr>
          <w:rFonts w:ascii="Garamond" w:hAnsi="Garamond"/>
          <w:sz w:val="20"/>
          <w:szCs w:val="20"/>
        </w:rPr>
        <w:t>, a pokud Smlouva splňuje podmínky pro uveřejnění, Objednatel Smlouvu uveřejní v registru smluv. Rozhodnou skutečností</w:t>
      </w:r>
      <w:r w:rsidR="002E6DA3">
        <w:rPr>
          <w:rFonts w:ascii="Garamond" w:hAnsi="Garamond" w:cs="Arial"/>
          <w:sz w:val="20"/>
          <w:szCs w:val="20"/>
        </w:rPr>
        <w:t xml:space="preserve"> pro uveřejnění Smlouvy v registru je, že celková cena za předmět plnění převyšuje 50.000 Kč bez DPH.</w:t>
      </w:r>
    </w:p>
    <w:p w14:paraId="35E01DF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71EAD469"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58E3C31E"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4C14338"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753C95B4"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30481CD8"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5987471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 xml:space="preserve">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w:t>
      </w:r>
    </w:p>
    <w:p w14:paraId="35BEEEC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78DC508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370ABA11"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3190E27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1E4BA86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57871B81"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7536F947"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V případě prodlení </w:t>
      </w:r>
      <w:r w:rsidR="00200051">
        <w:rPr>
          <w:rFonts w:ascii="Garamond" w:hAnsi="Garamond" w:cs="Arial"/>
          <w:sz w:val="20"/>
          <w:szCs w:val="20"/>
        </w:rPr>
        <w:t>Dodavatele s dodáním předmětu plnění (popř. samostatné dílčí části) je Dodavatel povinen zaplatit smluvní pokutu ve výši 0,5 % z celkové ceny předmětu plnění (bez DPH) za každý, byť i jen započatý den prodlení.</w:t>
      </w:r>
    </w:p>
    <w:p w14:paraId="59061BB1" w14:textId="77777777" w:rsidR="00780225" w:rsidRPr="00780225" w:rsidRDefault="00501892" w:rsidP="00780225">
      <w:pPr>
        <w:pStyle w:val="Odstavecseseznamem"/>
        <w:numPr>
          <w:ilvl w:val="1"/>
          <w:numId w:val="4"/>
        </w:numPr>
        <w:spacing w:before="120" w:after="120"/>
        <w:ind w:left="567" w:hanging="567"/>
        <w:contextualSpacing w:val="0"/>
        <w:jc w:val="both"/>
        <w:rPr>
          <w:rFonts w:ascii="Garamond" w:hAnsi="Garamond" w:cs="Arial"/>
          <w:sz w:val="20"/>
          <w:szCs w:val="20"/>
        </w:rPr>
      </w:pPr>
      <w:r w:rsidRPr="00780225">
        <w:rPr>
          <w:rFonts w:ascii="Garamond" w:hAnsi="Garamond" w:cs="Arial"/>
          <w:sz w:val="20"/>
          <w:szCs w:val="20"/>
        </w:rPr>
        <w:t xml:space="preserve">V případě prodlení Dodavatele s nástupem k odstranění záruční vady ve lhůtě dle čl. 5.4, nebo 5.6 je Dodavatel povinen zaplatit smluvní pokutu ve výši 0,5 % </w:t>
      </w:r>
      <w:r w:rsidR="00780225" w:rsidRPr="00780225">
        <w:rPr>
          <w:rFonts w:ascii="Garamond" w:hAnsi="Garamond" w:cs="Arial"/>
          <w:sz w:val="20"/>
          <w:szCs w:val="20"/>
        </w:rPr>
        <w:t>z celkové ceny předmětu plnění (bez DPH) za každý, byť i jen započatý den prodlení.</w:t>
      </w:r>
    </w:p>
    <w:p w14:paraId="5A613BB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w:t>
      </w:r>
      <w:r w:rsidR="00D044DD">
        <w:rPr>
          <w:rFonts w:ascii="Garamond" w:hAnsi="Garamond" w:cs="Arial"/>
          <w:sz w:val="20"/>
          <w:szCs w:val="20"/>
        </w:rPr>
        <w:t>případě prodlení Dodavatele s odstraněním záruční vady ve lhůtě dle čl. 5.5, nebo 5.6 je Dodavatel povinen zaplatit smluvní pokutu ve výši 0,5 % z celkové ceny předmětu plnění (bez DPH) za každý, byť i jen započatý den prodlení.</w:t>
      </w:r>
    </w:p>
    <w:p w14:paraId="5F3D340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4A01A1C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3BA7E95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33B09D15"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1986F19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68EFFCB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59BEA270"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016A981B"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7159E91F"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215135A3"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43837878"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25B16DA9"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22C8AC9C" w14:textId="77777777" w:rsidR="00B53C70" w:rsidRDefault="00501892">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0792A9B4" w14:textId="77777777" w:rsidR="00B53C70" w:rsidRDefault="00501892">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20850761" w14:textId="77777777" w:rsidR="00B53C70" w:rsidRDefault="00501892">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2A78D56D" w14:textId="77777777" w:rsidR="00B53C70" w:rsidRDefault="00501892">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78A0917C"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42FA288D"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11F26F49"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1CA3F0A1"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853114D"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05CB9563"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6E2EA558"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0E8A0B85"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0E8AC2E" w14:textId="77777777" w:rsidR="00B53C70" w:rsidRDefault="00501892">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2249C2" w14:textId="77777777" w:rsidR="00B53C70" w:rsidRDefault="00501892">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13748AA5"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78F79662"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4D512184"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3C7F9ECB"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06FBA36C"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7EB91942"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E0AED91"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24489F6E"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11190AF1" w14:textId="77777777" w:rsidR="00B53C70" w:rsidRDefault="00501892">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8C57A13" w14:textId="77777777" w:rsidR="00B53C70" w:rsidRDefault="00501892">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AE8D910" w14:textId="77777777" w:rsidR="00B53C70" w:rsidRDefault="00501892">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71DBEA17" w14:textId="77777777" w:rsidR="00B53C70" w:rsidRDefault="00501892">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1CB065CD" w14:textId="77777777" w:rsidR="00B53C70" w:rsidRDefault="00501892">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363E1D40" w14:textId="77777777" w:rsidR="00B53C70" w:rsidRDefault="00501892">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07F4E770"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95F563A"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397BE528"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113138F" w14:textId="77777777" w:rsidR="00B53C70" w:rsidRDefault="00501892">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33E24199" w14:textId="77777777" w:rsidR="00B53C70" w:rsidRDefault="00501892">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FB4C99"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08B63E09"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52769870"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2AC2F13B" w14:textId="77777777" w:rsidR="00B53C70" w:rsidRDefault="00501892">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13AD3788"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773820BD"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3F4CE5AD"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413F0CC"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C097883"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6260E81E"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3AB5BF62"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697BEF6F" w14:textId="77777777" w:rsidR="00B53C70" w:rsidRDefault="00501892">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529D778C" w14:textId="77777777" w:rsidR="00B53C70" w:rsidRDefault="00501892">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7E002A38"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760A9EA" w14:textId="77777777" w:rsidR="00B53C70" w:rsidRDefault="00501892">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26374B7" w14:textId="77777777" w:rsidR="00B53C70" w:rsidRDefault="00501892">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3C8149E0"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46FBF576"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B048D9A"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08B92FB4"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4367CF4D"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00889EAF"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143C4DA8"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687BF4B4"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B53C70" w:rsidSect="00C463A8">
      <w:pgSz w:w="11906" w:h="16838"/>
      <w:pgMar w:top="1417" w:right="1417" w:bottom="1417" w:left="1417" w:header="708" w:footer="2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688A2" w14:textId="77777777" w:rsidR="006939D1" w:rsidRDefault="006939D1">
      <w:pPr>
        <w:spacing w:after="0" w:line="240" w:lineRule="auto"/>
      </w:pPr>
      <w:r>
        <w:separator/>
      </w:r>
    </w:p>
  </w:endnote>
  <w:endnote w:type="continuationSeparator" w:id="0">
    <w:p w14:paraId="3FEA5C7B" w14:textId="77777777" w:rsidR="006939D1" w:rsidRDefault="0069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45B5" w14:textId="02699770" w:rsidR="00C463A8" w:rsidRDefault="00C463A8">
    <w:pPr>
      <w:pStyle w:val="Zpat"/>
    </w:pPr>
  </w:p>
  <w:p w14:paraId="424CC735" w14:textId="77777777" w:rsidR="00206A2A" w:rsidRDefault="00206A2A" w:rsidP="00D04D7F">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CBDA" w14:textId="56763F0A" w:rsidR="00C463A8" w:rsidRDefault="00C463A8">
    <w:pPr>
      <w:pStyle w:val="Zpat"/>
    </w:pPr>
  </w:p>
  <w:p w14:paraId="712F15DE" w14:textId="77777777" w:rsidR="00C463A8" w:rsidRDefault="00C463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A155D" w14:textId="77777777" w:rsidR="006939D1" w:rsidRDefault="006939D1">
      <w:pPr>
        <w:spacing w:after="0" w:line="240" w:lineRule="auto"/>
      </w:pPr>
      <w:r>
        <w:separator/>
      </w:r>
    </w:p>
  </w:footnote>
  <w:footnote w:type="continuationSeparator" w:id="0">
    <w:p w14:paraId="72E168C0" w14:textId="77777777" w:rsidR="006939D1" w:rsidRDefault="006939D1">
      <w:pPr>
        <w:spacing w:after="0" w:line="240" w:lineRule="auto"/>
      </w:pPr>
      <w:r>
        <w:continuationSeparator/>
      </w:r>
    </w:p>
  </w:footnote>
  <w:footnote w:id="1">
    <w:p w14:paraId="3FE92E6D" w14:textId="77777777" w:rsidR="00B53C70" w:rsidRDefault="00501892">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D100" w14:textId="554004A4" w:rsidR="00B53C70" w:rsidRDefault="00501892">
    <w:pPr>
      <w:spacing w:before="60" w:after="60"/>
      <w:jc w:val="right"/>
      <w:rPr>
        <w:rFonts w:ascii="Garamond" w:hAnsi="Garamond" w:cs="Palatino Linotype"/>
        <w:color w:val="000000"/>
      </w:rPr>
    </w:pPr>
    <w:r>
      <w:rPr>
        <w:rFonts w:ascii="Garamond" w:hAnsi="Garamond" w:cs="Palatino Linotype"/>
        <w:color w:val="000000"/>
      </w:rPr>
      <w:t>Smlouva č. objednatele:</w:t>
    </w:r>
    <w:r w:rsidR="00E35F0E">
      <w:rPr>
        <w:rFonts w:ascii="Garamond" w:hAnsi="Garamond" w:cs="Palatino Linotype"/>
        <w:color w:val="000000"/>
      </w:rPr>
      <w:t xml:space="preserve"> </w:t>
    </w:r>
    <w:r w:rsidRPr="00104D40">
      <w:rPr>
        <w:rFonts w:ascii="Garamond" w:hAnsi="Garamond" w:cs="Palatino Linotype"/>
        <w:color w:val="000000"/>
      </w:rPr>
      <w:t>P2</w:t>
    </w:r>
    <w:r w:rsidR="00C463A8">
      <w:rPr>
        <w:rFonts w:ascii="Garamond" w:hAnsi="Garamond" w:cs="Palatino Linotype"/>
        <w:color w:val="000000"/>
      </w:rPr>
      <w:t>3</w:t>
    </w:r>
    <w:r w:rsidRPr="00104D40">
      <w:rPr>
        <w:rFonts w:ascii="Garamond" w:hAnsi="Garamond" w:cs="Palatino Linotype"/>
        <w:color w:val="000000"/>
      </w:rPr>
      <w:t>V00000</w:t>
    </w:r>
    <w:r w:rsidR="0003234F">
      <w:rPr>
        <w:rFonts w:ascii="Garamond" w:hAnsi="Garamond" w:cs="Palatino Linotype"/>
        <w:color w:val="000000"/>
      </w:rPr>
      <w:t>365</w:t>
    </w:r>
    <w:r w:rsidRPr="00104D40">
      <w:rPr>
        <w:rFonts w:ascii="Garamond" w:hAnsi="Garamond" w:cs="Palatino Linotype"/>
        <w:color w:val="000000"/>
      </w:rPr>
      <w:t xml:space="preserve"> (dále</w:t>
    </w:r>
    <w:r>
      <w:rPr>
        <w:rFonts w:ascii="Garamond" w:hAnsi="Garamond" w:cs="Palatino Linotype"/>
        <w:color w:val="000000"/>
      </w:rPr>
      <w:t xml:space="preserve"> jen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A34" w14:textId="77777777" w:rsidR="00B53C70" w:rsidRDefault="00501892">
    <w:pPr>
      <w:pStyle w:val="Zhlav"/>
    </w:pPr>
    <w:r>
      <w:rPr>
        <w:rFonts w:ascii="Garamond" w:hAnsi="Garamond"/>
        <w:noProof/>
        <w:sz w:val="32"/>
        <w:szCs w:val="36"/>
      </w:rPr>
      <mc:AlternateContent>
        <mc:Choice Requires="wpg">
          <w:drawing>
            <wp:inline distT="0" distB="0" distL="0" distR="0" wp14:anchorId="7171391F" wp14:editId="1FA96089">
              <wp:extent cx="878774" cy="402553"/>
              <wp:effectExtent l="0" t="0" r="0" b="0"/>
              <wp:docPr id="8"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9.2pt;height:31.7pt;" strokeweight="0.75pt">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23EB"/>
    <w:multiLevelType w:val="hybridMultilevel"/>
    <w:tmpl w:val="6F56A004"/>
    <w:lvl w:ilvl="0" w:tplc="20CC99D8">
      <w:start w:val="1"/>
      <w:numFmt w:val="lowerLetter"/>
      <w:lvlText w:val="%1)"/>
      <w:lvlJc w:val="left"/>
      <w:pPr>
        <w:ind w:left="1080" w:hanging="360"/>
      </w:pPr>
      <w:rPr>
        <w:rFonts w:cs="Arial" w:hint="default"/>
      </w:rPr>
    </w:lvl>
    <w:lvl w:ilvl="1" w:tplc="A04E6B96">
      <w:start w:val="1"/>
      <w:numFmt w:val="lowerLetter"/>
      <w:lvlText w:val="%2."/>
      <w:lvlJc w:val="left"/>
      <w:pPr>
        <w:ind w:left="1800" w:hanging="360"/>
      </w:pPr>
    </w:lvl>
    <w:lvl w:ilvl="2" w:tplc="FBCE97B8">
      <w:start w:val="1"/>
      <w:numFmt w:val="lowerRoman"/>
      <w:lvlText w:val="%3."/>
      <w:lvlJc w:val="right"/>
      <w:pPr>
        <w:ind w:left="2520" w:hanging="180"/>
      </w:pPr>
    </w:lvl>
    <w:lvl w:ilvl="3" w:tplc="147C3FB6">
      <w:start w:val="1"/>
      <w:numFmt w:val="decimal"/>
      <w:lvlText w:val="%4."/>
      <w:lvlJc w:val="left"/>
      <w:pPr>
        <w:ind w:left="3240" w:hanging="360"/>
      </w:pPr>
    </w:lvl>
    <w:lvl w:ilvl="4" w:tplc="8A021702">
      <w:start w:val="1"/>
      <w:numFmt w:val="lowerLetter"/>
      <w:lvlText w:val="%5."/>
      <w:lvlJc w:val="left"/>
      <w:pPr>
        <w:ind w:left="3960" w:hanging="360"/>
      </w:pPr>
    </w:lvl>
    <w:lvl w:ilvl="5" w:tplc="0590CEFE">
      <w:start w:val="1"/>
      <w:numFmt w:val="lowerRoman"/>
      <w:lvlText w:val="%6."/>
      <w:lvlJc w:val="right"/>
      <w:pPr>
        <w:ind w:left="4680" w:hanging="180"/>
      </w:pPr>
    </w:lvl>
    <w:lvl w:ilvl="6" w:tplc="928A3F72">
      <w:start w:val="1"/>
      <w:numFmt w:val="decimal"/>
      <w:lvlText w:val="%7."/>
      <w:lvlJc w:val="left"/>
      <w:pPr>
        <w:ind w:left="5400" w:hanging="360"/>
      </w:pPr>
    </w:lvl>
    <w:lvl w:ilvl="7" w:tplc="50C86E60">
      <w:start w:val="1"/>
      <w:numFmt w:val="lowerLetter"/>
      <w:lvlText w:val="%8."/>
      <w:lvlJc w:val="left"/>
      <w:pPr>
        <w:ind w:left="6120" w:hanging="360"/>
      </w:pPr>
    </w:lvl>
    <w:lvl w:ilvl="8" w:tplc="B1965544">
      <w:start w:val="1"/>
      <w:numFmt w:val="lowerRoman"/>
      <w:lvlText w:val="%9."/>
      <w:lvlJc w:val="right"/>
      <w:pPr>
        <w:ind w:left="6840" w:hanging="180"/>
      </w:pPr>
    </w:lvl>
  </w:abstractNum>
  <w:abstractNum w:abstractNumId="1" w15:restartNumberingAfterBreak="0">
    <w:nsid w:val="1B5823CE"/>
    <w:multiLevelType w:val="multilevel"/>
    <w:tmpl w:val="CC10270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1926AC8"/>
    <w:multiLevelType w:val="hybridMultilevel"/>
    <w:tmpl w:val="9BC0A13E"/>
    <w:lvl w:ilvl="0" w:tplc="471A0586">
      <w:start w:val="1"/>
      <w:numFmt w:val="lowerLetter"/>
      <w:lvlText w:val="%1)"/>
      <w:lvlJc w:val="left"/>
      <w:pPr>
        <w:ind w:left="1080" w:hanging="360"/>
      </w:pPr>
      <w:rPr>
        <w:rFonts w:cs="Arial" w:hint="default"/>
      </w:rPr>
    </w:lvl>
    <w:lvl w:ilvl="1" w:tplc="200231E4">
      <w:start w:val="1"/>
      <w:numFmt w:val="lowerLetter"/>
      <w:lvlText w:val="%2."/>
      <w:lvlJc w:val="left"/>
      <w:pPr>
        <w:ind w:left="1800" w:hanging="360"/>
      </w:pPr>
    </w:lvl>
    <w:lvl w:ilvl="2" w:tplc="4B8208C0">
      <w:start w:val="1"/>
      <w:numFmt w:val="lowerRoman"/>
      <w:lvlText w:val="%3."/>
      <w:lvlJc w:val="right"/>
      <w:pPr>
        <w:ind w:left="2520" w:hanging="180"/>
      </w:pPr>
    </w:lvl>
    <w:lvl w:ilvl="3" w:tplc="192E6F3E">
      <w:start w:val="1"/>
      <w:numFmt w:val="decimal"/>
      <w:lvlText w:val="%4."/>
      <w:lvlJc w:val="left"/>
      <w:pPr>
        <w:ind w:left="3240" w:hanging="360"/>
      </w:pPr>
    </w:lvl>
    <w:lvl w:ilvl="4" w:tplc="FD30E5E2">
      <w:start w:val="1"/>
      <w:numFmt w:val="lowerLetter"/>
      <w:lvlText w:val="%5."/>
      <w:lvlJc w:val="left"/>
      <w:pPr>
        <w:ind w:left="3960" w:hanging="360"/>
      </w:pPr>
    </w:lvl>
    <w:lvl w:ilvl="5" w:tplc="C83E6EB4">
      <w:start w:val="1"/>
      <w:numFmt w:val="lowerRoman"/>
      <w:lvlText w:val="%6."/>
      <w:lvlJc w:val="right"/>
      <w:pPr>
        <w:ind w:left="4680" w:hanging="180"/>
      </w:pPr>
    </w:lvl>
    <w:lvl w:ilvl="6" w:tplc="9236A398">
      <w:start w:val="1"/>
      <w:numFmt w:val="decimal"/>
      <w:lvlText w:val="%7."/>
      <w:lvlJc w:val="left"/>
      <w:pPr>
        <w:ind w:left="5400" w:hanging="360"/>
      </w:pPr>
    </w:lvl>
    <w:lvl w:ilvl="7" w:tplc="AD8AF842">
      <w:start w:val="1"/>
      <w:numFmt w:val="lowerLetter"/>
      <w:lvlText w:val="%8."/>
      <w:lvlJc w:val="left"/>
      <w:pPr>
        <w:ind w:left="6120" w:hanging="360"/>
      </w:pPr>
    </w:lvl>
    <w:lvl w:ilvl="8" w:tplc="87BE1D2C">
      <w:start w:val="1"/>
      <w:numFmt w:val="lowerRoman"/>
      <w:lvlText w:val="%9."/>
      <w:lvlJc w:val="right"/>
      <w:pPr>
        <w:ind w:left="6840" w:hanging="180"/>
      </w:pPr>
    </w:lvl>
  </w:abstractNum>
  <w:abstractNum w:abstractNumId="3" w15:restartNumberingAfterBreak="0">
    <w:nsid w:val="32A46976"/>
    <w:multiLevelType w:val="multilevel"/>
    <w:tmpl w:val="93442E0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330F05C4"/>
    <w:multiLevelType w:val="multilevel"/>
    <w:tmpl w:val="C8F2925C"/>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190442"/>
    <w:multiLevelType w:val="multilevel"/>
    <w:tmpl w:val="6B54132E"/>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C552835"/>
    <w:multiLevelType w:val="multilevel"/>
    <w:tmpl w:val="489AA9C6"/>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0D0740C"/>
    <w:multiLevelType w:val="hybridMultilevel"/>
    <w:tmpl w:val="7248B1A6"/>
    <w:lvl w:ilvl="0" w:tplc="BBFC3372">
      <w:start w:val="1"/>
      <w:numFmt w:val="decimal"/>
      <w:lvlText w:val="%1."/>
      <w:lvlJc w:val="left"/>
      <w:pPr>
        <w:tabs>
          <w:tab w:val="num" w:pos="720"/>
        </w:tabs>
        <w:ind w:left="720" w:hanging="720"/>
      </w:pPr>
    </w:lvl>
    <w:lvl w:ilvl="1" w:tplc="09C66F30">
      <w:start w:val="1"/>
      <w:numFmt w:val="decimal"/>
      <w:lvlText w:val="%2."/>
      <w:lvlJc w:val="left"/>
      <w:pPr>
        <w:tabs>
          <w:tab w:val="num" w:pos="1440"/>
        </w:tabs>
        <w:ind w:left="1440" w:hanging="720"/>
      </w:pPr>
    </w:lvl>
    <w:lvl w:ilvl="2" w:tplc="FF8EA848">
      <w:start w:val="1"/>
      <w:numFmt w:val="decimal"/>
      <w:lvlText w:val="%3."/>
      <w:lvlJc w:val="left"/>
      <w:pPr>
        <w:tabs>
          <w:tab w:val="num" w:pos="2160"/>
        </w:tabs>
        <w:ind w:left="2160" w:hanging="720"/>
      </w:pPr>
    </w:lvl>
    <w:lvl w:ilvl="3" w:tplc="41689ECC">
      <w:start w:val="1"/>
      <w:numFmt w:val="decimal"/>
      <w:lvlText w:val="%4."/>
      <w:lvlJc w:val="left"/>
      <w:pPr>
        <w:tabs>
          <w:tab w:val="num" w:pos="2880"/>
        </w:tabs>
        <w:ind w:left="2880" w:hanging="720"/>
      </w:pPr>
    </w:lvl>
    <w:lvl w:ilvl="4" w:tplc="7A7C5130">
      <w:start w:val="1"/>
      <w:numFmt w:val="decimal"/>
      <w:lvlText w:val="%5."/>
      <w:lvlJc w:val="left"/>
      <w:pPr>
        <w:tabs>
          <w:tab w:val="num" w:pos="3600"/>
        </w:tabs>
        <w:ind w:left="3600" w:hanging="720"/>
      </w:pPr>
    </w:lvl>
    <w:lvl w:ilvl="5" w:tplc="FEB87CF6">
      <w:start w:val="1"/>
      <w:numFmt w:val="decimal"/>
      <w:lvlText w:val="%6."/>
      <w:lvlJc w:val="left"/>
      <w:pPr>
        <w:tabs>
          <w:tab w:val="num" w:pos="4320"/>
        </w:tabs>
        <w:ind w:left="4320" w:hanging="720"/>
      </w:pPr>
    </w:lvl>
    <w:lvl w:ilvl="6" w:tplc="7E88C7A0">
      <w:start w:val="1"/>
      <w:numFmt w:val="decimal"/>
      <w:lvlText w:val="%7."/>
      <w:lvlJc w:val="left"/>
      <w:pPr>
        <w:tabs>
          <w:tab w:val="num" w:pos="5040"/>
        </w:tabs>
        <w:ind w:left="5040" w:hanging="720"/>
      </w:pPr>
    </w:lvl>
    <w:lvl w:ilvl="7" w:tplc="B9B85538">
      <w:start w:val="1"/>
      <w:numFmt w:val="decimal"/>
      <w:lvlText w:val="%8."/>
      <w:lvlJc w:val="left"/>
      <w:pPr>
        <w:tabs>
          <w:tab w:val="num" w:pos="5760"/>
        </w:tabs>
        <w:ind w:left="5760" w:hanging="720"/>
      </w:pPr>
    </w:lvl>
    <w:lvl w:ilvl="8" w:tplc="AE4E7C54">
      <w:start w:val="1"/>
      <w:numFmt w:val="decimal"/>
      <w:lvlText w:val="%9."/>
      <w:lvlJc w:val="left"/>
      <w:pPr>
        <w:tabs>
          <w:tab w:val="num" w:pos="6480"/>
        </w:tabs>
        <w:ind w:left="6480" w:hanging="720"/>
      </w:pPr>
    </w:lvl>
  </w:abstractNum>
  <w:abstractNum w:abstractNumId="8" w15:restartNumberingAfterBreak="0">
    <w:nsid w:val="5C0F722A"/>
    <w:multiLevelType w:val="hybridMultilevel"/>
    <w:tmpl w:val="E752EEF6"/>
    <w:lvl w:ilvl="0" w:tplc="F3ACCB9C">
      <w:start w:val="1"/>
      <w:numFmt w:val="lowerLetter"/>
      <w:lvlText w:val="%1)"/>
      <w:lvlJc w:val="left"/>
      <w:pPr>
        <w:ind w:left="1080" w:hanging="360"/>
      </w:pPr>
      <w:rPr>
        <w:rFonts w:cs="Arial" w:hint="default"/>
      </w:rPr>
    </w:lvl>
    <w:lvl w:ilvl="1" w:tplc="BF165388">
      <w:start w:val="1"/>
      <w:numFmt w:val="lowerLetter"/>
      <w:lvlText w:val="%2."/>
      <w:lvlJc w:val="left"/>
      <w:pPr>
        <w:ind w:left="1800" w:hanging="360"/>
      </w:pPr>
    </w:lvl>
    <w:lvl w:ilvl="2" w:tplc="F51836A0">
      <w:start w:val="1"/>
      <w:numFmt w:val="lowerRoman"/>
      <w:lvlText w:val="%3."/>
      <w:lvlJc w:val="right"/>
      <w:pPr>
        <w:ind w:left="2520" w:hanging="180"/>
      </w:pPr>
    </w:lvl>
    <w:lvl w:ilvl="3" w:tplc="F62EFC80">
      <w:start w:val="1"/>
      <w:numFmt w:val="decimal"/>
      <w:lvlText w:val="%4."/>
      <w:lvlJc w:val="left"/>
      <w:pPr>
        <w:ind w:left="3240" w:hanging="360"/>
      </w:pPr>
    </w:lvl>
    <w:lvl w:ilvl="4" w:tplc="5CCC7B5C">
      <w:start w:val="1"/>
      <w:numFmt w:val="lowerLetter"/>
      <w:lvlText w:val="%5."/>
      <w:lvlJc w:val="left"/>
      <w:pPr>
        <w:ind w:left="3960" w:hanging="360"/>
      </w:pPr>
    </w:lvl>
    <w:lvl w:ilvl="5" w:tplc="E47CFFC6">
      <w:start w:val="1"/>
      <w:numFmt w:val="lowerRoman"/>
      <w:lvlText w:val="%6."/>
      <w:lvlJc w:val="right"/>
      <w:pPr>
        <w:ind w:left="4680" w:hanging="180"/>
      </w:pPr>
    </w:lvl>
    <w:lvl w:ilvl="6" w:tplc="DA860928">
      <w:start w:val="1"/>
      <w:numFmt w:val="decimal"/>
      <w:lvlText w:val="%7."/>
      <w:lvlJc w:val="left"/>
      <w:pPr>
        <w:ind w:left="5400" w:hanging="360"/>
      </w:pPr>
    </w:lvl>
    <w:lvl w:ilvl="7" w:tplc="AA9EF824">
      <w:start w:val="1"/>
      <w:numFmt w:val="lowerLetter"/>
      <w:lvlText w:val="%8."/>
      <w:lvlJc w:val="left"/>
      <w:pPr>
        <w:ind w:left="6120" w:hanging="360"/>
      </w:pPr>
    </w:lvl>
    <w:lvl w:ilvl="8" w:tplc="2742824E">
      <w:start w:val="1"/>
      <w:numFmt w:val="lowerRoman"/>
      <w:lvlText w:val="%9."/>
      <w:lvlJc w:val="right"/>
      <w:pPr>
        <w:ind w:left="6840" w:hanging="180"/>
      </w:pPr>
    </w:lvl>
  </w:abstractNum>
  <w:abstractNum w:abstractNumId="9"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F2670A9"/>
    <w:multiLevelType w:val="hybridMultilevel"/>
    <w:tmpl w:val="9FB6B0D6"/>
    <w:lvl w:ilvl="0" w:tplc="B01CB8BC">
      <w:start w:val="1"/>
      <w:numFmt w:val="lowerLetter"/>
      <w:lvlText w:val="%1)"/>
      <w:lvlJc w:val="left"/>
      <w:pPr>
        <w:ind w:left="1776" w:hanging="360"/>
      </w:pPr>
      <w:rPr>
        <w:rFonts w:hint="default"/>
      </w:rPr>
    </w:lvl>
    <w:lvl w:ilvl="1" w:tplc="B4D4BE96">
      <w:start w:val="1"/>
      <w:numFmt w:val="lowerLetter"/>
      <w:lvlText w:val="%2."/>
      <w:lvlJc w:val="left"/>
      <w:pPr>
        <w:ind w:left="2496" w:hanging="360"/>
      </w:pPr>
    </w:lvl>
    <w:lvl w:ilvl="2" w:tplc="17D6DD56">
      <w:start w:val="1"/>
      <w:numFmt w:val="lowerRoman"/>
      <w:lvlText w:val="%3."/>
      <w:lvlJc w:val="right"/>
      <w:pPr>
        <w:ind w:left="3216" w:hanging="180"/>
      </w:pPr>
    </w:lvl>
    <w:lvl w:ilvl="3" w:tplc="D236FCEE">
      <w:start w:val="1"/>
      <w:numFmt w:val="decimal"/>
      <w:lvlText w:val="%4."/>
      <w:lvlJc w:val="left"/>
      <w:pPr>
        <w:ind w:left="3936" w:hanging="360"/>
      </w:pPr>
    </w:lvl>
    <w:lvl w:ilvl="4" w:tplc="C766078A">
      <w:start w:val="1"/>
      <w:numFmt w:val="lowerLetter"/>
      <w:lvlText w:val="%5."/>
      <w:lvlJc w:val="left"/>
      <w:pPr>
        <w:ind w:left="4656" w:hanging="360"/>
      </w:pPr>
    </w:lvl>
    <w:lvl w:ilvl="5" w:tplc="7F58DDDA">
      <w:start w:val="1"/>
      <w:numFmt w:val="lowerRoman"/>
      <w:lvlText w:val="%6."/>
      <w:lvlJc w:val="right"/>
      <w:pPr>
        <w:ind w:left="5376" w:hanging="180"/>
      </w:pPr>
    </w:lvl>
    <w:lvl w:ilvl="6" w:tplc="90322FF2">
      <w:start w:val="1"/>
      <w:numFmt w:val="decimal"/>
      <w:lvlText w:val="%7."/>
      <w:lvlJc w:val="left"/>
      <w:pPr>
        <w:ind w:left="6096" w:hanging="360"/>
      </w:pPr>
    </w:lvl>
    <w:lvl w:ilvl="7" w:tplc="CE16D38A">
      <w:start w:val="1"/>
      <w:numFmt w:val="lowerLetter"/>
      <w:lvlText w:val="%8."/>
      <w:lvlJc w:val="left"/>
      <w:pPr>
        <w:ind w:left="6816" w:hanging="360"/>
      </w:pPr>
    </w:lvl>
    <w:lvl w:ilvl="8" w:tplc="E322336C">
      <w:start w:val="1"/>
      <w:numFmt w:val="lowerRoman"/>
      <w:lvlText w:val="%9."/>
      <w:lvlJc w:val="right"/>
      <w:pPr>
        <w:ind w:left="7536" w:hanging="180"/>
      </w:pPr>
    </w:lvl>
  </w:abstractNum>
  <w:abstractNum w:abstractNumId="11" w15:restartNumberingAfterBreak="0">
    <w:nsid w:val="730A1D7A"/>
    <w:multiLevelType w:val="multilevel"/>
    <w:tmpl w:val="A634AAD6"/>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A2365F6"/>
    <w:multiLevelType w:val="hybridMultilevel"/>
    <w:tmpl w:val="BAC0EF6E"/>
    <w:lvl w:ilvl="0" w:tplc="CE40E926">
      <w:start w:val="1"/>
      <w:numFmt w:val="lowerLetter"/>
      <w:lvlText w:val="%1)"/>
      <w:lvlJc w:val="left"/>
      <w:pPr>
        <w:ind w:left="1080" w:hanging="360"/>
      </w:pPr>
      <w:rPr>
        <w:rFonts w:hint="default"/>
      </w:rPr>
    </w:lvl>
    <w:lvl w:ilvl="1" w:tplc="0CEE84BA">
      <w:start w:val="1"/>
      <w:numFmt w:val="lowerLetter"/>
      <w:lvlText w:val="%2."/>
      <w:lvlJc w:val="left"/>
      <w:pPr>
        <w:ind w:left="1800" w:hanging="360"/>
      </w:pPr>
    </w:lvl>
    <w:lvl w:ilvl="2" w:tplc="54CA44DA">
      <w:start w:val="1"/>
      <w:numFmt w:val="lowerRoman"/>
      <w:lvlText w:val="%3."/>
      <w:lvlJc w:val="right"/>
      <w:pPr>
        <w:ind w:left="2520" w:hanging="180"/>
      </w:pPr>
    </w:lvl>
    <w:lvl w:ilvl="3" w:tplc="F3D6E50A">
      <w:start w:val="1"/>
      <w:numFmt w:val="decimal"/>
      <w:lvlText w:val="%4."/>
      <w:lvlJc w:val="left"/>
      <w:pPr>
        <w:ind w:left="3240" w:hanging="360"/>
      </w:pPr>
    </w:lvl>
    <w:lvl w:ilvl="4" w:tplc="6F3E2AC6">
      <w:start w:val="1"/>
      <w:numFmt w:val="lowerLetter"/>
      <w:lvlText w:val="%5."/>
      <w:lvlJc w:val="left"/>
      <w:pPr>
        <w:ind w:left="3960" w:hanging="360"/>
      </w:pPr>
    </w:lvl>
    <w:lvl w:ilvl="5" w:tplc="3DD80E76">
      <w:start w:val="1"/>
      <w:numFmt w:val="lowerRoman"/>
      <w:lvlText w:val="%6."/>
      <w:lvlJc w:val="right"/>
      <w:pPr>
        <w:ind w:left="4680" w:hanging="180"/>
      </w:pPr>
    </w:lvl>
    <w:lvl w:ilvl="6" w:tplc="0C9633CC">
      <w:start w:val="1"/>
      <w:numFmt w:val="decimal"/>
      <w:lvlText w:val="%7."/>
      <w:lvlJc w:val="left"/>
      <w:pPr>
        <w:ind w:left="5400" w:hanging="360"/>
      </w:pPr>
    </w:lvl>
    <w:lvl w:ilvl="7" w:tplc="7488F368">
      <w:start w:val="1"/>
      <w:numFmt w:val="lowerLetter"/>
      <w:lvlText w:val="%8."/>
      <w:lvlJc w:val="left"/>
      <w:pPr>
        <w:ind w:left="6120" w:hanging="360"/>
      </w:pPr>
    </w:lvl>
    <w:lvl w:ilvl="8" w:tplc="A4B0A3BC">
      <w:start w:val="1"/>
      <w:numFmt w:val="lowerRoman"/>
      <w:lvlText w:val="%9."/>
      <w:lvlJc w:val="right"/>
      <w:pPr>
        <w:ind w:left="6840" w:hanging="180"/>
      </w:pPr>
    </w:lvl>
  </w:abstractNum>
  <w:num w:numId="1" w16cid:durableId="2135714794">
    <w:abstractNumId w:val="3"/>
  </w:num>
  <w:num w:numId="2" w16cid:durableId="252932474">
    <w:abstractNumId w:val="11"/>
  </w:num>
  <w:num w:numId="3" w16cid:durableId="1987276415">
    <w:abstractNumId w:val="5"/>
  </w:num>
  <w:num w:numId="4" w16cid:durableId="950554285">
    <w:abstractNumId w:val="1"/>
  </w:num>
  <w:num w:numId="5" w16cid:durableId="1010719178">
    <w:abstractNumId w:val="4"/>
  </w:num>
  <w:num w:numId="6" w16cid:durableId="2029482048">
    <w:abstractNumId w:val="6"/>
  </w:num>
  <w:num w:numId="7" w16cid:durableId="16008168">
    <w:abstractNumId w:val="12"/>
  </w:num>
  <w:num w:numId="8" w16cid:durableId="1556356291">
    <w:abstractNumId w:val="10"/>
  </w:num>
  <w:num w:numId="9" w16cid:durableId="698894437">
    <w:abstractNumId w:val="2"/>
  </w:num>
  <w:num w:numId="10" w16cid:durableId="393893046">
    <w:abstractNumId w:val="8"/>
  </w:num>
  <w:num w:numId="11" w16cid:durableId="180432503">
    <w:abstractNumId w:val="0"/>
  </w:num>
  <w:num w:numId="12" w16cid:durableId="958992325">
    <w:abstractNumId w:val="7"/>
  </w:num>
  <w:num w:numId="13" w16cid:durableId="73359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5460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05641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5132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85520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0631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5541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9359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70"/>
    <w:rsid w:val="00005222"/>
    <w:rsid w:val="00011085"/>
    <w:rsid w:val="00015A6A"/>
    <w:rsid w:val="00023719"/>
    <w:rsid w:val="0003234F"/>
    <w:rsid w:val="00037A67"/>
    <w:rsid w:val="000672CE"/>
    <w:rsid w:val="00072C89"/>
    <w:rsid w:val="00080102"/>
    <w:rsid w:val="00081542"/>
    <w:rsid w:val="00090D01"/>
    <w:rsid w:val="000A6E10"/>
    <w:rsid w:val="000C30E7"/>
    <w:rsid w:val="000E2E9C"/>
    <w:rsid w:val="00104D40"/>
    <w:rsid w:val="00121254"/>
    <w:rsid w:val="0018012A"/>
    <w:rsid w:val="001A29E2"/>
    <w:rsid w:val="00200051"/>
    <w:rsid w:val="00202B85"/>
    <w:rsid w:val="00202CD7"/>
    <w:rsid w:val="00203BC7"/>
    <w:rsid w:val="00206A2A"/>
    <w:rsid w:val="00210613"/>
    <w:rsid w:val="00211AD5"/>
    <w:rsid w:val="00213C89"/>
    <w:rsid w:val="00222727"/>
    <w:rsid w:val="00243B2B"/>
    <w:rsid w:val="0026648F"/>
    <w:rsid w:val="00267EB6"/>
    <w:rsid w:val="0027327A"/>
    <w:rsid w:val="00282D9E"/>
    <w:rsid w:val="002967AC"/>
    <w:rsid w:val="002B05D4"/>
    <w:rsid w:val="002B0EA3"/>
    <w:rsid w:val="002B1347"/>
    <w:rsid w:val="002E6DA3"/>
    <w:rsid w:val="00314F77"/>
    <w:rsid w:val="00354E6F"/>
    <w:rsid w:val="00365B98"/>
    <w:rsid w:val="0037699A"/>
    <w:rsid w:val="00395FE7"/>
    <w:rsid w:val="003B0584"/>
    <w:rsid w:val="003C6513"/>
    <w:rsid w:val="003F51BE"/>
    <w:rsid w:val="004235BB"/>
    <w:rsid w:val="00472F2D"/>
    <w:rsid w:val="004A0276"/>
    <w:rsid w:val="004B7A10"/>
    <w:rsid w:val="004D45A6"/>
    <w:rsid w:val="00501892"/>
    <w:rsid w:val="00511F87"/>
    <w:rsid w:val="00512A89"/>
    <w:rsid w:val="00551D3E"/>
    <w:rsid w:val="00564BFC"/>
    <w:rsid w:val="00585B2C"/>
    <w:rsid w:val="005B7E52"/>
    <w:rsid w:val="005C2218"/>
    <w:rsid w:val="005F074D"/>
    <w:rsid w:val="00613682"/>
    <w:rsid w:val="00635B64"/>
    <w:rsid w:val="00637C13"/>
    <w:rsid w:val="00681A77"/>
    <w:rsid w:val="006939D1"/>
    <w:rsid w:val="006A3C58"/>
    <w:rsid w:val="006A480A"/>
    <w:rsid w:val="006B1939"/>
    <w:rsid w:val="006B19F0"/>
    <w:rsid w:val="006B2EED"/>
    <w:rsid w:val="006C71BA"/>
    <w:rsid w:val="006D0795"/>
    <w:rsid w:val="006D4A91"/>
    <w:rsid w:val="006E1348"/>
    <w:rsid w:val="006F1E2B"/>
    <w:rsid w:val="006F617C"/>
    <w:rsid w:val="007153E8"/>
    <w:rsid w:val="00722595"/>
    <w:rsid w:val="0073322E"/>
    <w:rsid w:val="00744558"/>
    <w:rsid w:val="007512B5"/>
    <w:rsid w:val="007675A2"/>
    <w:rsid w:val="00770057"/>
    <w:rsid w:val="00780225"/>
    <w:rsid w:val="00787141"/>
    <w:rsid w:val="007C0AE3"/>
    <w:rsid w:val="007C1F56"/>
    <w:rsid w:val="007C2B88"/>
    <w:rsid w:val="007E2592"/>
    <w:rsid w:val="007F106E"/>
    <w:rsid w:val="007F219D"/>
    <w:rsid w:val="00801A1C"/>
    <w:rsid w:val="0082163A"/>
    <w:rsid w:val="008225C7"/>
    <w:rsid w:val="008352E5"/>
    <w:rsid w:val="008560AD"/>
    <w:rsid w:val="008A2D2B"/>
    <w:rsid w:val="008A5DA9"/>
    <w:rsid w:val="008C2242"/>
    <w:rsid w:val="008D0640"/>
    <w:rsid w:val="008D0B4D"/>
    <w:rsid w:val="00902C15"/>
    <w:rsid w:val="00914EB2"/>
    <w:rsid w:val="00925F74"/>
    <w:rsid w:val="00940DE2"/>
    <w:rsid w:val="009437AD"/>
    <w:rsid w:val="009559E2"/>
    <w:rsid w:val="0096725F"/>
    <w:rsid w:val="009741A1"/>
    <w:rsid w:val="009804D3"/>
    <w:rsid w:val="009805BF"/>
    <w:rsid w:val="0098200C"/>
    <w:rsid w:val="009A1F97"/>
    <w:rsid w:val="009B220B"/>
    <w:rsid w:val="009B2820"/>
    <w:rsid w:val="009B4393"/>
    <w:rsid w:val="009C3664"/>
    <w:rsid w:val="009C401C"/>
    <w:rsid w:val="009D42C4"/>
    <w:rsid w:val="009D6405"/>
    <w:rsid w:val="009F57CC"/>
    <w:rsid w:val="00A02A38"/>
    <w:rsid w:val="00A17DDD"/>
    <w:rsid w:val="00A30950"/>
    <w:rsid w:val="00A3520D"/>
    <w:rsid w:val="00A54776"/>
    <w:rsid w:val="00B33AC1"/>
    <w:rsid w:val="00B53C70"/>
    <w:rsid w:val="00B67C72"/>
    <w:rsid w:val="00BA6761"/>
    <w:rsid w:val="00BB0301"/>
    <w:rsid w:val="00BB515B"/>
    <w:rsid w:val="00BC1148"/>
    <w:rsid w:val="00BD25AB"/>
    <w:rsid w:val="00BE4AD7"/>
    <w:rsid w:val="00BF6910"/>
    <w:rsid w:val="00C10711"/>
    <w:rsid w:val="00C40D42"/>
    <w:rsid w:val="00C463A8"/>
    <w:rsid w:val="00C54AC4"/>
    <w:rsid w:val="00C64A73"/>
    <w:rsid w:val="00CC124B"/>
    <w:rsid w:val="00CD5541"/>
    <w:rsid w:val="00D04092"/>
    <w:rsid w:val="00D044DD"/>
    <w:rsid w:val="00D04D7F"/>
    <w:rsid w:val="00D2664C"/>
    <w:rsid w:val="00D3458E"/>
    <w:rsid w:val="00D45B20"/>
    <w:rsid w:val="00D843EC"/>
    <w:rsid w:val="00DA0AE7"/>
    <w:rsid w:val="00DB5BC4"/>
    <w:rsid w:val="00DE4B50"/>
    <w:rsid w:val="00E10963"/>
    <w:rsid w:val="00E17064"/>
    <w:rsid w:val="00E207CC"/>
    <w:rsid w:val="00E35F0E"/>
    <w:rsid w:val="00E5220E"/>
    <w:rsid w:val="00E7299F"/>
    <w:rsid w:val="00E8095F"/>
    <w:rsid w:val="00E838A4"/>
    <w:rsid w:val="00E851BC"/>
    <w:rsid w:val="00E9715B"/>
    <w:rsid w:val="00EC41D5"/>
    <w:rsid w:val="00F05496"/>
    <w:rsid w:val="00F22FB7"/>
    <w:rsid w:val="00F231D4"/>
    <w:rsid w:val="00F2683B"/>
    <w:rsid w:val="00F61236"/>
    <w:rsid w:val="00F85BE0"/>
    <w:rsid w:val="00F86581"/>
    <w:rsid w:val="00FD22B2"/>
    <w:rsid w:val="00FF3F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12FD0"/>
  <w15:docId w15:val="{53C7B66B-D42E-4D82-ABDA-3FB121AA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3369</Words>
  <Characters>19882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2023-08-21T05:19:00Z</dcterms:created>
  <dcterms:modified xsi:type="dcterms:W3CDTF">2023-08-21T05:19:00Z</dcterms:modified>
</cp:coreProperties>
</file>