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979B" w14:textId="77777777" w:rsidR="00096B96" w:rsidRDefault="00096B96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0D4BC830" w14:textId="6E4A3B18" w:rsidR="00096B96" w:rsidRDefault="003F12C0" w:rsidP="00A22BFE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Licenční smlouva</w:t>
      </w:r>
      <w:r w:rsidR="00AE22B6">
        <w:rPr>
          <w:rFonts w:ascii="Arial" w:eastAsia="Arial" w:hAnsi="Arial" w:cs="Arial"/>
          <w:b/>
          <w:sz w:val="20"/>
          <w:szCs w:val="20"/>
        </w:rPr>
        <w:t>:</w:t>
      </w:r>
      <w:r w:rsidR="00BB1F20">
        <w:rPr>
          <w:rFonts w:ascii="Arial" w:eastAsia="Arial" w:hAnsi="Arial" w:cs="Arial"/>
          <w:b/>
          <w:sz w:val="20"/>
          <w:szCs w:val="20"/>
        </w:rPr>
        <w:t xml:space="preserve"> </w:t>
      </w:r>
      <w:r w:rsidR="00AE22B6">
        <w:rPr>
          <w:rFonts w:ascii="Arial" w:eastAsia="Arial" w:hAnsi="Arial" w:cs="Arial"/>
          <w:b/>
          <w:sz w:val="20"/>
          <w:szCs w:val="20"/>
        </w:rPr>
        <w:t>S</w:t>
      </w:r>
      <w:r w:rsidR="00BB1F20">
        <w:rPr>
          <w:rFonts w:ascii="Arial" w:eastAsia="Arial" w:hAnsi="Arial" w:cs="Arial"/>
          <w:b/>
          <w:sz w:val="20"/>
          <w:szCs w:val="20"/>
        </w:rPr>
        <w:t>lužba asistence při výběru knih</w:t>
      </w:r>
    </w:p>
    <w:p w14:paraId="2F4B99BA" w14:textId="77777777" w:rsidR="00096B96" w:rsidRDefault="003F12C0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(„</w:t>
      </w:r>
      <w:r>
        <w:rPr>
          <w:rFonts w:ascii="Arial" w:eastAsia="Arial" w:hAnsi="Arial" w:cs="Arial"/>
          <w:b/>
          <w:sz w:val="20"/>
          <w:szCs w:val="20"/>
        </w:rPr>
        <w:t>Smlouva</w:t>
      </w:r>
      <w:r>
        <w:rPr>
          <w:rFonts w:ascii="Arial" w:eastAsia="Arial" w:hAnsi="Arial" w:cs="Arial"/>
          <w:sz w:val="20"/>
          <w:szCs w:val="20"/>
        </w:rPr>
        <w:t>“)</w:t>
      </w:r>
    </w:p>
    <w:p w14:paraId="02554892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CCDADE8" w14:textId="77777777" w:rsidR="00096B96" w:rsidRDefault="003F12C0">
      <w:pPr>
        <w:spacing w:after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MEZI:</w:t>
      </w:r>
    </w:p>
    <w:p w14:paraId="19955ED9" w14:textId="25855A8C" w:rsidR="00096B96" w:rsidRDefault="003F12C0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Cerebrica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s.r.o.</w:t>
      </w:r>
      <w:r>
        <w:rPr>
          <w:rFonts w:ascii="Arial" w:eastAsia="Arial" w:hAnsi="Arial" w:cs="Arial"/>
          <w:sz w:val="20"/>
          <w:szCs w:val="20"/>
        </w:rPr>
        <w:t xml:space="preserve">, se sídlem </w:t>
      </w:r>
      <w:proofErr w:type="spellStart"/>
      <w:r>
        <w:rPr>
          <w:rFonts w:ascii="Arial" w:eastAsia="Arial" w:hAnsi="Arial" w:cs="Arial"/>
          <w:sz w:val="20"/>
          <w:szCs w:val="20"/>
        </w:rPr>
        <w:t>Bránská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51/9, Předměstí, 571 01 Moravská Třebová, IČO: 093 57 777, zapsaná v obchodním rejstříku vedeném Krajským soudem v Hradci Králové,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zn. C 46159, zastoupena </w:t>
      </w:r>
      <w:proofErr w:type="spellStart"/>
      <w:r>
        <w:rPr>
          <w:rFonts w:ascii="Arial" w:eastAsia="Arial" w:hAnsi="Arial" w:cs="Arial"/>
          <w:sz w:val="20"/>
          <w:szCs w:val="20"/>
        </w:rPr>
        <w:t>Dipl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Ing. Zdeňkem Havelkou, jednatelem společnosti; kontaktní email: </w:t>
      </w:r>
      <w:proofErr w:type="spellStart"/>
      <w:r w:rsidR="00876D2E">
        <w:t>xxxxxxxxxxxxxx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(dále jako „</w:t>
      </w:r>
      <w:r>
        <w:rPr>
          <w:rFonts w:ascii="Arial" w:eastAsia="Arial" w:hAnsi="Arial" w:cs="Arial"/>
          <w:b/>
          <w:i/>
          <w:sz w:val="20"/>
          <w:szCs w:val="20"/>
        </w:rPr>
        <w:t>Poskytovatel licence</w:t>
      </w:r>
      <w:r>
        <w:rPr>
          <w:rFonts w:ascii="Arial" w:eastAsia="Arial" w:hAnsi="Arial" w:cs="Arial"/>
          <w:sz w:val="20"/>
          <w:szCs w:val="20"/>
        </w:rPr>
        <w:t xml:space="preserve">“); </w:t>
      </w:r>
    </w:p>
    <w:p w14:paraId="126472D7" w14:textId="77777777" w:rsidR="00096B96" w:rsidRDefault="00096B96">
      <w:p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2966AF0" w14:textId="77777777" w:rsidR="00096B96" w:rsidRDefault="003F12C0">
      <w:p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</w:p>
    <w:p w14:paraId="4F9141F1" w14:textId="2FF15FE5" w:rsidR="00096B96" w:rsidRDefault="00BB1F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Městská knihovna v Praze</w:t>
      </w:r>
      <w:r w:rsidR="003F12C0">
        <w:rPr>
          <w:rFonts w:ascii="Arial" w:eastAsia="Arial" w:hAnsi="Arial" w:cs="Arial"/>
          <w:color w:val="000000"/>
          <w:sz w:val="20"/>
          <w:szCs w:val="20"/>
        </w:rPr>
        <w:t>, se sídlem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Mariánské </w:t>
      </w:r>
      <w:proofErr w:type="spellStart"/>
      <w:r w:rsidR="004F7E65">
        <w:rPr>
          <w:rFonts w:ascii="Arial" w:eastAsia="Arial" w:hAnsi="Arial" w:cs="Arial"/>
          <w:color w:val="000000"/>
          <w:sz w:val="20"/>
          <w:szCs w:val="20"/>
        </w:rPr>
        <w:t>ná</w:t>
      </w:r>
      <w:proofErr w:type="spellEnd"/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. 98/1, Praha 1, 115 72 </w:t>
      </w:r>
      <w:r w:rsidR="003F12C0">
        <w:rPr>
          <w:rFonts w:ascii="Arial" w:eastAsia="Arial" w:hAnsi="Arial" w:cs="Arial"/>
          <w:color w:val="000000"/>
          <w:sz w:val="20"/>
          <w:szCs w:val="20"/>
        </w:rPr>
        <w:t>IČO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00064467., </w:t>
      </w:r>
      <w:r w:rsidR="003F12C0">
        <w:rPr>
          <w:rFonts w:ascii="Arial" w:eastAsia="Arial" w:hAnsi="Arial" w:cs="Arial"/>
          <w:color w:val="000000"/>
          <w:sz w:val="20"/>
          <w:szCs w:val="20"/>
        </w:rPr>
        <w:t xml:space="preserve">zastoupená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RNDr. Tomášem Řehákem, Ph.D., ředitelem </w:t>
      </w:r>
      <w:r w:rsidR="003F12C0">
        <w:rPr>
          <w:rFonts w:ascii="Arial" w:eastAsia="Arial" w:hAnsi="Arial" w:cs="Arial"/>
          <w:sz w:val="20"/>
          <w:szCs w:val="20"/>
        </w:rPr>
        <w:t>(dále jako „</w:t>
      </w:r>
      <w:r w:rsidR="003F12C0">
        <w:rPr>
          <w:rFonts w:ascii="Arial" w:eastAsia="Arial" w:hAnsi="Arial" w:cs="Arial"/>
          <w:b/>
          <w:i/>
          <w:sz w:val="20"/>
          <w:szCs w:val="20"/>
        </w:rPr>
        <w:t>Nabyvatel licence</w:t>
      </w:r>
      <w:r w:rsidR="003F12C0">
        <w:rPr>
          <w:rFonts w:ascii="Arial" w:eastAsia="Arial" w:hAnsi="Arial" w:cs="Arial"/>
          <w:sz w:val="20"/>
          <w:szCs w:val="20"/>
        </w:rPr>
        <w:t>“);</w:t>
      </w:r>
    </w:p>
    <w:p w14:paraId="129BA2B4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AAF0EE4" w14:textId="31761A65" w:rsidR="004952DD" w:rsidRDefault="003F12C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(společně dále jen „</w:t>
      </w:r>
      <w:r>
        <w:rPr>
          <w:rFonts w:ascii="Arial" w:eastAsia="Arial" w:hAnsi="Arial" w:cs="Arial"/>
          <w:b/>
          <w:i/>
          <w:sz w:val="20"/>
          <w:szCs w:val="20"/>
        </w:rPr>
        <w:t>Smluvní strany</w:t>
      </w:r>
      <w:r>
        <w:rPr>
          <w:rFonts w:ascii="Arial" w:eastAsia="Arial" w:hAnsi="Arial" w:cs="Arial"/>
          <w:sz w:val="20"/>
          <w:szCs w:val="20"/>
        </w:rPr>
        <w:t>“)</w:t>
      </w:r>
    </w:p>
    <w:p w14:paraId="08DB1F9E" w14:textId="77777777" w:rsidR="004952DD" w:rsidRDefault="004952DD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6DB93964" w14:textId="77777777" w:rsidR="002E71FF" w:rsidRDefault="002E71FF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33811848" w14:textId="77777777" w:rsidR="00096B96" w:rsidRDefault="003F12C0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Preambule</w:t>
      </w:r>
    </w:p>
    <w:p w14:paraId="7A8D5FD0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A3319CC" w14:textId="77777777" w:rsidR="00096B96" w:rsidRDefault="003F12C0">
      <w:pPr>
        <w:numPr>
          <w:ilvl w:val="0"/>
          <w:numId w:val="12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Nabyvatel licence prohlašuje, že splňuje veškeré podmínky a požadavky dále v této Smlouvě stanovené a je oprávněn tuto Smlouvu uzavřít a řádně plnit své povinnosti v ní obsažené.</w:t>
      </w:r>
    </w:p>
    <w:p w14:paraId="35715498" w14:textId="77777777" w:rsidR="00096B96" w:rsidRDefault="003F12C0">
      <w:pPr>
        <w:numPr>
          <w:ilvl w:val="0"/>
          <w:numId w:val="12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Poskytovatel licence prohlašuje, že splňuje veškeré podmínky a požadavky v této Smlouvě stanovené, je oprávněn tuto Smlouvu uzavřít a řádně plnit závazky v ní obsažené.</w:t>
      </w:r>
    </w:p>
    <w:p w14:paraId="0D10CBB2" w14:textId="77777777" w:rsidR="00096B96" w:rsidRDefault="003F12C0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  <w:r>
        <w:rPr>
          <w:rFonts w:ascii="Arial" w:eastAsia="Arial" w:hAnsi="Arial" w:cs="Arial"/>
          <w:b/>
          <w:sz w:val="20"/>
          <w:szCs w:val="20"/>
        </w:rPr>
        <w:br/>
        <w:t>Předmět Smlouvy</w:t>
      </w:r>
    </w:p>
    <w:p w14:paraId="58631CBE" w14:textId="0474790F" w:rsidR="00096B96" w:rsidRDefault="003F1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Předmětem této Smlouvy je poskytnutí oprávnění a stanovení podmínek k užívání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, blíže specifikované v 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příloze č.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této Smlouvy</w:t>
      </w:r>
      <w:r w:rsidR="00BA398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D527DE3" w14:textId="7CE3E37E" w:rsidR="00096B96" w:rsidRDefault="003F1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Poskytovatel licence prohlašuje, že je způsobilým a oprávněným subjektem k udělení oprávnění Nabyvateli licence užívat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, a zavazuje se touto Smlouvou Nabyvateli licence udělit příslušnou licenci a umožnit mu tak oprávněné užívání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 w:rsidR="00BA3989">
        <w:rPr>
          <w:rFonts w:ascii="Arial" w:eastAsia="Arial" w:hAnsi="Arial" w:cs="Arial"/>
          <w:sz w:val="20"/>
          <w:szCs w:val="20"/>
        </w:rPr>
        <w:t>.</w:t>
      </w:r>
    </w:p>
    <w:p w14:paraId="10B457A4" w14:textId="6CA89C69" w:rsidR="00096B96" w:rsidRDefault="003F12C0">
      <w:pPr>
        <w:numPr>
          <w:ilvl w:val="0"/>
          <w:numId w:val="13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Nabyvatel licence prohlašuje, že je způsobilým subjektem k nabytí oprávnění od Poskytovatele licence k užívání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, a zavazuje se touto Smlouvou od Poskytovatele přijmout příslušnou licenci k užívání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, zaplatit za udělení licence sjednanou odměnu a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 užívat v souladu s podmínkami sjednanými v této Smlouvě.</w:t>
      </w:r>
    </w:p>
    <w:p w14:paraId="7192F0E3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2D302B27" w14:textId="77777777" w:rsidR="00096B96" w:rsidRDefault="003F12C0">
      <w:pPr>
        <w:keepNext/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</w:t>
      </w:r>
      <w:r>
        <w:rPr>
          <w:rFonts w:ascii="Arial" w:eastAsia="Arial" w:hAnsi="Arial" w:cs="Arial"/>
          <w:b/>
          <w:sz w:val="20"/>
          <w:szCs w:val="20"/>
        </w:rPr>
        <w:br/>
        <w:t>Udělení licence</w:t>
      </w:r>
    </w:p>
    <w:p w14:paraId="2BF44638" w14:textId="667FC168" w:rsidR="00096B96" w:rsidRDefault="003F12C0">
      <w:pPr>
        <w:keepNext/>
        <w:numPr>
          <w:ilvl w:val="0"/>
          <w:numId w:val="14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Poskytovatel licence tímto poskytuje Nabyvateli licence oprávnění k výkonu práva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 užít za následujících podmínek:</w:t>
      </w:r>
    </w:p>
    <w:p w14:paraId="55369E05" w14:textId="22AE5CE1" w:rsidR="00096B96" w:rsidRDefault="003F12C0">
      <w:pPr>
        <w:numPr>
          <w:ilvl w:val="1"/>
          <w:numId w:val="14"/>
        </w:numPr>
        <w:spacing w:after="120"/>
        <w:ind w:left="99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 užití výlučně pro vlastní potřebu Nabyvatele licence a v souladu s funkčním určením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 dle </w:t>
      </w:r>
      <w:r>
        <w:rPr>
          <w:rFonts w:ascii="Arial" w:eastAsia="Arial" w:hAnsi="Arial" w:cs="Arial"/>
          <w:sz w:val="20"/>
          <w:szCs w:val="20"/>
          <w:u w:val="single"/>
        </w:rPr>
        <w:t>přílohy č. 1</w:t>
      </w:r>
      <w:r>
        <w:rPr>
          <w:rFonts w:ascii="Arial" w:eastAsia="Arial" w:hAnsi="Arial" w:cs="Arial"/>
          <w:sz w:val="20"/>
          <w:szCs w:val="20"/>
        </w:rPr>
        <w:t xml:space="preserve"> této Smlouvy s tím, že vyloučeny jsou veškeré způsoby užití dle § 12 odst. 4 písm. b) – f) autorského zákona s přihlédnutím k § 66 autorského zákona (zákon č. 121/2000 Sb., v platném znění), a dále jakákoliv jiná užití, kterými by bylo negativně zasahováno do majetkových práv </w:t>
      </w:r>
      <w:r>
        <w:rPr>
          <w:rFonts w:ascii="Arial" w:eastAsia="Arial" w:hAnsi="Arial" w:cs="Arial"/>
          <w:sz w:val="20"/>
          <w:szCs w:val="20"/>
        </w:rPr>
        <w:lastRenderedPageBreak/>
        <w:t>k </w:t>
      </w:r>
      <w:r w:rsidR="00AE22B6">
        <w:rPr>
          <w:rFonts w:ascii="Arial" w:eastAsia="Arial" w:hAnsi="Arial" w:cs="Arial"/>
          <w:sz w:val="20"/>
          <w:szCs w:val="20"/>
        </w:rPr>
        <w:t>Službě</w:t>
      </w:r>
      <w:r>
        <w:rPr>
          <w:rFonts w:ascii="Arial" w:eastAsia="Arial" w:hAnsi="Arial" w:cs="Arial"/>
          <w:sz w:val="20"/>
          <w:szCs w:val="20"/>
        </w:rPr>
        <w:t xml:space="preserve"> vykonávaných Poskytovatelem licence a/nebo do osobnostních práv k </w:t>
      </w:r>
      <w:r w:rsidR="00AE22B6">
        <w:rPr>
          <w:rFonts w:ascii="Arial" w:eastAsia="Arial" w:hAnsi="Arial" w:cs="Arial"/>
          <w:sz w:val="20"/>
          <w:szCs w:val="20"/>
        </w:rPr>
        <w:t>Službě</w:t>
      </w:r>
      <w:r>
        <w:rPr>
          <w:rFonts w:ascii="Arial" w:eastAsia="Arial" w:hAnsi="Arial" w:cs="Arial"/>
          <w:sz w:val="20"/>
          <w:szCs w:val="20"/>
        </w:rPr>
        <w:t xml:space="preserve"> vykonávaných jeho </w:t>
      </w:r>
      <w:proofErr w:type="gramStart"/>
      <w:r>
        <w:rPr>
          <w:rFonts w:ascii="Arial" w:eastAsia="Arial" w:hAnsi="Arial" w:cs="Arial"/>
          <w:sz w:val="20"/>
          <w:szCs w:val="20"/>
        </w:rPr>
        <w:t>autorem(-y);</w:t>
      </w:r>
      <w:proofErr w:type="gramEnd"/>
    </w:p>
    <w:p w14:paraId="2B591131" w14:textId="0C6B2012" w:rsidR="00096B96" w:rsidRDefault="003F12C0">
      <w:pPr>
        <w:numPr>
          <w:ilvl w:val="1"/>
          <w:numId w:val="14"/>
        </w:numPr>
        <w:spacing w:after="120"/>
        <w:ind w:left="99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nevýhradní formě, kdy Poskytovatel licence je oprávněn udělovat třetím osobám další licence k </w:t>
      </w:r>
      <w:r w:rsidR="00AE22B6">
        <w:rPr>
          <w:rFonts w:ascii="Arial" w:eastAsia="Arial" w:hAnsi="Arial" w:cs="Arial"/>
          <w:sz w:val="20"/>
          <w:szCs w:val="20"/>
        </w:rPr>
        <w:t>Služb</w:t>
      </w:r>
      <w:r w:rsidR="005F2CD6"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 xml:space="preserve"> nebo jakýmkoliv upraveným komerčním variantám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>;</w:t>
      </w:r>
    </w:p>
    <w:p w14:paraId="12F54372" w14:textId="77777777" w:rsidR="00096B96" w:rsidRDefault="003F12C0">
      <w:pPr>
        <w:numPr>
          <w:ilvl w:val="1"/>
          <w:numId w:val="14"/>
        </w:numPr>
        <w:spacing w:after="120"/>
        <w:ind w:left="99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bez omezení množství a času;</w:t>
      </w:r>
    </w:p>
    <w:p w14:paraId="51DEC954" w14:textId="1ADF580E" w:rsidR="00096B96" w:rsidRPr="004952DD" w:rsidRDefault="003F12C0" w:rsidP="004952DD">
      <w:pPr>
        <w:numPr>
          <w:ilvl w:val="1"/>
          <w:numId w:val="14"/>
        </w:numPr>
        <w:spacing w:after="120"/>
        <w:ind w:left="99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 omezením na území států Evropské unie;</w:t>
      </w:r>
    </w:p>
    <w:p w14:paraId="6ADE7B32" w14:textId="77777777" w:rsidR="00096B96" w:rsidRDefault="003F12C0">
      <w:pPr>
        <w:numPr>
          <w:ilvl w:val="0"/>
          <w:numId w:val="14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Licence dle této Smlouvy se považuje za udělenou okamžikem účinnosti této Smlouvy. </w:t>
      </w:r>
    </w:p>
    <w:p w14:paraId="74292BA4" w14:textId="14C3938B" w:rsidR="00096B96" w:rsidRPr="002951D9" w:rsidRDefault="003F12C0">
      <w:pPr>
        <w:numPr>
          <w:ilvl w:val="0"/>
          <w:numId w:val="14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Poskytovatel licence tímto prohlašuje, že </w:t>
      </w:r>
      <w:r w:rsidR="00AE22B6">
        <w:rPr>
          <w:rFonts w:ascii="Arial" w:eastAsia="Arial" w:hAnsi="Arial" w:cs="Arial"/>
          <w:sz w:val="20"/>
          <w:szCs w:val="20"/>
        </w:rPr>
        <w:t>Služba</w:t>
      </w:r>
      <w:r>
        <w:rPr>
          <w:rFonts w:ascii="Arial" w:eastAsia="Arial" w:hAnsi="Arial" w:cs="Arial"/>
          <w:sz w:val="20"/>
          <w:szCs w:val="20"/>
        </w:rPr>
        <w:t xml:space="preserve"> bude výsledkem tvůrčí duševní činnosti jeho zaměstnanců a/nebo subdodavatelů (fyzických osob). Poskytovatel licence zaručuje Nabyvateli licence, že nebude omezen ve výkonu práva 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 užít v rozsahu stanoveném v této Smlouvě, přičemž pro případ, že třetí osoba uplatní vůči Nabyvateli licence v souvislosti s užíváním </w:t>
      </w:r>
      <w:r w:rsidR="00AE22B6">
        <w:rPr>
          <w:rFonts w:ascii="Arial" w:eastAsia="Arial" w:hAnsi="Arial" w:cs="Arial"/>
          <w:sz w:val="20"/>
          <w:szCs w:val="20"/>
        </w:rPr>
        <w:t>Služby</w:t>
      </w:r>
      <w:r>
        <w:rPr>
          <w:rFonts w:ascii="Arial" w:eastAsia="Arial" w:hAnsi="Arial" w:cs="Arial"/>
          <w:sz w:val="20"/>
          <w:szCs w:val="20"/>
        </w:rPr>
        <w:t xml:space="preserve"> jakákoli práva, </w:t>
      </w:r>
      <w:r w:rsidRPr="002951D9">
        <w:rPr>
          <w:rFonts w:ascii="Arial" w:eastAsia="Arial" w:hAnsi="Arial" w:cs="Arial"/>
          <w:sz w:val="20"/>
          <w:szCs w:val="20"/>
        </w:rPr>
        <w:t>zavazuje se Poskytovatel licence chybějící práva pro Nabyvatele licence získat a nést související náklady.</w:t>
      </w:r>
    </w:p>
    <w:p w14:paraId="6A7C23CB" w14:textId="77777777" w:rsidR="00096B96" w:rsidRPr="002951D9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72D1A87A" w14:textId="40AFCB6A" w:rsidR="00AE22B6" w:rsidRPr="002951D9" w:rsidRDefault="00AE22B6" w:rsidP="00AE22B6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2951D9">
        <w:rPr>
          <w:rFonts w:ascii="Arial" w:eastAsia="Arial" w:hAnsi="Arial" w:cs="Arial"/>
          <w:b/>
          <w:sz w:val="20"/>
          <w:szCs w:val="20"/>
        </w:rPr>
        <w:t>III.</w:t>
      </w:r>
      <w:r w:rsidRPr="002951D9">
        <w:rPr>
          <w:rFonts w:ascii="Arial" w:eastAsia="Arial" w:hAnsi="Arial" w:cs="Arial"/>
          <w:b/>
          <w:sz w:val="20"/>
          <w:szCs w:val="20"/>
        </w:rPr>
        <w:br/>
        <w:t>Implementace Služby</w:t>
      </w:r>
    </w:p>
    <w:p w14:paraId="703943B5" w14:textId="2DAFA7C6" w:rsidR="00AE22B6" w:rsidRPr="002951D9" w:rsidRDefault="00606102" w:rsidP="000E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51D9">
        <w:rPr>
          <w:rFonts w:ascii="Arial" w:eastAsia="Arial" w:hAnsi="Arial" w:cs="Arial"/>
          <w:color w:val="000000"/>
          <w:sz w:val="20"/>
          <w:szCs w:val="20"/>
        </w:rPr>
        <w:t>Služba bude implementována v prostředí Nabyvatele</w:t>
      </w:r>
    </w:p>
    <w:p w14:paraId="6D6ABFF0" w14:textId="6BE65E08" w:rsidR="00606102" w:rsidRPr="002951D9" w:rsidRDefault="00606102" w:rsidP="000E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51D9">
        <w:rPr>
          <w:rFonts w:ascii="Arial" w:eastAsia="Arial" w:hAnsi="Arial" w:cs="Arial"/>
          <w:color w:val="000000"/>
          <w:sz w:val="20"/>
          <w:szCs w:val="20"/>
        </w:rPr>
        <w:t>Služba bude implementována ve dvou krocích</w:t>
      </w:r>
      <w:r w:rsidR="00A22BFE" w:rsidRPr="002951D9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6AA84A08" w14:textId="6F24B4AE" w:rsidR="00A22BFE" w:rsidRPr="002951D9" w:rsidRDefault="00A22BFE" w:rsidP="00A22B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Testovací provoz – služba bude předána </w:t>
      </w:r>
      <w:r w:rsidR="007E42D5">
        <w:rPr>
          <w:rFonts w:ascii="Arial" w:eastAsia="Arial" w:hAnsi="Arial" w:cs="Arial"/>
          <w:color w:val="000000"/>
          <w:sz w:val="20"/>
          <w:szCs w:val="20"/>
        </w:rPr>
        <w:t>Nabyvateli</w:t>
      </w:r>
      <w:r w:rsidR="007E42D5" w:rsidRPr="002951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k testování nejpozději do </w:t>
      </w:r>
      <w:proofErr w:type="gramStart"/>
      <w:r w:rsidRPr="002951D9">
        <w:rPr>
          <w:rFonts w:ascii="Arial" w:eastAsia="Arial" w:hAnsi="Arial" w:cs="Arial"/>
          <w:color w:val="000000"/>
          <w:sz w:val="20"/>
          <w:szCs w:val="20"/>
        </w:rPr>
        <w:t>15.9.2023</w:t>
      </w:r>
      <w:proofErr w:type="gramEnd"/>
    </w:p>
    <w:p w14:paraId="3CB03341" w14:textId="6E346820" w:rsidR="00A22BFE" w:rsidRPr="002951D9" w:rsidRDefault="00A22BFE" w:rsidP="00A22B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Ostrý provoz – služba bude předána </w:t>
      </w:r>
      <w:r w:rsidR="007E42D5">
        <w:rPr>
          <w:rFonts w:ascii="Arial" w:eastAsia="Arial" w:hAnsi="Arial" w:cs="Arial"/>
          <w:color w:val="000000"/>
          <w:sz w:val="20"/>
          <w:szCs w:val="20"/>
        </w:rPr>
        <w:t>Nabyvateli</w:t>
      </w:r>
      <w:r w:rsidR="007E42D5" w:rsidRPr="002951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do ostrého provozu nejpozději do </w:t>
      </w:r>
      <w:proofErr w:type="gramStart"/>
      <w:r w:rsidRPr="002951D9">
        <w:rPr>
          <w:rFonts w:ascii="Arial" w:eastAsia="Arial" w:hAnsi="Arial" w:cs="Arial"/>
          <w:color w:val="000000"/>
          <w:sz w:val="20"/>
          <w:szCs w:val="20"/>
        </w:rPr>
        <w:t>30.9.2023</w:t>
      </w:r>
      <w:proofErr w:type="gramEnd"/>
    </w:p>
    <w:p w14:paraId="74936110" w14:textId="727DC12E" w:rsidR="00A22BFE" w:rsidRPr="002951D9" w:rsidRDefault="00A22BFE" w:rsidP="000E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Finální předání bude realizováno do </w:t>
      </w:r>
      <w:proofErr w:type="gramStart"/>
      <w:r w:rsidRPr="002951D9">
        <w:rPr>
          <w:rFonts w:ascii="Arial" w:eastAsia="Arial" w:hAnsi="Arial" w:cs="Arial"/>
          <w:color w:val="000000"/>
          <w:sz w:val="20"/>
          <w:szCs w:val="20"/>
        </w:rPr>
        <w:t>30.9. formou</w:t>
      </w:r>
      <w:proofErr w:type="gramEnd"/>
      <w:r w:rsidRPr="002951D9">
        <w:rPr>
          <w:rFonts w:ascii="Arial" w:eastAsia="Arial" w:hAnsi="Arial" w:cs="Arial"/>
          <w:color w:val="000000"/>
          <w:sz w:val="20"/>
          <w:szCs w:val="20"/>
        </w:rPr>
        <w:t xml:space="preserve"> předávacího protokolu a závěrečné zprávy</w:t>
      </w:r>
    </w:p>
    <w:p w14:paraId="20EE3A95" w14:textId="48D0A675" w:rsidR="00A22BFE" w:rsidRDefault="001A1EA1" w:rsidP="000E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Poskytovatel licence bude poskytovat Nabyvateli licence technickou podporu služby</w:t>
      </w:r>
      <w:r w:rsidR="002951D9" w:rsidRPr="002951D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Technickou podporu bude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Poskytovatel licence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poskytovat od okamžiku předání služby do ostrého provozu po dobu jednoho roku. Technická podpora se automaticky prodlužuje o dobu jednoho roku, pokud Nabyvatel licence nejpozději 3 měsíce před uplynutím doby poskytování technické podpory písemně neoznámí Poskytovateli licence, že o </w:t>
      </w:r>
      <w:proofErr w:type="gramStart"/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další  </w:t>
      </w:r>
      <w:r>
        <w:rPr>
          <w:rFonts w:ascii="Arial" w:eastAsia="Arial" w:hAnsi="Arial" w:cs="Arial"/>
          <w:color w:val="000000"/>
          <w:sz w:val="20"/>
          <w:szCs w:val="20"/>
        </w:rPr>
        <w:t>technickou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podporu nemá zájem.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Specifikace t</w:t>
      </w:r>
      <w:r w:rsidR="00441E00">
        <w:rPr>
          <w:rFonts w:ascii="Arial" w:eastAsia="Arial" w:hAnsi="Arial" w:cs="Arial"/>
          <w:color w:val="000000"/>
          <w:sz w:val="20"/>
          <w:szCs w:val="20"/>
        </w:rPr>
        <w:t>echnick</w:t>
      </w:r>
      <w:r w:rsidR="004F7E65">
        <w:rPr>
          <w:rFonts w:ascii="Arial" w:eastAsia="Arial" w:hAnsi="Arial" w:cs="Arial"/>
          <w:color w:val="000000"/>
          <w:sz w:val="20"/>
          <w:szCs w:val="20"/>
        </w:rPr>
        <w:t>é</w:t>
      </w:r>
      <w:r w:rsidR="00441E00">
        <w:rPr>
          <w:rFonts w:ascii="Arial" w:eastAsia="Arial" w:hAnsi="Arial" w:cs="Arial"/>
          <w:color w:val="000000"/>
          <w:sz w:val="20"/>
          <w:szCs w:val="20"/>
        </w:rPr>
        <w:t xml:space="preserve"> podpor</w:t>
      </w:r>
      <w:r w:rsidR="004F7E65">
        <w:rPr>
          <w:rFonts w:ascii="Arial" w:eastAsia="Arial" w:hAnsi="Arial" w:cs="Arial"/>
          <w:color w:val="000000"/>
          <w:sz w:val="20"/>
          <w:szCs w:val="20"/>
        </w:rPr>
        <w:t>y</w:t>
      </w:r>
      <w:r w:rsidR="00441E00">
        <w:rPr>
          <w:rFonts w:ascii="Arial" w:eastAsia="Arial" w:hAnsi="Arial" w:cs="Arial"/>
          <w:color w:val="000000"/>
          <w:sz w:val="20"/>
          <w:szCs w:val="20"/>
        </w:rPr>
        <w:t xml:space="preserve"> bude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stanovena ve</w:t>
      </w:r>
      <w:r w:rsidR="00441E00">
        <w:rPr>
          <w:rFonts w:ascii="Arial" w:eastAsia="Arial" w:hAnsi="Arial" w:cs="Arial"/>
          <w:color w:val="000000"/>
          <w:sz w:val="20"/>
          <w:szCs w:val="20"/>
        </w:rPr>
        <w:t xml:space="preserve"> zvláštní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smlouvě </w:t>
      </w:r>
      <w:r w:rsidR="00441E00">
        <w:rPr>
          <w:rFonts w:ascii="Arial" w:eastAsia="Arial" w:hAnsi="Arial" w:cs="Arial"/>
          <w:color w:val="000000"/>
          <w:sz w:val="20"/>
          <w:szCs w:val="20"/>
        </w:rPr>
        <w:t>o technické podpoře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; přičemž návrh této smlouvy </w:t>
      </w:r>
      <w:r w:rsidR="00441E00">
        <w:rPr>
          <w:rFonts w:ascii="Arial" w:eastAsia="Arial" w:hAnsi="Arial" w:cs="Arial"/>
          <w:color w:val="000000"/>
          <w:sz w:val="20"/>
          <w:szCs w:val="20"/>
        </w:rPr>
        <w:t>předlož</w:t>
      </w:r>
      <w:r w:rsidR="004F7E65">
        <w:rPr>
          <w:rFonts w:ascii="Arial" w:eastAsia="Arial" w:hAnsi="Arial" w:cs="Arial"/>
          <w:color w:val="000000"/>
          <w:sz w:val="20"/>
          <w:szCs w:val="20"/>
        </w:rPr>
        <w:t>í</w:t>
      </w:r>
      <w:r w:rsidR="00441E0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Poskytovatel licence </w:t>
      </w:r>
      <w:r w:rsidR="00441E00">
        <w:rPr>
          <w:rFonts w:ascii="Arial" w:eastAsia="Arial" w:hAnsi="Arial" w:cs="Arial"/>
          <w:color w:val="000000"/>
          <w:sz w:val="20"/>
          <w:szCs w:val="20"/>
        </w:rPr>
        <w:t xml:space="preserve">nejpozději do </w:t>
      </w:r>
      <w:proofErr w:type="gramStart"/>
      <w:r w:rsidR="00441E00">
        <w:rPr>
          <w:rFonts w:ascii="Arial" w:eastAsia="Arial" w:hAnsi="Arial" w:cs="Arial"/>
          <w:color w:val="000000"/>
          <w:sz w:val="20"/>
          <w:szCs w:val="20"/>
        </w:rPr>
        <w:t>15.9.2023</w:t>
      </w:r>
      <w:proofErr w:type="gramEnd"/>
      <w:r w:rsidR="004F7E65">
        <w:rPr>
          <w:rFonts w:ascii="Arial" w:eastAsia="Arial" w:hAnsi="Arial" w:cs="Arial"/>
          <w:color w:val="000000"/>
          <w:sz w:val="20"/>
          <w:szCs w:val="20"/>
        </w:rPr>
        <w:t>; pokud se strany nedohodnou o specifikaci technické podpory, má N</w:t>
      </w:r>
      <w:r>
        <w:rPr>
          <w:rFonts w:ascii="Arial" w:eastAsia="Arial" w:hAnsi="Arial" w:cs="Arial"/>
          <w:color w:val="000000"/>
          <w:sz w:val="20"/>
          <w:szCs w:val="20"/>
        </w:rPr>
        <w:t>abyvatel licence právo od s</w:t>
      </w:r>
      <w:r w:rsidR="004F7E65">
        <w:rPr>
          <w:rFonts w:ascii="Arial" w:eastAsia="Arial" w:hAnsi="Arial" w:cs="Arial"/>
          <w:color w:val="000000"/>
          <w:sz w:val="20"/>
          <w:szCs w:val="20"/>
        </w:rPr>
        <w:t>mlouvy odstoupit.</w:t>
      </w:r>
    </w:p>
    <w:p w14:paraId="3425E3E5" w14:textId="3DD28A81" w:rsidR="004F7E65" w:rsidRDefault="004F7E65" w:rsidP="000E7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Kontaktní osoby smluvních stran:</w:t>
      </w:r>
    </w:p>
    <w:p w14:paraId="511858DE" w14:textId="592603D8" w:rsidR="004F7E65" w:rsidRDefault="004F7E65" w:rsidP="00BA39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Poskytovatel licence: </w:t>
      </w:r>
      <w:r w:rsidR="00876D2E">
        <w:rPr>
          <w:rFonts w:ascii="Arial" w:eastAsia="Arial" w:hAnsi="Arial" w:cs="Arial"/>
          <w:color w:val="000000"/>
          <w:sz w:val="20"/>
          <w:szCs w:val="20"/>
        </w:rPr>
        <w:t>xxxxxxxxxxxxxxx</w:t>
      </w:r>
      <w:bookmarkStart w:id="0" w:name="_GoBack"/>
      <w:bookmarkEnd w:id="0"/>
    </w:p>
    <w:p w14:paraId="1258768B" w14:textId="2AF8C0D9" w:rsidR="004F7E65" w:rsidRPr="002951D9" w:rsidRDefault="004F7E65" w:rsidP="00BA39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Nabyvatel licence: </w:t>
      </w:r>
      <w:proofErr w:type="spellStart"/>
      <w:r w:rsidR="00876D2E">
        <w:rPr>
          <w:rFonts w:ascii="Arial" w:eastAsia="Arial" w:hAnsi="Arial" w:cs="Arial"/>
          <w:color w:val="000000"/>
          <w:sz w:val="20"/>
          <w:szCs w:val="20"/>
        </w:rPr>
        <w:t>xxxxxxxxxxxxx</w:t>
      </w:r>
      <w:proofErr w:type="spellEnd"/>
      <w:r w:rsidR="000E49E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876D2E">
        <w:rPr>
          <w:rFonts w:ascii="Arial" w:eastAsia="Arial" w:hAnsi="Arial" w:cs="Arial"/>
          <w:color w:val="000000"/>
          <w:sz w:val="20"/>
          <w:szCs w:val="20"/>
        </w:rPr>
        <w:t>xxxxxxxxxxxxxxxx</w:t>
      </w:r>
      <w:proofErr w:type="spellEnd"/>
    </w:p>
    <w:p w14:paraId="30F8A336" w14:textId="77777777" w:rsidR="00AE22B6" w:rsidRDefault="00AE22B6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24AA67" w14:textId="77777777" w:rsidR="00AC5CBC" w:rsidRPr="002951D9" w:rsidRDefault="00AC5CBC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BB8FD14" w14:textId="77777777" w:rsidR="00AE22B6" w:rsidRPr="002951D9" w:rsidRDefault="00AE22B6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7760E45" w14:textId="65D6FD7E" w:rsidR="00096B96" w:rsidRPr="002951D9" w:rsidRDefault="003F12C0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2951D9">
        <w:rPr>
          <w:rFonts w:ascii="Arial" w:eastAsia="Arial" w:hAnsi="Arial" w:cs="Arial"/>
          <w:b/>
          <w:sz w:val="20"/>
          <w:szCs w:val="20"/>
        </w:rPr>
        <w:t>I</w:t>
      </w:r>
      <w:r w:rsidR="00AE22B6" w:rsidRPr="002951D9">
        <w:rPr>
          <w:rFonts w:ascii="Arial" w:eastAsia="Arial" w:hAnsi="Arial" w:cs="Arial"/>
          <w:b/>
          <w:sz w:val="20"/>
          <w:szCs w:val="20"/>
        </w:rPr>
        <w:t>V</w:t>
      </w:r>
      <w:r w:rsidRPr="002951D9">
        <w:rPr>
          <w:rFonts w:ascii="Arial" w:eastAsia="Arial" w:hAnsi="Arial" w:cs="Arial"/>
          <w:b/>
          <w:sz w:val="20"/>
          <w:szCs w:val="20"/>
        </w:rPr>
        <w:t>.</w:t>
      </w:r>
      <w:r w:rsidRPr="002951D9">
        <w:rPr>
          <w:rFonts w:ascii="Arial" w:eastAsia="Arial" w:hAnsi="Arial" w:cs="Arial"/>
          <w:b/>
          <w:sz w:val="20"/>
          <w:szCs w:val="20"/>
        </w:rPr>
        <w:br/>
        <w:t>Odměna za licenci</w:t>
      </w:r>
      <w:r w:rsidR="00AE22B6" w:rsidRPr="002951D9">
        <w:rPr>
          <w:rFonts w:ascii="Arial" w:eastAsia="Arial" w:hAnsi="Arial" w:cs="Arial"/>
          <w:b/>
          <w:sz w:val="20"/>
          <w:szCs w:val="20"/>
        </w:rPr>
        <w:t xml:space="preserve"> Služby a platební podmínky</w:t>
      </w:r>
    </w:p>
    <w:p w14:paraId="470E39A5" w14:textId="607C8FD3" w:rsidR="00096B96" w:rsidRPr="002951D9" w:rsidRDefault="003F12C0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951D9">
        <w:rPr>
          <w:rFonts w:ascii="Arial" w:eastAsia="Arial" w:hAnsi="Arial" w:cs="Arial"/>
          <w:sz w:val="20"/>
          <w:szCs w:val="20"/>
        </w:rPr>
        <w:t>Smluvní strany se dohodly na úplatném poskytnutí licence k </w:t>
      </w:r>
      <w:r w:rsidR="00AE22B6" w:rsidRPr="002951D9">
        <w:rPr>
          <w:rFonts w:ascii="Arial" w:eastAsia="Arial" w:hAnsi="Arial" w:cs="Arial"/>
          <w:sz w:val="20"/>
          <w:szCs w:val="20"/>
        </w:rPr>
        <w:t>Služby</w:t>
      </w:r>
      <w:r w:rsidRPr="002951D9">
        <w:rPr>
          <w:rFonts w:ascii="Arial" w:eastAsia="Arial" w:hAnsi="Arial" w:cs="Arial"/>
          <w:sz w:val="20"/>
          <w:szCs w:val="20"/>
        </w:rPr>
        <w:t>.</w:t>
      </w:r>
    </w:p>
    <w:p w14:paraId="07C63AD9" w14:textId="4871DD65" w:rsidR="00096B96" w:rsidRPr="002951D9" w:rsidRDefault="003F12C0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951D9">
        <w:rPr>
          <w:rFonts w:ascii="Arial" w:eastAsia="Arial" w:hAnsi="Arial" w:cs="Arial"/>
          <w:sz w:val="20"/>
          <w:szCs w:val="20"/>
        </w:rPr>
        <w:t xml:space="preserve">Odměna Poskytovatele licence za poskytnutí licence je stanovena na základě dohody smluvních stran a činí </w:t>
      </w:r>
      <w:r w:rsidR="00AE22B6" w:rsidRPr="002951D9">
        <w:rPr>
          <w:rFonts w:ascii="Arial" w:eastAsia="Arial" w:hAnsi="Arial" w:cs="Arial"/>
          <w:sz w:val="20"/>
          <w:szCs w:val="20"/>
        </w:rPr>
        <w:t>28</w:t>
      </w:r>
      <w:r w:rsidRPr="002951D9">
        <w:rPr>
          <w:rFonts w:ascii="Arial" w:eastAsia="Arial" w:hAnsi="Arial" w:cs="Arial"/>
          <w:sz w:val="20"/>
          <w:szCs w:val="20"/>
        </w:rPr>
        <w:t>0.000,-Kč</w:t>
      </w:r>
      <w:r w:rsidRPr="002951D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951D9">
        <w:rPr>
          <w:rFonts w:ascii="Arial" w:eastAsia="Arial" w:hAnsi="Arial" w:cs="Arial"/>
          <w:sz w:val="20"/>
          <w:szCs w:val="20"/>
        </w:rPr>
        <w:t>bez DPH</w:t>
      </w:r>
    </w:p>
    <w:p w14:paraId="5ACC4A62" w14:textId="74A37483" w:rsidR="00096B96" w:rsidRPr="002951D9" w:rsidRDefault="00606102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 w:rsidRPr="002951D9">
        <w:rPr>
          <w:rFonts w:ascii="Arial" w:eastAsia="Arial" w:hAnsi="Arial" w:cs="Arial"/>
          <w:sz w:val="20"/>
          <w:szCs w:val="20"/>
        </w:rPr>
        <w:t xml:space="preserve">Odměna poskytovatele licence </w:t>
      </w:r>
      <w:r w:rsidR="00BA3989">
        <w:rPr>
          <w:rFonts w:ascii="Arial" w:eastAsia="Arial" w:hAnsi="Arial" w:cs="Arial"/>
          <w:sz w:val="20"/>
          <w:szCs w:val="20"/>
        </w:rPr>
        <w:t>bude hrazena</w:t>
      </w:r>
      <w:r w:rsidRPr="002951D9">
        <w:rPr>
          <w:rFonts w:ascii="Arial" w:eastAsia="Arial" w:hAnsi="Arial" w:cs="Arial"/>
          <w:sz w:val="20"/>
          <w:szCs w:val="20"/>
        </w:rPr>
        <w:t xml:space="preserve"> takto:</w:t>
      </w:r>
    </w:p>
    <w:p w14:paraId="5EB6BF5A" w14:textId="3DB9B9BB" w:rsidR="00606102" w:rsidRPr="002951D9" w:rsidRDefault="00606102" w:rsidP="00606102">
      <w:pPr>
        <w:numPr>
          <w:ilvl w:val="1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951D9">
        <w:rPr>
          <w:rFonts w:ascii="Arial" w:eastAsia="Arial" w:hAnsi="Arial" w:cs="Arial"/>
          <w:sz w:val="20"/>
          <w:szCs w:val="20"/>
        </w:rPr>
        <w:t xml:space="preserve">80.000,- Kč bez </w:t>
      </w:r>
      <w:proofErr w:type="gramStart"/>
      <w:r w:rsidRPr="002951D9">
        <w:rPr>
          <w:rFonts w:ascii="Arial" w:eastAsia="Arial" w:hAnsi="Arial" w:cs="Arial"/>
          <w:sz w:val="20"/>
          <w:szCs w:val="20"/>
        </w:rPr>
        <w:t>DPH  jako</w:t>
      </w:r>
      <w:proofErr w:type="gramEnd"/>
      <w:r w:rsidRPr="002951D9">
        <w:rPr>
          <w:rFonts w:ascii="Arial" w:eastAsia="Arial" w:hAnsi="Arial" w:cs="Arial"/>
          <w:sz w:val="20"/>
          <w:szCs w:val="20"/>
        </w:rPr>
        <w:t xml:space="preserve"> záloha po </w:t>
      </w:r>
      <w:r w:rsidR="00BA3989">
        <w:rPr>
          <w:rFonts w:ascii="Arial" w:eastAsia="Arial" w:hAnsi="Arial" w:cs="Arial"/>
          <w:sz w:val="20"/>
          <w:szCs w:val="20"/>
        </w:rPr>
        <w:t>účinnosti</w:t>
      </w:r>
      <w:r w:rsidR="00BA3989" w:rsidRPr="002951D9">
        <w:rPr>
          <w:rFonts w:ascii="Arial" w:eastAsia="Arial" w:hAnsi="Arial" w:cs="Arial"/>
          <w:sz w:val="20"/>
          <w:szCs w:val="20"/>
        </w:rPr>
        <w:t xml:space="preserve"> </w:t>
      </w:r>
      <w:r w:rsidRPr="002951D9">
        <w:rPr>
          <w:rFonts w:ascii="Arial" w:eastAsia="Arial" w:hAnsi="Arial" w:cs="Arial"/>
          <w:sz w:val="20"/>
          <w:szCs w:val="20"/>
        </w:rPr>
        <w:t>smlouvy, sloužící k financování implementačních a vývojových prací</w:t>
      </w:r>
      <w:r w:rsidR="00BA3989">
        <w:rPr>
          <w:rFonts w:ascii="Arial" w:eastAsia="Arial" w:hAnsi="Arial" w:cs="Arial"/>
          <w:sz w:val="20"/>
          <w:szCs w:val="20"/>
        </w:rPr>
        <w:t>,</w:t>
      </w:r>
    </w:p>
    <w:p w14:paraId="440CA1F8" w14:textId="1E8BCEE3" w:rsidR="00606102" w:rsidRPr="002951D9" w:rsidRDefault="00606102" w:rsidP="00606102">
      <w:pPr>
        <w:numPr>
          <w:ilvl w:val="1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951D9">
        <w:rPr>
          <w:rFonts w:ascii="Arial" w:eastAsia="Arial" w:hAnsi="Arial" w:cs="Arial"/>
          <w:sz w:val="20"/>
          <w:szCs w:val="20"/>
        </w:rPr>
        <w:lastRenderedPageBreak/>
        <w:t xml:space="preserve">90.000,- Kč bez </w:t>
      </w:r>
      <w:proofErr w:type="gramStart"/>
      <w:r w:rsidRPr="002951D9">
        <w:rPr>
          <w:rFonts w:ascii="Arial" w:eastAsia="Arial" w:hAnsi="Arial" w:cs="Arial"/>
          <w:sz w:val="20"/>
          <w:szCs w:val="20"/>
        </w:rPr>
        <w:t>DPH  po</w:t>
      </w:r>
      <w:proofErr w:type="gramEnd"/>
      <w:r w:rsidRPr="002951D9">
        <w:rPr>
          <w:rFonts w:ascii="Arial" w:eastAsia="Arial" w:hAnsi="Arial" w:cs="Arial"/>
          <w:sz w:val="20"/>
          <w:szCs w:val="20"/>
        </w:rPr>
        <w:t xml:space="preserve"> předání služby do testovacího provozu</w:t>
      </w:r>
      <w:r w:rsidR="00BA3989">
        <w:rPr>
          <w:rFonts w:ascii="Arial" w:eastAsia="Arial" w:hAnsi="Arial" w:cs="Arial"/>
          <w:sz w:val="20"/>
          <w:szCs w:val="20"/>
        </w:rPr>
        <w:t>,</w:t>
      </w:r>
    </w:p>
    <w:p w14:paraId="366A565F" w14:textId="2BBDA7E8" w:rsidR="00606102" w:rsidRDefault="00606102" w:rsidP="00606102">
      <w:pPr>
        <w:numPr>
          <w:ilvl w:val="1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2951D9">
        <w:rPr>
          <w:rFonts w:ascii="Arial" w:eastAsia="Arial" w:hAnsi="Arial" w:cs="Arial"/>
          <w:sz w:val="20"/>
          <w:szCs w:val="20"/>
        </w:rPr>
        <w:t>110.000,- Kč bez DPH po předání služby do ostrého provozu</w:t>
      </w:r>
      <w:r w:rsidR="00BA3989">
        <w:rPr>
          <w:rFonts w:ascii="Arial" w:eastAsia="Arial" w:hAnsi="Arial" w:cs="Arial"/>
          <w:sz w:val="20"/>
          <w:szCs w:val="20"/>
        </w:rPr>
        <w:t>.</w:t>
      </w:r>
    </w:p>
    <w:p w14:paraId="78F02EF8" w14:textId="1D5445E0" w:rsidR="004F7E65" w:rsidRDefault="004F7E65" w:rsidP="00BA3989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Odměna za roční technickou podp</w:t>
      </w:r>
      <w:r w:rsidR="00BA3989"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u je </w:t>
      </w:r>
      <w:r w:rsidR="00BA3989">
        <w:rPr>
          <w:rFonts w:ascii="Arial" w:eastAsia="Arial" w:hAnsi="Arial" w:cs="Arial"/>
          <w:sz w:val="20"/>
          <w:szCs w:val="20"/>
        </w:rPr>
        <w:t>54.000,- Kč bez DPH.</w:t>
      </w:r>
    </w:p>
    <w:p w14:paraId="4509582C" w14:textId="36B275FE" w:rsidR="00BA3989" w:rsidRPr="00BA3989" w:rsidRDefault="00BA3989" w:rsidP="00BA3989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Odměna bude hrazena na základě faktury. Právo fakturovat má Poskytovatel licence vždy po vzniku skutečnosti dle odstavce</w:t>
      </w:r>
      <w:r w:rsidR="001A1EA1">
        <w:rPr>
          <w:rFonts w:ascii="Arial" w:eastAsia="Arial" w:hAnsi="Arial" w:cs="Arial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. O</w:t>
      </w:r>
      <w:r w:rsidR="001A1EA1">
        <w:rPr>
          <w:rFonts w:ascii="Arial" w:eastAsia="Arial" w:hAnsi="Arial" w:cs="Arial"/>
          <w:sz w:val="20"/>
          <w:szCs w:val="20"/>
        </w:rPr>
        <w:t xml:space="preserve">dměnu za roční podporu </w:t>
      </w:r>
      <w:proofErr w:type="gramStart"/>
      <w:r w:rsidR="001A1EA1">
        <w:rPr>
          <w:rFonts w:ascii="Arial" w:eastAsia="Arial" w:hAnsi="Arial" w:cs="Arial"/>
          <w:sz w:val="20"/>
          <w:szCs w:val="20"/>
        </w:rPr>
        <w:t xml:space="preserve">má </w:t>
      </w:r>
      <w:r>
        <w:rPr>
          <w:rFonts w:ascii="Arial" w:eastAsia="Arial" w:hAnsi="Arial" w:cs="Arial"/>
          <w:sz w:val="20"/>
          <w:szCs w:val="20"/>
        </w:rPr>
        <w:t>Poskytoval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licence právo fakturovat </w:t>
      </w:r>
      <w:r w:rsidR="001A1EA1">
        <w:rPr>
          <w:rFonts w:ascii="Arial" w:eastAsia="Arial" w:hAnsi="Arial" w:cs="Arial"/>
          <w:sz w:val="20"/>
          <w:szCs w:val="20"/>
        </w:rPr>
        <w:t>po uplynutí doby roční podpory.</w:t>
      </w:r>
      <w:r w:rsidRPr="00BA3989">
        <w:rPr>
          <w:rFonts w:ascii="Arial" w:eastAsia="Arial" w:hAnsi="Arial" w:cs="Arial"/>
          <w:sz w:val="20"/>
          <w:szCs w:val="20"/>
        </w:rPr>
        <w:t xml:space="preserve"> Doba splatnosti faktury je 15 dnů ode dne vystavení, pokud byla neprodleně po vystavení odeslána na výše uvedenou adresu </w:t>
      </w:r>
      <w:r w:rsidR="001A1EA1">
        <w:rPr>
          <w:rFonts w:ascii="Arial" w:eastAsia="Arial" w:hAnsi="Arial" w:cs="Arial"/>
          <w:sz w:val="20"/>
          <w:szCs w:val="20"/>
        </w:rPr>
        <w:t>Nabyvatele licence</w:t>
      </w:r>
      <w:r w:rsidRPr="00BA3989">
        <w:rPr>
          <w:rFonts w:ascii="Arial" w:eastAsia="Arial" w:hAnsi="Arial" w:cs="Arial"/>
          <w:sz w:val="20"/>
          <w:szCs w:val="20"/>
        </w:rPr>
        <w:t xml:space="preserve">, jinak 15 dnů ode dne doručení na výše uvedenou adresu </w:t>
      </w:r>
      <w:r w:rsidR="001A1EA1">
        <w:rPr>
          <w:rFonts w:ascii="Arial" w:eastAsia="Arial" w:hAnsi="Arial" w:cs="Arial"/>
          <w:sz w:val="20"/>
          <w:szCs w:val="20"/>
        </w:rPr>
        <w:t>Nabyvatele licence</w:t>
      </w:r>
      <w:r w:rsidRPr="00BA3989">
        <w:rPr>
          <w:rFonts w:ascii="Arial" w:eastAsia="Arial" w:hAnsi="Arial" w:cs="Arial"/>
          <w:sz w:val="20"/>
          <w:szCs w:val="20"/>
        </w:rPr>
        <w:t xml:space="preserve">. Okamžikem zaplacení se rozumí okamžik připsání peněz na účet </w:t>
      </w:r>
      <w:r w:rsidR="001A1EA1">
        <w:rPr>
          <w:rFonts w:ascii="Arial" w:eastAsia="Arial" w:hAnsi="Arial" w:cs="Arial"/>
          <w:sz w:val="20"/>
          <w:szCs w:val="20"/>
        </w:rPr>
        <w:t>Poskytovatele licence</w:t>
      </w:r>
      <w:r w:rsidRPr="00BA3989">
        <w:rPr>
          <w:rFonts w:ascii="Arial" w:eastAsia="Arial" w:hAnsi="Arial" w:cs="Arial"/>
          <w:sz w:val="20"/>
          <w:szCs w:val="20"/>
        </w:rPr>
        <w:t>.</w:t>
      </w:r>
    </w:p>
    <w:p w14:paraId="15BA47A3" w14:textId="06B9E109" w:rsidR="00BA3989" w:rsidRPr="000E49E4" w:rsidRDefault="00BA3989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BA3989">
        <w:rPr>
          <w:rFonts w:ascii="Arial" w:eastAsia="Arial" w:hAnsi="Arial" w:cs="Arial"/>
          <w:sz w:val="20"/>
          <w:szCs w:val="20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D4EA1CA" w14:textId="77777777" w:rsidR="00096B96" w:rsidRPr="002951D9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0463A1E" w14:textId="77777777" w:rsidR="00096B96" w:rsidRDefault="003F12C0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2951D9">
        <w:rPr>
          <w:rFonts w:ascii="Arial" w:eastAsia="Arial" w:hAnsi="Arial" w:cs="Arial"/>
          <w:b/>
          <w:sz w:val="20"/>
          <w:szCs w:val="20"/>
        </w:rPr>
        <w:t>V.</w:t>
      </w:r>
      <w:r>
        <w:rPr>
          <w:rFonts w:ascii="Arial" w:eastAsia="Arial" w:hAnsi="Arial" w:cs="Arial"/>
          <w:b/>
          <w:sz w:val="20"/>
          <w:szCs w:val="20"/>
        </w:rPr>
        <w:br/>
        <w:t>Povinnosti smluvních stran</w:t>
      </w:r>
    </w:p>
    <w:p w14:paraId="713053CF" w14:textId="302F8211" w:rsidR="00096B96" w:rsidRDefault="003F1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Nabyvatel licence se zavazuje respektovat oprávněné zájmy a práva vykonávaná Poskytovatelem licence k 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</w:t>
      </w:r>
      <w:r w:rsidR="000E7647">
        <w:rPr>
          <w:rFonts w:ascii="Arial" w:eastAsia="Arial" w:hAnsi="Arial" w:cs="Arial"/>
          <w:color w:val="000000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0C0DE7" w14:textId="77777777" w:rsidR="00096B96" w:rsidRDefault="003F1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Nabyvatel licence je povinen bezodkladně informovat Poskytovatele licence, je-li omezován ve výkonu práv dle této Smlouvy třetími osobami nebo zjistí-li, že třetí osoby práva dle této Smlouvy porušují.</w:t>
      </w:r>
    </w:p>
    <w:p w14:paraId="777E51B9" w14:textId="77777777" w:rsidR="00096B96" w:rsidRDefault="003F1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Nabyvatel licence není oprávněn:</w:t>
      </w:r>
    </w:p>
    <w:p w14:paraId="44121B3F" w14:textId="1DAEFB09" w:rsidR="00096B96" w:rsidRDefault="003F12C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používat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</w:t>
      </w:r>
      <w:r w:rsidR="000E7647"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 vývoji odvozených softwarových aplikací pro použití nebo distribuci jakékoliv třetí osobě, a to vcelku nebo částečně, jako samostatné produkty nebo komponenty a jakýmikoliv distribučními prostředky (včetně internetu a služeb založených na internetu);</w:t>
      </w:r>
    </w:p>
    <w:p w14:paraId="34D15859" w14:textId="40058B44" w:rsidR="00096B96" w:rsidRDefault="003F12C0" w:rsidP="002E71F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vykonávat nebo nabízet jakýkoliv druh služeb přímo či nepřímo spojených se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</w:t>
      </w:r>
      <w:r w:rsidR="000E7647"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(ani formou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Software as 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Service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pro jakoukoliv třetí osobu, bez ohledu na to, jak jsou takové služby nabízeny a vykonávány (včetně internetu a služeb založených na internetu).</w:t>
      </w:r>
    </w:p>
    <w:p w14:paraId="75A58136" w14:textId="03D29330" w:rsidR="004952DD" w:rsidRPr="002E71FF" w:rsidRDefault="004952DD" w:rsidP="004952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případě, že bude ukončena technická podpora dle č. III., odst. 4., Poskytovatel licence předá zdrojový kód a dokumentaci ke Službě dle čl. I., odst. 1 a poskytne Nabyvateli licence oprávnění Službu nadále zpracovávat a vyvíjet.</w:t>
      </w:r>
    </w:p>
    <w:p w14:paraId="5E372938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5352FD9" w14:textId="77777777" w:rsidR="00096B96" w:rsidRDefault="003F12C0">
      <w:pP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VII.</w:t>
      </w:r>
      <w:r>
        <w:rPr>
          <w:rFonts w:ascii="Arial" w:eastAsia="Arial" w:hAnsi="Arial" w:cs="Arial"/>
          <w:b/>
          <w:sz w:val="20"/>
          <w:szCs w:val="20"/>
        </w:rPr>
        <w:br/>
        <w:t>Sankce</w:t>
      </w:r>
    </w:p>
    <w:p w14:paraId="64795DE3" w14:textId="7D5695A2" w:rsidR="00096B96" w:rsidRDefault="003F1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Poskytovatel licence je oprávněn odstoupit od této Smlouvy s okamžitou účinností, nebude-li Nabyvatelem licence řádně a včas uhrazena odměna za licenci (čl. I</w:t>
      </w:r>
      <w:r w:rsidR="000E7647"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. této Smlouvy), a to ani po dodatečně poskytnuté náhradní lhůtě pěti (5) pracovních dnů.</w:t>
      </w:r>
    </w:p>
    <w:p w14:paraId="1F13C74D" w14:textId="77777777" w:rsidR="00096B96" w:rsidRDefault="003F1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Odstoupení jedné smluvní strany je účinné, bylo-li vyhotoveno písemně s uvedením důvodu odstoupení a doručeno druhé smluvní straně.</w:t>
      </w:r>
    </w:p>
    <w:p w14:paraId="54D195C9" w14:textId="5F873320" w:rsidR="00096B96" w:rsidRDefault="003F1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případě, že dojde k zániku této Smlouvy, je Poskytovatel licence oprávněn využít prostředků zabezpečení integrovaných do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zamezit Nabyvateli licence další užívání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76C1E6F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4C44900" w14:textId="77777777" w:rsidR="000E49E4" w:rsidRDefault="000E49E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4931310F" w14:textId="77777777" w:rsidR="000E49E4" w:rsidRDefault="000E49E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7F33DECB" w14:textId="77777777" w:rsidR="000E49E4" w:rsidRDefault="000E49E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9D836B4" w14:textId="77777777" w:rsidR="00096B96" w:rsidRDefault="003F12C0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VIII.</w:t>
      </w:r>
      <w:r>
        <w:rPr>
          <w:rFonts w:ascii="Arial" w:eastAsia="Arial" w:hAnsi="Arial" w:cs="Arial"/>
          <w:b/>
          <w:sz w:val="20"/>
          <w:szCs w:val="20"/>
        </w:rPr>
        <w:br/>
        <w:t>Odpovědnost za škodu</w:t>
      </w:r>
    </w:p>
    <w:p w14:paraId="56B781F0" w14:textId="29349E1C" w:rsidR="00096B96" w:rsidRDefault="003F1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Poskytovatel licence neodpovídá za škodu způsobenou vadami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nebo jeho chybnými výstupy, byly-li zapříčiněny Nabyvatelem licence, oprávněnými uživateli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třetími osobami pověřenými Nabyvatelem licence nebo okolnostmi vylučujícími odpovědnost. </w:t>
      </w:r>
    </w:p>
    <w:p w14:paraId="5900B944" w14:textId="77777777" w:rsidR="00096B96" w:rsidRDefault="003F12C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Poskytovatel neodpovídá za škodu způsobenou zejména:</w:t>
      </w:r>
    </w:p>
    <w:p w14:paraId="0BD040D2" w14:textId="588CB903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vložením nesprávných údajů do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chybným postupem při vkládání informací nebo souborů do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nebo nesprávnou interpretací údajů prezentovaných prostřednictvím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4DA21827" w14:textId="5C84606E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neodborným zásahem do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, do systémového programového vybavení a prostředí;</w:t>
      </w:r>
    </w:p>
    <w:p w14:paraId="5E8564C3" w14:textId="162B88AE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neschválenou změnou cílového zařízení, kde byl</w:t>
      </w:r>
      <w:r w:rsidR="000E7647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</w:t>
      </w:r>
      <w:r w:rsidR="000E7647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instalován</w:t>
      </w:r>
      <w:r w:rsidR="000E7647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E776974" w14:textId="77777777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nesprávnou funkcí technického vybavení, operačního systému nebo sítě;</w:t>
      </w:r>
    </w:p>
    <w:p w14:paraId="06154E1A" w14:textId="10C56019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nesprávnou funkcí programů jiných výrobců, které běží současně s</w:t>
      </w:r>
      <w:r w:rsidR="000E7647">
        <w:rPr>
          <w:rFonts w:ascii="Arial" w:eastAsia="Arial" w:hAnsi="Arial" w:cs="Arial"/>
          <w:color w:val="000000"/>
          <w:sz w:val="20"/>
          <w:szCs w:val="20"/>
        </w:rPr>
        <w:t> dodanou Službou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 které nejsou součástí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A61EF71" w14:textId="77777777" w:rsidR="00096B96" w:rsidRDefault="003F12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neposkytnutím potřebné součinnosti ze strany Nabyvatele licence nebo jím pověřených, resp. oprávněných osob.</w:t>
      </w:r>
    </w:p>
    <w:p w14:paraId="1A2BC481" w14:textId="03D85036" w:rsidR="00096B96" w:rsidRDefault="003F1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vadu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nepovažují chybová hlášení nebo jiné obdobné projevy, které nemají podstatný vliv na je</w:t>
      </w:r>
      <w:r w:rsidR="000E7647">
        <w:rPr>
          <w:rFonts w:ascii="Arial" w:eastAsia="Arial" w:hAnsi="Arial" w:cs="Arial"/>
          <w:color w:val="000000"/>
          <w:sz w:val="20"/>
          <w:szCs w:val="20"/>
        </w:rPr>
        <w:t>jí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funkčnost a nezpůsobují odchylky od sjednaných vlastností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C1E457C" w14:textId="56FD9C6A" w:rsidR="00096B96" w:rsidRDefault="003F1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Poskytovatel nezaručuje bezvadnou funkčnost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, pokud:</w:t>
      </w:r>
    </w:p>
    <w:p w14:paraId="505C5780" w14:textId="2858D201" w:rsidR="00096B96" w:rsidRDefault="003F1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 provozován spolu s programy jiných výrobců, které znemožňují funkčnost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1959ED9" w14:textId="77777777" w:rsidR="00096B96" w:rsidRDefault="003F1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provozován na chybně nakonfigurovaném počítači nebo na chybně nastavené počítačové síti;</w:t>
      </w:r>
    </w:p>
    <w:p w14:paraId="63FB9A09" w14:textId="77777777" w:rsidR="00096B96" w:rsidRDefault="003F1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provozován na nevhodném hardwaru nebo hardwaru, který je v rozporu s technickými požadavky Poskytovatele licence;</w:t>
      </w:r>
    </w:p>
    <w:p w14:paraId="465135BE" w14:textId="46367C61" w:rsidR="00096B96" w:rsidRDefault="003F1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Nabyvatel licence provádí zásahy do </w:t>
      </w:r>
      <w:r w:rsidR="00AE22B6">
        <w:rPr>
          <w:rFonts w:ascii="Arial" w:eastAsia="Arial" w:hAnsi="Arial" w:cs="Arial"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pomocí jiných prostředků, než je samotný produkt.</w:t>
      </w:r>
    </w:p>
    <w:p w14:paraId="3487A399" w14:textId="77777777" w:rsidR="00096B96" w:rsidRDefault="003F1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Poskytovatel licence nese odpovědnost za škodu, kterou zaviní porušením svých povinností; z rozsahu náhrady škody jsou dohodou smluvních stran vyloučeny ušlý zisk, následky přerušení obchodu a následky ztráty obchodních informací Nabyvatele licence.</w:t>
      </w:r>
    </w:p>
    <w:p w14:paraId="529BFBCC" w14:textId="77777777" w:rsidR="00096B96" w:rsidRDefault="00096B96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17AB6F" w14:textId="77777777" w:rsidR="00096B96" w:rsidRDefault="003F12C0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IX.</w:t>
      </w:r>
      <w:r>
        <w:rPr>
          <w:rFonts w:ascii="Arial" w:eastAsia="Arial" w:hAnsi="Arial" w:cs="Arial"/>
          <w:b/>
          <w:sz w:val="20"/>
          <w:szCs w:val="20"/>
        </w:rPr>
        <w:br/>
        <w:t>Závěrečná ustanovení</w:t>
      </w:r>
    </w:p>
    <w:p w14:paraId="38189180" w14:textId="77777777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nabývá platnosti a účinnosti dnem připojení podpisu oběma smluvními stranami.</w:t>
      </w:r>
    </w:p>
    <w:p w14:paraId="108F06F5" w14:textId="69BC9809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se řídí právními předpisy České republiky.</w:t>
      </w:r>
    </w:p>
    <w:p w14:paraId="2251CEAE" w14:textId="2C228722" w:rsidR="001A1EA1" w:rsidRDefault="001A1E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bude uveřejněna v registru smluv dle zákona č. 340/2015 Sb.; uveřejnění zajistí Nabyvatel licence.</w:t>
      </w:r>
    </w:p>
    <w:p w14:paraId="5F00F2B7" w14:textId="318B288A" w:rsidR="001A1EA1" w:rsidRDefault="001A1E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je platná okamžikem podpisu obou smluvních stran a nabývá účinnosti okamžikem uveřejnění v registru smluv.</w:t>
      </w:r>
    </w:p>
    <w:p w14:paraId="5A0AA943" w14:textId="77777777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Tuto Smlouvu lze měnit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doplňovat pouze písemnými dodatky podepsanými oběma smluvními stranami.</w:t>
      </w:r>
    </w:p>
    <w:p w14:paraId="031ABBF6" w14:textId="77777777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 ukončení této Smlouvy jinak než z důvodu porušení povinnosti Poskytovatelem licence se uhrazené částky odměn či jejich části dle této Smlouvy nevrací.</w:t>
      </w:r>
    </w:p>
    <w:p w14:paraId="33A97B6C" w14:textId="77777777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Pokud by byly </w:t>
      </w:r>
      <w:r>
        <w:rPr>
          <w:rFonts w:ascii="Arial" w:eastAsia="Arial" w:hAnsi="Arial" w:cs="Arial"/>
          <w:sz w:val="20"/>
          <w:szCs w:val="20"/>
        </w:rPr>
        <w:t>jakýkoliv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článek nebo jakékoli ustanovení této Smlouvy shledány neúčinným nebo neplatným, nebude tímto dotčena účinnost a platnost zbývajících ustanovení, s výjimkou neplatných ustanovení, jež nemohou být oddělena od zbývajících ustanovení této Smlouvy. Příslušné neplatné ustanovení bude nahrazeno odpovídajícím ustanovením, které se z právního hlediska nejvíce podobá ustanovení zamýšlenému smluvními stranami nebo by s ohledem na předmět a účel této Smlouvy bylo zamýšleno v případě vzniku takovéto situace.</w:t>
      </w:r>
    </w:p>
    <w:p w14:paraId="07F0BAC7" w14:textId="03216EA2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Tato Smlouva je vyhotovena ve dvou stejnopisech, z nichž každá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mluvní strana obdrží jedno vyhotovení</w:t>
      </w:r>
      <w:r w:rsidR="001A1EA1">
        <w:rPr>
          <w:rFonts w:ascii="Arial" w:eastAsia="Arial" w:hAnsi="Arial" w:cs="Arial"/>
          <w:color w:val="000000"/>
          <w:sz w:val="20"/>
          <w:szCs w:val="20"/>
        </w:rPr>
        <w:t>; to neplatí v případě, že tato smlouva bude uzavřena formou elektronických podpisů smluvních stran.</w:t>
      </w:r>
    </w:p>
    <w:p w14:paraId="393A14EC" w14:textId="77777777" w:rsidR="00096B96" w:rsidRDefault="003F1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Nedílnou součástí této Smlouvy j</w:t>
      </w:r>
      <w:r>
        <w:rPr>
          <w:rFonts w:ascii="Arial" w:eastAsia="Arial" w:hAnsi="Arial" w:cs="Arial"/>
          <w:sz w:val="20"/>
          <w:szCs w:val="20"/>
        </w:rPr>
        <w:t>e její příloha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4417728" w14:textId="7AF176C5" w:rsidR="00096B96" w:rsidRDefault="003F12C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říloha č. 1 – Specifikace </w:t>
      </w:r>
      <w:r w:rsidR="00AE22B6">
        <w:rPr>
          <w:rFonts w:ascii="Arial" w:eastAsia="Arial" w:hAnsi="Arial" w:cs="Arial"/>
          <w:i/>
          <w:color w:val="000000"/>
          <w:sz w:val="20"/>
          <w:szCs w:val="20"/>
        </w:rPr>
        <w:t>Služby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0E7647">
        <w:rPr>
          <w:rFonts w:ascii="Arial" w:eastAsia="Arial" w:hAnsi="Arial" w:cs="Arial"/>
          <w:i/>
          <w:color w:val="000000"/>
          <w:sz w:val="20"/>
          <w:szCs w:val="20"/>
        </w:rPr>
        <w:t>Asistence při výběru knih</w:t>
      </w:r>
    </w:p>
    <w:p w14:paraId="5E84EFB4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3F7037E" w14:textId="77777777" w:rsidR="000E49E4" w:rsidRDefault="000E49E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84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3"/>
        <w:gridCol w:w="4441"/>
      </w:tblGrid>
      <w:tr w:rsidR="00096B96" w14:paraId="6F50B3F0" w14:textId="77777777" w:rsidTr="005F57B0">
        <w:trPr>
          <w:trHeight w:val="395"/>
        </w:trPr>
        <w:tc>
          <w:tcPr>
            <w:tcW w:w="4443" w:type="dxa"/>
          </w:tcPr>
          <w:p w14:paraId="2CECB2BF" w14:textId="74FCDFA0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AE22B6">
              <w:rPr>
                <w:rFonts w:ascii="Arial" w:eastAsia="Arial" w:hAnsi="Arial" w:cs="Arial"/>
                <w:sz w:val="20"/>
                <w:szCs w:val="20"/>
              </w:rPr>
              <w:t> Moravské Třebové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dne</w:t>
            </w:r>
            <w:r w:rsidR="00AE22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AE22B6">
              <w:rPr>
                <w:rFonts w:ascii="Arial" w:eastAsia="Arial" w:hAnsi="Arial" w:cs="Arial"/>
                <w:sz w:val="20"/>
                <w:szCs w:val="20"/>
              </w:rPr>
              <w:t>4.8.2023</w:t>
            </w:r>
            <w:proofErr w:type="gramEnd"/>
          </w:p>
        </w:tc>
        <w:tc>
          <w:tcPr>
            <w:tcW w:w="4441" w:type="dxa"/>
          </w:tcPr>
          <w:p w14:paraId="0F920183" w14:textId="170191A2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9E4">
              <w:rPr>
                <w:rFonts w:ascii="Arial" w:eastAsia="Arial" w:hAnsi="Arial" w:cs="Arial"/>
                <w:sz w:val="20"/>
                <w:szCs w:val="20"/>
              </w:rPr>
              <w:t>V </w:t>
            </w:r>
            <w:r w:rsidR="000E49E4" w:rsidRPr="00413C63">
              <w:rPr>
                <w:rFonts w:ascii="Arial" w:eastAsia="Arial" w:hAnsi="Arial" w:cs="Arial"/>
                <w:sz w:val="20"/>
                <w:szCs w:val="20"/>
              </w:rPr>
              <w:t>Praze</w:t>
            </w:r>
            <w:r w:rsidRPr="000E49E4">
              <w:rPr>
                <w:rFonts w:ascii="Arial" w:eastAsia="Arial" w:hAnsi="Arial" w:cs="Arial"/>
                <w:sz w:val="20"/>
                <w:szCs w:val="20"/>
              </w:rPr>
              <w:t>, dne</w:t>
            </w:r>
          </w:p>
        </w:tc>
      </w:tr>
      <w:tr w:rsidR="00096B96" w14:paraId="7057B2DF" w14:textId="77777777" w:rsidTr="005F57B0">
        <w:trPr>
          <w:trHeight w:val="395"/>
        </w:trPr>
        <w:tc>
          <w:tcPr>
            <w:tcW w:w="4443" w:type="dxa"/>
          </w:tcPr>
          <w:p w14:paraId="4617897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2B48A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B0832F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A57C97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13E49E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44364090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6B96" w14:paraId="3A422809" w14:textId="77777777" w:rsidTr="005F57B0">
        <w:trPr>
          <w:trHeight w:val="800"/>
        </w:trPr>
        <w:tc>
          <w:tcPr>
            <w:tcW w:w="4443" w:type="dxa"/>
          </w:tcPr>
          <w:p w14:paraId="1BAC23A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E1B715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441" w:type="dxa"/>
          </w:tcPr>
          <w:p w14:paraId="4AAC044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E2B5B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096B96" w14:paraId="061CC799" w14:textId="77777777" w:rsidTr="005F57B0">
        <w:trPr>
          <w:trHeight w:val="681"/>
        </w:trPr>
        <w:tc>
          <w:tcPr>
            <w:tcW w:w="4443" w:type="dxa"/>
          </w:tcPr>
          <w:p w14:paraId="1706C347" w14:textId="77777777" w:rsidR="00096B96" w:rsidRDefault="003F12C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Cerebrica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s.r.o.</w:t>
            </w:r>
          </w:p>
          <w:p w14:paraId="797E44BE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Dipl.Ing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Zdeněk Havelka, jednatel</w:t>
            </w:r>
          </w:p>
        </w:tc>
        <w:tc>
          <w:tcPr>
            <w:tcW w:w="4441" w:type="dxa"/>
          </w:tcPr>
          <w:p w14:paraId="70D1F215" w14:textId="474E253E" w:rsidR="00096B96" w:rsidRDefault="001A1EA1" w:rsidP="001A1EA1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1EA1">
              <w:rPr>
                <w:rFonts w:ascii="Arial" w:eastAsia="Arial" w:hAnsi="Arial" w:cs="Arial"/>
                <w:b/>
                <w:sz w:val="20"/>
                <w:szCs w:val="20"/>
              </w:rPr>
              <w:t>Městská knihovna 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Pr="001A1EA1">
              <w:rPr>
                <w:rFonts w:ascii="Arial" w:eastAsia="Arial" w:hAnsi="Arial" w:cs="Arial"/>
                <w:b/>
                <w:sz w:val="20"/>
                <w:szCs w:val="20"/>
              </w:rPr>
              <w:t>Praze</w:t>
            </w:r>
          </w:p>
          <w:p w14:paraId="7B0EE965" w14:textId="546ABC9D" w:rsidR="001A1EA1" w:rsidRPr="001A1EA1" w:rsidRDefault="001A1EA1" w:rsidP="001A1EA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RNDr. Tomáš Řehák, Ph.D., ředitel</w:t>
            </w:r>
          </w:p>
        </w:tc>
      </w:tr>
    </w:tbl>
    <w:p w14:paraId="1921EE75" w14:textId="3855F678" w:rsidR="00096B96" w:rsidRDefault="003F12C0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t xml:space="preserve">Příloha č. 1 – Specifikace </w:t>
      </w:r>
      <w:r w:rsidR="00AE22B6">
        <w:rPr>
          <w:rFonts w:ascii="Arial" w:eastAsia="Arial" w:hAnsi="Arial" w:cs="Arial"/>
          <w:b/>
          <w:sz w:val="20"/>
          <w:szCs w:val="20"/>
        </w:rPr>
        <w:t>Služby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E22B6">
        <w:rPr>
          <w:rFonts w:ascii="Arial" w:eastAsia="Arial" w:hAnsi="Arial" w:cs="Arial"/>
          <w:b/>
          <w:sz w:val="20"/>
          <w:szCs w:val="20"/>
        </w:rPr>
        <w:t>Asistence při výběru knihy</w:t>
      </w:r>
    </w:p>
    <w:p w14:paraId="45C5C8FC" w14:textId="77777777" w:rsidR="00096B96" w:rsidRDefault="00096B96">
      <w:pPr>
        <w:rPr>
          <w:rFonts w:ascii="Arial" w:eastAsia="Arial" w:hAnsi="Arial" w:cs="Arial"/>
          <w:b/>
          <w:sz w:val="20"/>
          <w:szCs w:val="20"/>
        </w:rPr>
      </w:pPr>
    </w:p>
    <w:p w14:paraId="2F563AAE" w14:textId="60C66AC6" w:rsidR="005F2CD6" w:rsidRDefault="00AE22B6" w:rsidP="005C5C94">
      <w:pPr>
        <w:jc w:val="both"/>
        <w:rPr>
          <w:rStyle w:val="Hypertextovodkaz"/>
          <w:rFonts w:ascii="CMTT10" w:eastAsia="CMTT10" w:cs="CMTT10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</w:rPr>
        <w:t xml:space="preserve">Jedná se o pilotní službu k podpoře akvizice nových titulů. </w:t>
      </w:r>
      <w:r w:rsidR="005F2CD6">
        <w:rPr>
          <w:rFonts w:ascii="Arial" w:eastAsia="Arial" w:hAnsi="Arial" w:cs="Arial"/>
          <w:sz w:val="20"/>
          <w:szCs w:val="20"/>
        </w:rPr>
        <w:t xml:space="preserve">Služba bude realizována na základě dema </w:t>
      </w:r>
      <w:r w:rsidR="005F2CD6">
        <w:rPr>
          <w:rFonts w:ascii="Arial" w:eastAsia="Calibri" w:hAnsi="Arial"/>
          <w:sz w:val="20"/>
          <w:szCs w:val="20"/>
        </w:rPr>
        <w:t xml:space="preserve">dostupného na adrese: </w:t>
      </w:r>
      <w:hyperlink r:id="rId12" w:history="1">
        <w:r w:rsidR="005F2CD6" w:rsidRPr="005F2CD6">
          <w:rPr>
            <w:rStyle w:val="Hypertextovodkaz"/>
            <w:rFonts w:ascii="CMTT10" w:eastAsia="CMTT10" w:cs="CMTT10"/>
            <w:sz w:val="20"/>
            <w:szCs w:val="20"/>
          </w:rPr>
          <w:t>http://252425.w25.wedos.ws/proj/index.html?app_name=33lib</w:t>
        </w:r>
      </w:hyperlink>
      <w:r w:rsidR="005F2CD6" w:rsidRPr="005F1E5D">
        <w:rPr>
          <w:rFonts w:ascii="Arial" w:eastAsia="Calibri" w:hAnsi="Arial"/>
          <w:b/>
          <w:bCs/>
          <w:noProof/>
          <w:color w:val="C0504D" w:themeColor="accent2"/>
          <w:sz w:val="36"/>
          <w:szCs w:val="32"/>
        </w:rPr>
        <w:drawing>
          <wp:inline distT="0" distB="0" distL="0" distR="0" wp14:anchorId="79F756F4" wp14:editId="20CFDAE9">
            <wp:extent cx="3911600" cy="2528456"/>
            <wp:effectExtent l="0" t="0" r="0" b="5715"/>
            <wp:docPr id="5571606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26" cy="25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584A" w14:textId="77777777" w:rsidR="005F2CD6" w:rsidRDefault="005F2CD6" w:rsidP="00AE22B6">
      <w:pPr>
        <w:jc w:val="both"/>
        <w:rPr>
          <w:rStyle w:val="Hypertextovodkaz"/>
          <w:rFonts w:ascii="CMTT10" w:eastAsia="CMTT10" w:cs="CMTT10"/>
          <w:sz w:val="20"/>
          <w:szCs w:val="20"/>
          <w:lang w:val="de-DE"/>
        </w:rPr>
      </w:pPr>
    </w:p>
    <w:p w14:paraId="67D9AC99" w14:textId="77777777" w:rsidR="005F2CD6" w:rsidRDefault="005F2CD6" w:rsidP="00AE22B6">
      <w:pPr>
        <w:jc w:val="both"/>
        <w:rPr>
          <w:rFonts w:ascii="Arial" w:eastAsia="Arial" w:hAnsi="Arial" w:cs="Arial"/>
          <w:sz w:val="20"/>
          <w:szCs w:val="20"/>
        </w:rPr>
      </w:pPr>
    </w:p>
    <w:p w14:paraId="2A5261A8" w14:textId="478AE369" w:rsidR="00096B96" w:rsidRDefault="005F2CD6" w:rsidP="00AE22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Služba nabízí níže uvedenou funkcionalitu:</w:t>
      </w:r>
    </w:p>
    <w:p w14:paraId="47CF73B0" w14:textId="77777777" w:rsidR="005F2CD6" w:rsidRDefault="005F2CD6" w:rsidP="00AE22B6">
      <w:pPr>
        <w:jc w:val="both"/>
        <w:rPr>
          <w:rFonts w:ascii="Arial" w:eastAsia="Arial" w:hAnsi="Arial" w:cs="Arial"/>
          <w:sz w:val="20"/>
          <w:szCs w:val="20"/>
        </w:rPr>
      </w:pPr>
    </w:p>
    <w:p w14:paraId="3B74185C" w14:textId="6148CD70" w:rsidR="005F2CD6" w:rsidRDefault="005F2CD6" w:rsidP="005F2CD6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Kategorizace dat na základě historie výběrů knih </w:t>
      </w:r>
    </w:p>
    <w:p w14:paraId="747D81A5" w14:textId="27419621" w:rsidR="005F2CD6" w:rsidRDefault="005F2CD6" w:rsidP="005F2CD6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Definice klíčových proměnných pro nákup knih</w:t>
      </w:r>
    </w:p>
    <w:p w14:paraId="3B221149" w14:textId="2A4D731D" w:rsidR="005F2CD6" w:rsidRPr="005F2CD6" w:rsidRDefault="005F2CD6" w:rsidP="005F2CD6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Doporučení titulů k nákupu na základě dodaných dat ve vazbě na ROI</w:t>
      </w:r>
    </w:p>
    <w:p w14:paraId="4DF217C5" w14:textId="5E36F219" w:rsidR="005F2CD6" w:rsidRDefault="005F2CD6" w:rsidP="005F2CD6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Doporučení počtu svazků na základě dodaných dat ve vazbě na ROI</w:t>
      </w:r>
    </w:p>
    <w:p w14:paraId="2BFEB1C5" w14:textId="33D93167" w:rsidR="005F2CD6" w:rsidRDefault="005F2CD6" w:rsidP="005F2CD6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Statistický přehled</w:t>
      </w:r>
    </w:p>
    <w:p w14:paraId="417AFB18" w14:textId="77777777" w:rsidR="005F2CD6" w:rsidRDefault="005F2CD6" w:rsidP="005F2CD6">
      <w:pPr>
        <w:jc w:val="both"/>
        <w:rPr>
          <w:rFonts w:ascii="Arial" w:eastAsia="Arial" w:hAnsi="Arial" w:cs="Arial"/>
          <w:sz w:val="20"/>
          <w:szCs w:val="20"/>
        </w:rPr>
      </w:pPr>
    </w:p>
    <w:p w14:paraId="690DAB98" w14:textId="0101E1BA" w:rsidR="005F2CD6" w:rsidRPr="005F2CD6" w:rsidRDefault="005F2CD6" w:rsidP="005F2CD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Služba bude dodány pro roli akvizitora. Počet akvizitorů v rámci licence: 5. </w:t>
      </w:r>
    </w:p>
    <w:p w14:paraId="1C9B036D" w14:textId="77777777" w:rsidR="005F2CD6" w:rsidRPr="005F2CD6" w:rsidRDefault="005F2CD6" w:rsidP="005F2CD6">
      <w:pPr>
        <w:pStyle w:val="Odstavecseseznamem"/>
        <w:jc w:val="both"/>
        <w:rPr>
          <w:rFonts w:ascii="Arial" w:eastAsia="Arial" w:hAnsi="Arial" w:cs="Arial"/>
          <w:sz w:val="20"/>
          <w:szCs w:val="20"/>
        </w:rPr>
      </w:pPr>
    </w:p>
    <w:p w14:paraId="1B6BC7EE" w14:textId="77777777" w:rsidR="005F2CD6" w:rsidRDefault="005F2CD6" w:rsidP="00AE22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5F2CD6" w:rsidSect="00413C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87FB2" w14:textId="77777777" w:rsidR="00C348BA" w:rsidRDefault="00C348BA">
      <w:r>
        <w:separator/>
      </w:r>
    </w:p>
  </w:endnote>
  <w:endnote w:type="continuationSeparator" w:id="0">
    <w:p w14:paraId="383ACFC3" w14:textId="77777777" w:rsidR="00C348BA" w:rsidRDefault="00C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TT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FF36" w14:textId="77777777" w:rsidR="00096B96" w:rsidRDefault="003F12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0" locked="0" layoutInCell="1" hidden="0" allowOverlap="1" wp14:anchorId="47F80522" wp14:editId="10E9CF55">
              <wp:simplePos x="0" y="0"/>
              <wp:positionH relativeFrom="column">
                <wp:posOffset>-152399</wp:posOffset>
              </wp:positionH>
              <wp:positionV relativeFrom="paragraph">
                <wp:posOffset>406400</wp:posOffset>
              </wp:positionV>
              <wp:extent cx="4742125" cy="50800"/>
              <wp:effectExtent l="0" t="0" r="0" b="0"/>
              <wp:wrapTopAndBottom distT="152400" distB="152400"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87638" y="3780000"/>
                        <a:ext cx="47167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FF0000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52400" distT="152400" distL="152400" distR="1524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406400</wp:posOffset>
              </wp:positionV>
              <wp:extent cx="4742125" cy="50800"/>
              <wp:effectExtent b="0" l="0" r="0" t="0"/>
              <wp:wrapTopAndBottom distB="152400" distT="1524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21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hidden="0" allowOverlap="1" wp14:anchorId="74C3AB85" wp14:editId="1197FDA3">
              <wp:simplePos x="0" y="0"/>
              <wp:positionH relativeFrom="column">
                <wp:posOffset>4622800</wp:posOffset>
              </wp:positionH>
              <wp:positionV relativeFrom="paragraph">
                <wp:posOffset>279400</wp:posOffset>
              </wp:positionV>
              <wp:extent cx="1792605" cy="325120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9223" y="3626965"/>
                        <a:ext cx="17735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A147C" w14:textId="77777777" w:rsidR="00096B96" w:rsidRDefault="003F12C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FF0000"/>
                              <w:sz w:val="28"/>
                            </w:rPr>
                            <w:t>DIGITAL ACTORY 2.0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4C3AB85" id="Obdélník 8" o:spid="_x0000_s1026" style="position:absolute;margin-left:364pt;margin-top:22pt;width:141.15pt;height:25.6pt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" filled="f" stroked="f">
              <v:textbox inset="4pt,4pt,4pt,4pt">
                <w:txbxContent>
                  <w:p w14:paraId="0EEA147C" w14:textId="77777777" w:rsidR="00096B96" w:rsidRDefault="003F12C0">
                    <w:pPr>
                      <w:spacing w:line="288" w:lineRule="auto"/>
                      <w:textDirection w:val="btLr"/>
                    </w:pPr>
                    <w:r>
                      <w:rPr>
                        <w:b/>
                        <w:smallCaps/>
                        <w:color w:val="FF0000"/>
                        <w:sz w:val="28"/>
                      </w:rPr>
                      <w:t>DIGITAL ACTORY 2.0</w:t>
                    </w:r>
                  </w:p>
                </w:txbxContent>
              </v:textbox>
            </v:rect>
          </w:pict>
        </mc:Fallback>
      </mc:AlternateContent>
    </w:r>
  </w:p>
  <w:p w14:paraId="722B8BB0" w14:textId="77777777" w:rsidR="00096B96" w:rsidRDefault="003F12C0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9ACD4F" w14:textId="77777777" w:rsidR="00096B96" w:rsidRDefault="003F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208" w14:textId="6D496847" w:rsidR="00096B96" w:rsidRDefault="003F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76D2E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76D2E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6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14:paraId="068790F0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E405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3D3F" w14:textId="77777777" w:rsidR="00C348BA" w:rsidRDefault="00C348BA">
      <w:r>
        <w:separator/>
      </w:r>
    </w:p>
  </w:footnote>
  <w:footnote w:type="continuationSeparator" w:id="0">
    <w:p w14:paraId="1FC0C2E8" w14:textId="77777777" w:rsidR="00C348BA" w:rsidRDefault="00C3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67996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4E95" w14:textId="77777777" w:rsidR="00096B96" w:rsidRDefault="00096B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0773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6"/>
      <w:gridCol w:w="2740"/>
      <w:gridCol w:w="4257"/>
    </w:tblGrid>
    <w:tr w:rsidR="00096B96" w14:paraId="6A7AA53F" w14:textId="77777777">
      <w:tc>
        <w:tcPr>
          <w:tcW w:w="3776" w:type="dxa"/>
        </w:tcPr>
        <w:p w14:paraId="13AB6E77" w14:textId="0F6D473B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740" w:type="dxa"/>
        </w:tcPr>
        <w:p w14:paraId="32B997E2" w14:textId="48BC203F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257" w:type="dxa"/>
        </w:tcPr>
        <w:p w14:paraId="15048BFA" w14:textId="77777777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7E226143" w14:textId="77777777" w:rsidR="00096B96" w:rsidRDefault="00096B96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7CD7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51"/>
    <w:multiLevelType w:val="hybridMultilevel"/>
    <w:tmpl w:val="173470D0"/>
    <w:lvl w:ilvl="0" w:tplc="5C78BB3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059"/>
    <w:multiLevelType w:val="multilevel"/>
    <w:tmpl w:val="3A9E4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57D"/>
    <w:multiLevelType w:val="multilevel"/>
    <w:tmpl w:val="DC8A1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F81"/>
    <w:multiLevelType w:val="multilevel"/>
    <w:tmpl w:val="20302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250DAA"/>
    <w:multiLevelType w:val="multilevel"/>
    <w:tmpl w:val="A934C2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74B8"/>
    <w:multiLevelType w:val="multilevel"/>
    <w:tmpl w:val="35D45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F46F1"/>
    <w:multiLevelType w:val="multilevel"/>
    <w:tmpl w:val="9378D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2A7F"/>
    <w:multiLevelType w:val="multilevel"/>
    <w:tmpl w:val="0082E08A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223214C5"/>
    <w:multiLevelType w:val="multilevel"/>
    <w:tmpl w:val="DC38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7C6B68"/>
    <w:multiLevelType w:val="multilevel"/>
    <w:tmpl w:val="78ACFA0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5598D"/>
    <w:multiLevelType w:val="multilevel"/>
    <w:tmpl w:val="5B0A2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33FD"/>
    <w:multiLevelType w:val="multilevel"/>
    <w:tmpl w:val="7A163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67C02"/>
    <w:multiLevelType w:val="multilevel"/>
    <w:tmpl w:val="33709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E646945"/>
    <w:multiLevelType w:val="multilevel"/>
    <w:tmpl w:val="C7161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77F9"/>
    <w:multiLevelType w:val="multilevel"/>
    <w:tmpl w:val="A72CC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2E3"/>
    <w:multiLevelType w:val="multilevel"/>
    <w:tmpl w:val="93FA5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5F663F4"/>
    <w:multiLevelType w:val="multilevel"/>
    <w:tmpl w:val="8164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57B10"/>
    <w:multiLevelType w:val="multilevel"/>
    <w:tmpl w:val="B9D6F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F32A52"/>
    <w:multiLevelType w:val="hybridMultilevel"/>
    <w:tmpl w:val="59E2883C"/>
    <w:lvl w:ilvl="0" w:tplc="CC823FB4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deněk Havelka">
    <w15:presenceInfo w15:providerId="AD" w15:userId="S::havelka@33aplussolutions.onmicrosoft.com::d400fb83-e4e9-4015-b61c-0771d59cfb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96"/>
    <w:rsid w:val="00096B96"/>
    <w:rsid w:val="000E49E4"/>
    <w:rsid w:val="000E7647"/>
    <w:rsid w:val="000F7281"/>
    <w:rsid w:val="00145265"/>
    <w:rsid w:val="001A1EA1"/>
    <w:rsid w:val="00203DC6"/>
    <w:rsid w:val="00252886"/>
    <w:rsid w:val="002951D9"/>
    <w:rsid w:val="00296646"/>
    <w:rsid w:val="002E71FF"/>
    <w:rsid w:val="003162AF"/>
    <w:rsid w:val="00345D13"/>
    <w:rsid w:val="003E7166"/>
    <w:rsid w:val="003F12C0"/>
    <w:rsid w:val="00413C63"/>
    <w:rsid w:val="00441E00"/>
    <w:rsid w:val="004952DD"/>
    <w:rsid w:val="004F7E65"/>
    <w:rsid w:val="00564B66"/>
    <w:rsid w:val="005C5C94"/>
    <w:rsid w:val="005D58BC"/>
    <w:rsid w:val="005F2CD6"/>
    <w:rsid w:val="005F57B0"/>
    <w:rsid w:val="00606102"/>
    <w:rsid w:val="007210FE"/>
    <w:rsid w:val="00733B70"/>
    <w:rsid w:val="007E42D5"/>
    <w:rsid w:val="00876D2E"/>
    <w:rsid w:val="009E20F7"/>
    <w:rsid w:val="00A1360E"/>
    <w:rsid w:val="00A22BFE"/>
    <w:rsid w:val="00A352CE"/>
    <w:rsid w:val="00AA7C5E"/>
    <w:rsid w:val="00AC5CBC"/>
    <w:rsid w:val="00AD2A80"/>
    <w:rsid w:val="00AE22B6"/>
    <w:rsid w:val="00BA3989"/>
    <w:rsid w:val="00BB1F20"/>
    <w:rsid w:val="00BF39D4"/>
    <w:rsid w:val="00C348BA"/>
    <w:rsid w:val="00D260DF"/>
    <w:rsid w:val="00E62F1F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5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ind w:left="284" w:right="1418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BF39D4"/>
  </w:style>
  <w:style w:type="paragraph" w:styleId="Odstavecseseznamem">
    <w:name w:val="List Paragraph"/>
    <w:basedOn w:val="Normln"/>
    <w:uiPriority w:val="34"/>
    <w:qFormat/>
    <w:rsid w:val="005F2CD6"/>
    <w:pPr>
      <w:ind w:left="720"/>
      <w:contextualSpacing/>
    </w:pPr>
  </w:style>
  <w:style w:type="character" w:styleId="Hypertextovodkaz">
    <w:name w:val="Hyperlink"/>
    <w:uiPriority w:val="99"/>
    <w:rsid w:val="005F2CD6"/>
    <w:rPr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ind w:left="284" w:right="1418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BF39D4"/>
  </w:style>
  <w:style w:type="paragraph" w:styleId="Odstavecseseznamem">
    <w:name w:val="List Paragraph"/>
    <w:basedOn w:val="Normln"/>
    <w:uiPriority w:val="34"/>
    <w:qFormat/>
    <w:rsid w:val="005F2CD6"/>
    <w:pPr>
      <w:ind w:left="720"/>
      <w:contextualSpacing/>
    </w:pPr>
  </w:style>
  <w:style w:type="character" w:styleId="Hypertextovodkaz">
    <w:name w:val="Hyperlink"/>
    <w:uiPriority w:val="99"/>
    <w:rsid w:val="005F2CD6"/>
    <w:rPr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252425.w25.wedos.ws/proj/index.html?app_name=33li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TGBGSxOwMDN+XMPgZchVKAJDw==">AMUW2mW3xmB68pZbKMxX8HFEXYo6VM3fOECT5x8K/2h3fX18p7dT17yWCQ+H89HofgRCW1hlgv+lm+LP87oP6PHtmClxsZ5f74rrpLUhJqjUTWKyELMaez6nRAQZC7Kmexh5IS4QW2BKZctxh0Cm95jHYtaUrJw47w==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07EAB5DB2C44A55BEEFC23A707B1" ma:contentTypeVersion="22" ma:contentTypeDescription="Vytvoří nový dokument" ma:contentTypeScope="" ma:versionID="691b973c5e42f5e5aa9211eede0e6c37">
  <xsd:schema xmlns:xsd="http://www.w3.org/2001/XMLSchema" xmlns:xs="http://www.w3.org/2001/XMLSchema" xmlns:p="http://schemas.microsoft.com/office/2006/metadata/properties" xmlns:ns1="http://schemas.microsoft.com/sharepoint/v3" xmlns:ns3="2cfa60cb-abd7-4400-92a1-2410e0b36c9d" xmlns:ns4="55b5a549-7780-42b6-b1c5-af2d2eb39a92" targetNamespace="http://schemas.microsoft.com/office/2006/metadata/properties" ma:root="true" ma:fieldsID="adae704a3cb48644d485a6d6b28bc1e6" ns1:_="" ns3:_="" ns4:_="">
    <xsd:import namespace="http://schemas.microsoft.com/sharepoint/v3"/>
    <xsd:import namespace="2cfa60cb-abd7-4400-92a1-2410e0b36c9d"/>
    <xsd:import namespace="55b5a549-7780-42b6-b1c5-af2d2eb39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TaxKeywordTaxHTField" minOccurs="0"/>
                <xsd:element ref="ns3:TaxCatchAll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60cb-abd7-4400-92a1-2410e0b36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TaxKeywordTaxHTField" ma:index="12" nillable="true" ma:taxonomy="true" ma:internalName="TaxKeywordTaxHTField" ma:taxonomyFieldName="TaxKeyword" ma:displayName="Podniková klíčová slova" ma:fieldId="{23f27201-bee3-471e-b2e7-b64fd8b7ca38}" ma:taxonomyMulti="true" ma:sspId="b3a94f80-44b0-4491-aedc-655824a62c6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Sloupec zachycení celé taxonomie" ma:description="" ma:hidden="true" ma:list="{72351cba-442c-436a-b2e5-d5bcebdd432b}" ma:internalName="TaxCatchAll" ma:showField="CatchAllData" ma:web="2cfa60cb-abd7-4400-92a1-2410e0b36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a549-7780-42b6-b1c5-af2d2eb3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fa60cb-abd7-4400-92a1-2410e0b36c9d">
      <Terms xmlns="http://schemas.microsoft.com/office/infopath/2007/PartnerControls"/>
    </TaxKeywordTaxHTField>
    <_activity xmlns="55b5a549-7780-42b6-b1c5-af2d2eb39a92" xsi:nil="true"/>
    <IMAddress xmlns="http://schemas.microsoft.com/sharepoint/v3" xsi:nil="true"/>
    <TaxCatchAll xmlns="2cfa60cb-abd7-4400-92a1-2410e0b36c9d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E301AE-67A7-45DF-861E-4B31D10B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fa60cb-abd7-4400-92a1-2410e0b36c9d"/>
    <ds:schemaRef ds:uri="55b5a549-7780-42b6-b1c5-af2d2eb39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26B1A-B7BE-4337-972A-904992D7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E6A98-2523-47EE-BE6D-7FDB07840DF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2cfa60cb-abd7-4400-92a1-2410e0b36c9d"/>
    <ds:schemaRef ds:uri="http://schemas.openxmlformats.org/package/2006/metadata/core-properties"/>
    <ds:schemaRef ds:uri="55b5a549-7780-42b6-b1c5-af2d2eb39a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1713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Petr</dc:creator>
  <cp:lastModifiedBy>Ondřej Lachnit</cp:lastModifiedBy>
  <cp:revision>4</cp:revision>
  <dcterms:created xsi:type="dcterms:W3CDTF">2023-08-16T09:52:00Z</dcterms:created>
  <dcterms:modified xsi:type="dcterms:W3CDTF">2023-08-17T09:24:00Z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0x010100A42107EAB5DB2C44A55BEEFC23A707B1</vt:lpwstr>
  </property>
</Properties>
</file>