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6C" w:rsidRDefault="00DB76EE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AF7F6C" w:rsidRDefault="00DB76EE">
      <w:pPr>
        <w:spacing w:before="2"/>
        <w:ind w:left="2949" w:right="2956"/>
        <w:jc w:val="center"/>
        <w:rPr>
          <w:sz w:val="32"/>
        </w:rPr>
      </w:pPr>
      <w:r>
        <w:rPr>
          <w:color w:val="808080"/>
          <w:sz w:val="32"/>
        </w:rPr>
        <w:t>ke smlouvě č. 1190400187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F7F6C" w:rsidRDefault="00DB76E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F7F6C" w:rsidRDefault="00DB76EE">
      <w:pPr>
        <w:pStyle w:val="Zkladntext"/>
        <w:spacing w:before="265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F7F6C" w:rsidRDefault="00AF7F6C">
      <w:pPr>
        <w:pStyle w:val="Zkladntext"/>
        <w:spacing w:before="11"/>
        <w:rPr>
          <w:sz w:val="19"/>
        </w:rPr>
      </w:pPr>
    </w:p>
    <w:p w:rsidR="00AF7F6C" w:rsidRDefault="00DB76EE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F7F6C" w:rsidRDefault="00DB76EE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F7F6C" w:rsidRDefault="00DB76E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F7F6C" w:rsidRDefault="00DB76E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AF7F6C" w:rsidRDefault="00DB76EE">
      <w:pPr>
        <w:pStyle w:val="Zkladntext"/>
        <w:tabs>
          <w:tab w:val="left" w:pos="2982"/>
        </w:tabs>
        <w:spacing w:before="2" w:line="237" w:lineRule="auto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AF7F6C" w:rsidRDefault="00AF7F6C">
      <w:pPr>
        <w:pStyle w:val="Zkladntext"/>
        <w:spacing w:before="3"/>
      </w:pPr>
    </w:p>
    <w:p w:rsidR="00AF7F6C" w:rsidRDefault="00DB76EE">
      <w:pPr>
        <w:pStyle w:val="Zkladntext"/>
        <w:ind w:left="102"/>
      </w:pPr>
      <w:r>
        <w:rPr>
          <w:w w:val="99"/>
        </w:rPr>
        <w:t>a</w:t>
      </w:r>
    </w:p>
    <w:p w:rsidR="00AF7F6C" w:rsidRDefault="00AF7F6C">
      <w:pPr>
        <w:pStyle w:val="Zkladntext"/>
      </w:pPr>
    </w:p>
    <w:p w:rsidR="00AF7F6C" w:rsidRDefault="00DB76EE">
      <w:pPr>
        <w:pStyle w:val="Nadpis1"/>
      </w:pPr>
      <w:r>
        <w:t>obec</w:t>
      </w:r>
      <w:r>
        <w:rPr>
          <w:spacing w:val="-3"/>
        </w:rPr>
        <w:t xml:space="preserve"> </w:t>
      </w:r>
      <w:r>
        <w:t>Želiv</w:t>
      </w:r>
    </w:p>
    <w:p w:rsidR="00AF7F6C" w:rsidRDefault="00DB76E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Želiv,</w:t>
      </w:r>
      <w:r>
        <w:rPr>
          <w:spacing w:val="-2"/>
        </w:rPr>
        <w:t xml:space="preserve"> </w:t>
      </w:r>
      <w:r>
        <w:t>Želiv</w:t>
      </w:r>
      <w:r>
        <w:rPr>
          <w:spacing w:val="-3"/>
        </w:rPr>
        <w:t xml:space="preserve"> </w:t>
      </w:r>
      <w:r>
        <w:t>320,</w:t>
      </w:r>
      <w:r>
        <w:rPr>
          <w:spacing w:val="-3"/>
        </w:rPr>
        <w:t xml:space="preserve"> </w:t>
      </w:r>
      <w:r>
        <w:t>394</w:t>
      </w:r>
      <w:r>
        <w:rPr>
          <w:spacing w:val="-2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Želiv</w:t>
      </w:r>
    </w:p>
    <w:p w:rsidR="00AF7F6C" w:rsidRDefault="00DB76E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00249483</w:t>
      </w:r>
    </w:p>
    <w:p w:rsidR="00AF7F6C" w:rsidRDefault="00DB76EE">
      <w:pPr>
        <w:pStyle w:val="Zkladntext"/>
        <w:tabs>
          <w:tab w:val="left" w:pos="2982"/>
        </w:tabs>
        <w:ind w:left="102" w:right="3569"/>
      </w:pPr>
      <w:r>
        <w:t>zastoupená:</w:t>
      </w:r>
      <w:r>
        <w:tab/>
        <w:t>Miroslavem</w:t>
      </w:r>
      <w:r>
        <w:rPr>
          <w:spacing w:val="-4"/>
        </w:rPr>
        <w:t xml:space="preserve"> </w:t>
      </w:r>
      <w:r>
        <w:t>B u</w:t>
      </w:r>
      <w:r>
        <w:rPr>
          <w:spacing w:val="-1"/>
        </w:rPr>
        <w:t xml:space="preserve"> </w:t>
      </w:r>
      <w:r>
        <w:t>ň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AF7F6C" w:rsidRDefault="00AF7F6C">
      <w:pPr>
        <w:pStyle w:val="Zkladntext"/>
        <w:spacing w:before="1"/>
      </w:pPr>
    </w:p>
    <w:p w:rsidR="00AF7F6C" w:rsidRDefault="00DB76EE">
      <w:pPr>
        <w:pStyle w:val="Zkladntext"/>
        <w:spacing w:before="1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1190400187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16. 10.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AF7F6C" w:rsidRDefault="00AF7F6C">
      <w:pPr>
        <w:pStyle w:val="Zkladntext"/>
        <w:spacing w:before="11"/>
        <w:rPr>
          <w:sz w:val="19"/>
        </w:rPr>
      </w:pPr>
    </w:p>
    <w:p w:rsidR="00AF7F6C" w:rsidRDefault="00DB76E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5/2024.</w:t>
      </w:r>
    </w:p>
    <w:p w:rsidR="00AF7F6C" w:rsidRDefault="00AF7F6C">
      <w:pPr>
        <w:pStyle w:val="Zkladntext"/>
        <w:spacing w:before="1"/>
      </w:pPr>
    </w:p>
    <w:p w:rsidR="00AF7F6C" w:rsidRDefault="00DB76E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0"/>
        <w:rPr>
          <w:sz w:val="20"/>
        </w:rPr>
      </w:pPr>
      <w:r>
        <w:rPr>
          <w:sz w:val="20"/>
        </w:rPr>
        <w:t>Příloha ke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novou</w:t>
      </w:r>
      <w:r>
        <w:rPr>
          <w:spacing w:val="-2"/>
          <w:sz w:val="20"/>
        </w:rPr>
        <w:t xml:space="preserve"> </w:t>
      </w:r>
      <w:r>
        <w:rPr>
          <w:sz w:val="20"/>
        </w:rPr>
        <w:t>přílohou,</w:t>
      </w:r>
      <w:r>
        <w:rPr>
          <w:spacing w:val="-1"/>
          <w:sz w:val="20"/>
        </w:rPr>
        <w:t xml:space="preserve"> </w:t>
      </w:r>
      <w:r>
        <w:rPr>
          <w:sz w:val="20"/>
        </w:rPr>
        <w:t>která je</w:t>
      </w:r>
      <w:r>
        <w:rPr>
          <w:spacing w:val="-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2"/>
          <w:sz w:val="20"/>
        </w:rPr>
        <w:t xml:space="preserve"> </w:t>
      </w:r>
      <w:r>
        <w:rPr>
          <w:sz w:val="20"/>
        </w:rPr>
        <w:t>tohoto</w:t>
      </w:r>
      <w:r>
        <w:rPr>
          <w:spacing w:val="-2"/>
          <w:sz w:val="20"/>
        </w:rPr>
        <w:t xml:space="preserve"> </w:t>
      </w:r>
      <w:r>
        <w:rPr>
          <w:sz w:val="20"/>
        </w:rPr>
        <w:t>dodatku.</w:t>
      </w:r>
    </w:p>
    <w:p w:rsidR="00AF7F6C" w:rsidRDefault="00AF7F6C">
      <w:pPr>
        <w:pStyle w:val="Zkladntext"/>
      </w:pPr>
    </w:p>
    <w:p w:rsidR="00AF7F6C" w:rsidRDefault="00DB76E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AF7F6C" w:rsidRDefault="00AF7F6C">
      <w:pPr>
        <w:pStyle w:val="Zkladntext"/>
        <w:spacing w:before="11"/>
        <w:rPr>
          <w:sz w:val="19"/>
        </w:rPr>
      </w:pPr>
    </w:p>
    <w:p w:rsidR="00AF7F6C" w:rsidRDefault="00DB76EE">
      <w:pPr>
        <w:pStyle w:val="Odstavecseseznamem"/>
        <w:numPr>
          <w:ilvl w:val="0"/>
          <w:numId w:val="1"/>
        </w:numPr>
        <w:tabs>
          <w:tab w:val="left" w:pos="530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AF7F6C" w:rsidRDefault="00AF7F6C">
      <w:pPr>
        <w:jc w:val="both"/>
        <w:rPr>
          <w:sz w:val="20"/>
        </w:rPr>
        <w:sectPr w:rsidR="00AF7F6C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AF7F6C" w:rsidRDefault="00DB76EE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F7F6C" w:rsidRDefault="00AF7F6C">
      <w:pPr>
        <w:pStyle w:val="Zkladntext"/>
        <w:spacing w:before="2"/>
      </w:pPr>
    </w:p>
    <w:p w:rsidR="00AF7F6C" w:rsidRDefault="00DB76EE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F7F6C" w:rsidRDefault="00AF7F6C">
      <w:pPr>
        <w:pStyle w:val="Zkladntext"/>
        <w:spacing w:before="11"/>
        <w:rPr>
          <w:sz w:val="19"/>
        </w:rPr>
      </w:pPr>
    </w:p>
    <w:p w:rsidR="00AF7F6C" w:rsidRDefault="00DB76EE">
      <w:pPr>
        <w:pStyle w:val="Zkladntext"/>
        <w:spacing w:before="1"/>
        <w:ind w:left="102"/>
      </w:pPr>
      <w:r>
        <w:t>dne:</w:t>
      </w:r>
    </w:p>
    <w:p w:rsidR="00AF7F6C" w:rsidRDefault="00AF7F6C">
      <w:pPr>
        <w:pStyle w:val="Zkladntext"/>
        <w:rPr>
          <w:sz w:val="26"/>
        </w:rPr>
      </w:pPr>
    </w:p>
    <w:p w:rsidR="00AF7F6C" w:rsidRDefault="00DB76EE">
      <w:pPr>
        <w:pStyle w:val="Zkladntext"/>
        <w:tabs>
          <w:tab w:val="left" w:pos="5862"/>
          <w:tab w:val="left" w:pos="6582"/>
        </w:tabs>
        <w:spacing w:before="187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AF7F6C" w:rsidRDefault="00AF7F6C">
      <w:pPr>
        <w:pStyle w:val="Zkladntext"/>
        <w:rPr>
          <w:sz w:val="26"/>
        </w:rPr>
      </w:pPr>
    </w:p>
    <w:p w:rsidR="00AF7F6C" w:rsidRDefault="00AF7F6C">
      <w:pPr>
        <w:pStyle w:val="Zkladntext"/>
        <w:rPr>
          <w:sz w:val="26"/>
        </w:rPr>
      </w:pPr>
    </w:p>
    <w:p w:rsidR="00AF7F6C" w:rsidRDefault="00AF7F6C">
      <w:pPr>
        <w:pStyle w:val="Zkladntext"/>
        <w:spacing w:before="1"/>
        <w:rPr>
          <w:sz w:val="26"/>
        </w:rPr>
      </w:pPr>
    </w:p>
    <w:p w:rsidR="00AF7F6C" w:rsidRDefault="00DB76EE">
      <w:pPr>
        <w:pStyle w:val="Zkladntext"/>
        <w:ind w:left="10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AF7F6C" w:rsidRDefault="00AF7F6C">
      <w:pPr>
        <w:sectPr w:rsidR="00AF7F6C">
          <w:pgSz w:w="12240" w:h="15840"/>
          <w:pgMar w:top="1060" w:right="1020" w:bottom="1160" w:left="1600" w:header="0" w:footer="962" w:gutter="0"/>
          <w:cols w:space="708"/>
        </w:sectPr>
      </w:pPr>
    </w:p>
    <w:p w:rsidR="00AF7F6C" w:rsidRDefault="00DB76EE">
      <w:pPr>
        <w:pStyle w:val="Nadpis1"/>
        <w:spacing w:before="70"/>
      </w:pPr>
      <w:r>
        <w:lastRenderedPageBreak/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AF7F6C" w:rsidRDefault="00AF7F6C">
      <w:pPr>
        <w:pStyle w:val="Zkladntext"/>
        <w:rPr>
          <w:b/>
          <w:sz w:val="26"/>
        </w:rPr>
      </w:pPr>
    </w:p>
    <w:p w:rsidR="00AF7F6C" w:rsidRDefault="00AF7F6C">
      <w:pPr>
        <w:pStyle w:val="Zkladntext"/>
        <w:spacing w:before="5"/>
        <w:rPr>
          <w:b/>
          <w:sz w:val="37"/>
        </w:rPr>
      </w:pPr>
    </w:p>
    <w:p w:rsidR="00AF7F6C" w:rsidRDefault="00DB76EE">
      <w:pPr>
        <w:pStyle w:val="Odstavecseseznamem"/>
        <w:numPr>
          <w:ilvl w:val="1"/>
          <w:numId w:val="1"/>
        </w:numPr>
        <w:tabs>
          <w:tab w:val="left" w:pos="506"/>
        </w:tabs>
        <w:ind w:right="110" w:hanging="236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1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</w:t>
      </w:r>
      <w:r>
        <w:rPr>
          <w:sz w:val="20"/>
        </w:rPr>
        <w:t>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6</w:t>
      </w:r>
      <w:r>
        <w:rPr>
          <w:spacing w:val="55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55"/>
          <w:sz w:val="20"/>
        </w:rPr>
        <w:t xml:space="preserve"> </w:t>
      </w:r>
      <w:r>
        <w:rPr>
          <w:sz w:val="20"/>
        </w:rPr>
        <w:t>dokumentu</w:t>
      </w:r>
      <w:r>
        <w:rPr>
          <w:spacing w:val="55"/>
          <w:sz w:val="20"/>
        </w:rPr>
        <w:t xml:space="preserve"> </w:t>
      </w:r>
      <w:r>
        <w:rPr>
          <w:sz w:val="20"/>
        </w:rPr>
        <w:t>OPŽP 2014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2020“ dále jen</w:t>
      </w:r>
      <w:r>
        <w:rPr>
          <w:spacing w:val="55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55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PrŽaP).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(rekonstruované)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podporou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infrastruktura) a veškerá další infrastruktura provozovaná v této složce na území relevantní 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9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-52"/>
          <w:sz w:val="20"/>
        </w:rPr>
        <w:t xml:space="preserve"> </w:t>
      </w:r>
      <w:r>
        <w:rPr>
          <w:sz w:val="20"/>
        </w:rPr>
        <w:t>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AF7F6C" w:rsidRDefault="00DB76EE">
      <w:pPr>
        <w:pStyle w:val="Odstavecseseznamem"/>
        <w:numPr>
          <w:ilvl w:val="1"/>
          <w:numId w:val="1"/>
        </w:numPr>
        <w:tabs>
          <w:tab w:val="left" w:pos="482"/>
        </w:tabs>
        <w:spacing w:before="152"/>
        <w:ind w:right="111" w:hanging="312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65"/>
          <w:sz w:val="20"/>
        </w:rPr>
        <w:t xml:space="preserve"> </w:t>
      </w:r>
      <w:r>
        <w:rPr>
          <w:sz w:val="20"/>
        </w:rPr>
        <w:t>souhlasu</w:t>
      </w:r>
      <w:r>
        <w:rPr>
          <w:spacing w:val="62"/>
          <w:sz w:val="20"/>
        </w:rPr>
        <w:t xml:space="preserve"> </w:t>
      </w:r>
      <w:r>
        <w:rPr>
          <w:sz w:val="20"/>
        </w:rPr>
        <w:t>k</w:t>
      </w:r>
      <w:r>
        <w:rPr>
          <w:spacing w:val="61"/>
          <w:sz w:val="20"/>
        </w:rPr>
        <w:t xml:space="preserve"> </w:t>
      </w:r>
      <w:r>
        <w:rPr>
          <w:sz w:val="20"/>
        </w:rPr>
        <w:t>projektu</w:t>
      </w:r>
      <w:r>
        <w:rPr>
          <w:spacing w:val="62"/>
          <w:sz w:val="20"/>
        </w:rPr>
        <w:t xml:space="preserve"> </w:t>
      </w:r>
      <w:r>
        <w:rPr>
          <w:sz w:val="20"/>
        </w:rPr>
        <w:t>bude</w:t>
      </w:r>
      <w:r>
        <w:rPr>
          <w:spacing w:val="63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62"/>
          <w:sz w:val="20"/>
        </w:rPr>
        <w:t xml:space="preserve"> </w:t>
      </w:r>
      <w:r>
        <w:rPr>
          <w:sz w:val="20"/>
        </w:rPr>
        <w:t>finanční</w:t>
      </w:r>
      <w:r>
        <w:rPr>
          <w:spacing w:val="6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61"/>
          <w:sz w:val="20"/>
        </w:rPr>
        <w:t xml:space="preserve"> </w:t>
      </w:r>
      <w:r>
        <w:rPr>
          <w:sz w:val="20"/>
        </w:rPr>
        <w:t>projektu,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AF7F6C" w:rsidRDefault="00DB76EE">
      <w:pPr>
        <w:pStyle w:val="Odstavecseseznamem"/>
        <w:numPr>
          <w:ilvl w:val="2"/>
          <w:numId w:val="1"/>
        </w:numPr>
        <w:tabs>
          <w:tab w:val="left" w:pos="745"/>
        </w:tabs>
        <w:spacing w:before="150" w:line="237" w:lineRule="auto"/>
        <w:ind w:right="257" w:firstLine="0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AF7F6C" w:rsidRDefault="00DB76EE">
      <w:pPr>
        <w:pStyle w:val="Odstavecseseznamem"/>
        <w:numPr>
          <w:ilvl w:val="2"/>
          <w:numId w:val="1"/>
        </w:numPr>
        <w:tabs>
          <w:tab w:val="left" w:pos="818"/>
        </w:tabs>
        <w:spacing w:before="157" w:line="237" w:lineRule="auto"/>
        <w:ind w:right="118" w:firstLine="0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1"/>
          <w:sz w:val="20"/>
        </w:rPr>
        <w:t xml:space="preserve"> </w:t>
      </w:r>
      <w:r>
        <w:rPr>
          <w:sz w:val="20"/>
        </w:rPr>
        <w:t>na úroveň,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</w:t>
      </w:r>
      <w:r>
        <w:rPr>
          <w:spacing w:val="1"/>
          <w:sz w:val="20"/>
        </w:rPr>
        <w:t xml:space="preserve"> </w:t>
      </w:r>
      <w:r>
        <w:rPr>
          <w:sz w:val="20"/>
        </w:rPr>
        <w:t>zdroje pro</w:t>
      </w:r>
      <w:r>
        <w:rPr>
          <w:spacing w:val="1"/>
          <w:sz w:val="20"/>
        </w:rPr>
        <w:t xml:space="preserve"> </w:t>
      </w:r>
      <w:r>
        <w:rPr>
          <w:sz w:val="20"/>
        </w:rPr>
        <w:t>správu,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 a/nebo kanalizací minimálně ve výši „plných odpisů“. V obou případech je nezbytné, aby</w:t>
      </w:r>
      <w:r>
        <w:rPr>
          <w:spacing w:val="1"/>
          <w:sz w:val="20"/>
        </w:rPr>
        <w:t xml:space="preserve"> </w:t>
      </w:r>
      <w:r>
        <w:rPr>
          <w:sz w:val="20"/>
        </w:rPr>
        <w:t>Fond navrženou odchylku odsouhlasil.</w:t>
      </w:r>
    </w:p>
    <w:p w:rsidR="00AF7F6C" w:rsidRDefault="00DB76EE">
      <w:pPr>
        <w:pStyle w:val="Odstavecseseznamem"/>
        <w:numPr>
          <w:ilvl w:val="1"/>
          <w:numId w:val="1"/>
        </w:numPr>
        <w:tabs>
          <w:tab w:val="left" w:pos="534"/>
        </w:tabs>
        <w:spacing w:before="158" w:line="237" w:lineRule="auto"/>
        <w:ind w:right="120" w:hanging="351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AF7F6C" w:rsidRDefault="00DB76EE">
      <w:pPr>
        <w:pStyle w:val="Odstavecseseznamem"/>
        <w:numPr>
          <w:ilvl w:val="1"/>
          <w:numId w:val="1"/>
        </w:numPr>
        <w:tabs>
          <w:tab w:val="left" w:pos="515"/>
        </w:tabs>
        <w:spacing w:before="153"/>
        <w:ind w:right="109" w:hanging="35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</w:t>
      </w:r>
      <w:r>
        <w:rPr>
          <w:sz w:val="20"/>
        </w:rPr>
        <w:t>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sectPr w:rsidR="00AF7F6C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EE" w:rsidRDefault="00DB76EE">
      <w:r>
        <w:separator/>
      </w:r>
    </w:p>
  </w:endnote>
  <w:endnote w:type="continuationSeparator" w:id="0">
    <w:p w:rsidR="00DB76EE" w:rsidRDefault="00DB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6C" w:rsidRDefault="00540C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F6C" w:rsidRDefault="00DB76E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CA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AF7F6C" w:rsidRDefault="00DB76E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CA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EE" w:rsidRDefault="00DB76EE">
      <w:r>
        <w:separator/>
      </w:r>
    </w:p>
  </w:footnote>
  <w:footnote w:type="continuationSeparator" w:id="0">
    <w:p w:rsidR="00DB76EE" w:rsidRDefault="00DB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1174C"/>
    <w:multiLevelType w:val="hybridMultilevel"/>
    <w:tmpl w:val="D1566224"/>
    <w:lvl w:ilvl="0" w:tplc="96E65946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94E8F8">
      <w:start w:val="1"/>
      <w:numFmt w:val="upperRoman"/>
      <w:lvlText w:val="%2."/>
      <w:lvlJc w:val="left"/>
      <w:pPr>
        <w:ind w:left="529" w:hanging="21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A46E7A">
      <w:start w:val="1"/>
      <w:numFmt w:val="lowerLetter"/>
      <w:lvlText w:val="%3)"/>
      <w:lvlJc w:val="left"/>
      <w:pPr>
        <w:ind w:left="529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39AC48C">
      <w:numFmt w:val="bullet"/>
      <w:lvlText w:val="•"/>
      <w:lvlJc w:val="left"/>
      <w:pPr>
        <w:ind w:left="3250" w:hanging="216"/>
      </w:pPr>
      <w:rPr>
        <w:rFonts w:hint="default"/>
        <w:lang w:val="cs-CZ" w:eastAsia="en-US" w:bidi="ar-SA"/>
      </w:rPr>
    </w:lvl>
    <w:lvl w:ilvl="4" w:tplc="BFC21C68">
      <w:numFmt w:val="bullet"/>
      <w:lvlText w:val="•"/>
      <w:lvlJc w:val="left"/>
      <w:pPr>
        <w:ind w:left="4160" w:hanging="216"/>
      </w:pPr>
      <w:rPr>
        <w:rFonts w:hint="default"/>
        <w:lang w:val="cs-CZ" w:eastAsia="en-US" w:bidi="ar-SA"/>
      </w:rPr>
    </w:lvl>
    <w:lvl w:ilvl="5" w:tplc="2C368BCA">
      <w:numFmt w:val="bullet"/>
      <w:lvlText w:val="•"/>
      <w:lvlJc w:val="left"/>
      <w:pPr>
        <w:ind w:left="5070" w:hanging="216"/>
      </w:pPr>
      <w:rPr>
        <w:rFonts w:hint="default"/>
        <w:lang w:val="cs-CZ" w:eastAsia="en-US" w:bidi="ar-SA"/>
      </w:rPr>
    </w:lvl>
    <w:lvl w:ilvl="6" w:tplc="5D0E4A48">
      <w:numFmt w:val="bullet"/>
      <w:lvlText w:val="•"/>
      <w:lvlJc w:val="left"/>
      <w:pPr>
        <w:ind w:left="5980" w:hanging="216"/>
      </w:pPr>
      <w:rPr>
        <w:rFonts w:hint="default"/>
        <w:lang w:val="cs-CZ" w:eastAsia="en-US" w:bidi="ar-SA"/>
      </w:rPr>
    </w:lvl>
    <w:lvl w:ilvl="7" w:tplc="40767E16">
      <w:numFmt w:val="bullet"/>
      <w:lvlText w:val="•"/>
      <w:lvlJc w:val="left"/>
      <w:pPr>
        <w:ind w:left="6890" w:hanging="216"/>
      </w:pPr>
      <w:rPr>
        <w:rFonts w:hint="default"/>
        <w:lang w:val="cs-CZ" w:eastAsia="en-US" w:bidi="ar-SA"/>
      </w:rPr>
    </w:lvl>
    <w:lvl w:ilvl="8" w:tplc="8F8EC348">
      <w:numFmt w:val="bullet"/>
      <w:lvlText w:val="•"/>
      <w:lvlJc w:val="left"/>
      <w:pPr>
        <w:ind w:left="7800" w:hanging="21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6C"/>
    <w:rsid w:val="00540CAA"/>
    <w:rsid w:val="00AF7F6C"/>
    <w:rsid w:val="00D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D8DC5-1ACB-4440-9443-78ED2FC9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2023-08-17T08:24:00Z</dcterms:created>
  <dcterms:modified xsi:type="dcterms:W3CDTF">2023-08-17T08:24:00Z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