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7221100112</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rPr>
          <w:sz w:val="27"/>
        </w:rPr>
      </w:pPr>
    </w:p>
    <w:p>
      <w:pPr>
        <w:pStyle w:val="Heading2"/>
        <w:ind w:left="102"/>
        <w:jc w:val="left"/>
      </w:pPr>
      <w:r>
        <w:rPr>
          <w:w w:val="95"/>
        </w:rPr>
        <w:t>Wienerberger</w:t>
      </w:r>
      <w:r>
        <w:rPr>
          <w:spacing w:val="50"/>
        </w:rPr>
        <w:t> </w:t>
      </w:r>
      <w:r>
        <w:rPr>
          <w:spacing w:val="-2"/>
        </w:rPr>
        <w:t>s.r.o.</w:t>
      </w:r>
    </w:p>
    <w:p>
      <w:pPr>
        <w:pStyle w:val="BodyText"/>
        <w:spacing w:before="1"/>
        <w:ind w:left="102"/>
      </w:pPr>
      <w:r>
        <w:rPr/>
        <w:t>obchodní společnost zapsaná v obchodním rejstříku vedeném Krajským soudem v Českých Budějovicích, oddíl C, vložka 27563</w:t>
      </w:r>
    </w:p>
    <w:p>
      <w:pPr>
        <w:pStyle w:val="BodyText"/>
        <w:tabs>
          <w:tab w:pos="2982" w:val="left" w:leader="none"/>
        </w:tabs>
        <w:spacing w:line="265" w:lineRule="exact" w:before="1"/>
        <w:ind w:left="102"/>
      </w:pPr>
      <w:r>
        <w:rPr/>
        <w:t>se</w:t>
      </w:r>
      <w:r>
        <w:rPr>
          <w:spacing w:val="-5"/>
        </w:rPr>
        <w:t> </w:t>
      </w:r>
      <w:r>
        <w:rPr>
          <w:spacing w:val="-2"/>
        </w:rPr>
        <w:t>sídlem:</w:t>
      </w:r>
      <w:r>
        <w:rPr/>
        <w:tab/>
        <w:t>Plachého</w:t>
      </w:r>
      <w:r>
        <w:rPr>
          <w:spacing w:val="-6"/>
        </w:rPr>
        <w:t> </w:t>
      </w:r>
      <w:r>
        <w:rPr/>
        <w:t>388/28,</w:t>
      </w:r>
      <w:r>
        <w:rPr>
          <w:spacing w:val="-7"/>
        </w:rPr>
        <w:t> </w:t>
      </w:r>
      <w:r>
        <w:rPr/>
        <w:t>České</w:t>
      </w:r>
      <w:r>
        <w:rPr>
          <w:spacing w:val="-8"/>
        </w:rPr>
        <w:t> </w:t>
      </w:r>
      <w:r>
        <w:rPr/>
        <w:t>Budějovice</w:t>
      </w:r>
      <w:r>
        <w:rPr>
          <w:spacing w:val="-7"/>
        </w:rPr>
        <w:t> </w:t>
      </w:r>
      <w:r>
        <w:rPr/>
        <w:t>1,</w:t>
      </w:r>
      <w:r>
        <w:rPr>
          <w:spacing w:val="-7"/>
        </w:rPr>
        <w:t> </w:t>
      </w:r>
      <w:r>
        <w:rPr/>
        <w:t>37001</w:t>
      </w:r>
      <w:r>
        <w:rPr>
          <w:spacing w:val="-7"/>
        </w:rPr>
        <w:t> </w:t>
      </w:r>
      <w:r>
        <w:rPr/>
        <w:t>České</w:t>
      </w:r>
      <w:r>
        <w:rPr>
          <w:spacing w:val="-7"/>
        </w:rPr>
        <w:t> </w:t>
      </w:r>
      <w:r>
        <w:rPr>
          <w:spacing w:val="-2"/>
        </w:rPr>
        <w:t>Budějovice</w:t>
      </w:r>
    </w:p>
    <w:p>
      <w:pPr>
        <w:pStyle w:val="BodyText"/>
        <w:tabs>
          <w:tab w:pos="2982" w:val="left" w:leader="none"/>
        </w:tabs>
        <w:spacing w:line="265" w:lineRule="exact"/>
        <w:ind w:left="102"/>
      </w:pPr>
      <w:r>
        <w:rPr>
          <w:spacing w:val="-4"/>
        </w:rPr>
        <w:t>IČO:</w:t>
      </w:r>
      <w:r>
        <w:rPr>
          <w:rFonts w:ascii="Times New Roman" w:hAnsi="Times New Roman"/>
        </w:rPr>
        <w:tab/>
      </w:r>
      <w:r>
        <w:rPr>
          <w:spacing w:val="-2"/>
        </w:rPr>
        <w:t>00015253</w:t>
      </w:r>
    </w:p>
    <w:p>
      <w:pPr>
        <w:pStyle w:val="BodyText"/>
        <w:tabs>
          <w:tab w:pos="2982" w:val="left" w:leader="none"/>
        </w:tabs>
        <w:ind w:left="102"/>
      </w:pPr>
      <w:r>
        <w:rPr>
          <w:spacing w:val="-2"/>
        </w:rPr>
        <w:t>zastoupená:</w:t>
      </w:r>
      <w:r>
        <w:rPr/>
        <w:tab/>
        <w:t>Ing.</w:t>
      </w:r>
      <w:r>
        <w:rPr>
          <w:spacing w:val="-3"/>
        </w:rPr>
        <w:t> </w:t>
      </w:r>
      <w:r>
        <w:rPr/>
        <w:t>Kamilem</w:t>
      </w:r>
      <w:r>
        <w:rPr>
          <w:spacing w:val="-1"/>
        </w:rPr>
        <w:t> </w:t>
      </w:r>
      <w:r>
        <w:rPr/>
        <w:t>J</w:t>
      </w:r>
      <w:r>
        <w:rPr>
          <w:spacing w:val="-2"/>
        </w:rPr>
        <w:t> </w:t>
      </w:r>
      <w:r>
        <w:rPr/>
        <w:t>e</w:t>
      </w:r>
      <w:r>
        <w:rPr>
          <w:spacing w:val="-1"/>
        </w:rPr>
        <w:t> </w:t>
      </w:r>
      <w:r>
        <w:rPr/>
        <w:t>ř</w:t>
      </w:r>
      <w:r>
        <w:rPr>
          <w:spacing w:val="-3"/>
        </w:rPr>
        <w:t> </w:t>
      </w:r>
      <w:r>
        <w:rPr/>
        <w:t>á</w:t>
      </w:r>
      <w:r>
        <w:rPr>
          <w:spacing w:val="-3"/>
        </w:rPr>
        <w:t> </w:t>
      </w:r>
      <w:r>
        <w:rPr/>
        <w:t>b</w:t>
      </w:r>
      <w:r>
        <w:rPr>
          <w:spacing w:val="-2"/>
        </w:rPr>
        <w:t> </w:t>
      </w:r>
      <w:r>
        <w:rPr/>
        <w:t>k</w:t>
      </w:r>
      <w:r>
        <w:rPr>
          <w:spacing w:val="-3"/>
        </w:rPr>
        <w:t> </w:t>
      </w:r>
      <w:r>
        <w:rPr/>
        <w:t>e</w:t>
      </w:r>
      <w:r>
        <w:rPr>
          <w:spacing w:val="-3"/>
        </w:rPr>
        <w:t> </w:t>
      </w:r>
      <w:r>
        <w:rPr/>
        <w:t>m</w:t>
      </w:r>
      <w:r>
        <w:rPr>
          <w:spacing w:val="54"/>
        </w:rPr>
        <w:t> </w:t>
      </w:r>
      <w:r>
        <w:rPr/>
        <w:t>a</w:t>
      </w:r>
      <w:r>
        <w:rPr>
          <w:spacing w:val="51"/>
        </w:rPr>
        <w:t> </w:t>
      </w:r>
      <w:r>
        <w:rPr/>
        <w:t>Ing.</w:t>
      </w:r>
      <w:r>
        <w:rPr>
          <w:spacing w:val="-3"/>
        </w:rPr>
        <w:t> </w:t>
      </w:r>
      <w:r>
        <w:rPr/>
        <w:t>Václavem</w:t>
      </w:r>
      <w:r>
        <w:rPr>
          <w:spacing w:val="-1"/>
        </w:rPr>
        <w:t> </w:t>
      </w:r>
      <w:r>
        <w:rPr/>
        <w:t>L</w:t>
      </w:r>
      <w:r>
        <w:rPr>
          <w:spacing w:val="-3"/>
        </w:rPr>
        <w:t> </w:t>
      </w:r>
      <w:r>
        <w:rPr/>
        <w:t>i</w:t>
      </w:r>
      <w:r>
        <w:rPr>
          <w:spacing w:val="-2"/>
        </w:rPr>
        <w:t> </w:t>
      </w:r>
      <w:r>
        <w:rPr/>
        <w:t>p</w:t>
      </w:r>
      <w:r>
        <w:rPr>
          <w:spacing w:val="-2"/>
        </w:rPr>
        <w:t> </w:t>
      </w:r>
      <w:r>
        <w:rPr/>
        <w:t>o</w:t>
      </w:r>
      <w:r>
        <w:rPr>
          <w:spacing w:val="-3"/>
        </w:rPr>
        <w:t> </w:t>
      </w:r>
      <w:r>
        <w:rPr/>
        <w:t>w</w:t>
      </w:r>
      <w:r>
        <w:rPr>
          <w:spacing w:val="-2"/>
        </w:rPr>
        <w:t> </w:t>
      </w:r>
      <w:r>
        <w:rPr/>
        <w:t>s</w:t>
      </w:r>
      <w:r>
        <w:rPr>
          <w:spacing w:val="-3"/>
        </w:rPr>
        <w:t> </w:t>
      </w:r>
      <w:r>
        <w:rPr/>
        <w:t>k</w:t>
      </w:r>
      <w:r>
        <w:rPr>
          <w:spacing w:val="-3"/>
        </w:rPr>
        <w:t> </w:t>
      </w:r>
      <w:r>
        <w:rPr/>
        <w:t>i</w:t>
      </w:r>
      <w:r>
        <w:rPr>
          <w:spacing w:val="-3"/>
        </w:rPr>
        <w:t> </w:t>
      </w:r>
      <w:r>
        <w:rPr/>
        <w:t>m,</w:t>
      </w:r>
      <w:r>
        <w:rPr>
          <w:spacing w:val="-3"/>
        </w:rPr>
        <w:t> </w:t>
      </w:r>
      <w:r>
        <w:rPr>
          <w:spacing w:val="-2"/>
        </w:rPr>
        <w:t>jednateli</w:t>
      </w:r>
    </w:p>
    <w:p>
      <w:pPr>
        <w:pStyle w:val="BodyText"/>
        <w:tabs>
          <w:tab w:pos="2982" w:val="left" w:leader="none"/>
        </w:tabs>
        <w:spacing w:before="1"/>
        <w:ind w:left="102"/>
      </w:pPr>
      <w:r>
        <w:rPr/>
        <w:t>bankovní</w:t>
      </w:r>
      <w:r>
        <w:rPr>
          <w:spacing w:val="-11"/>
        </w:rPr>
        <w:t> </w:t>
      </w:r>
      <w:r>
        <w:rPr>
          <w:spacing w:val="-2"/>
        </w:rPr>
        <w:t>spojení:</w:t>
      </w:r>
      <w:r>
        <w:rPr/>
        <w:tab/>
        <w:t>UniCredit</w:t>
      </w:r>
      <w:r>
        <w:rPr>
          <w:spacing w:val="-7"/>
        </w:rPr>
        <w:t> </w:t>
      </w:r>
      <w:r>
        <w:rPr/>
        <w:t>Bank</w:t>
      </w:r>
      <w:r>
        <w:rPr>
          <w:spacing w:val="-6"/>
        </w:rPr>
        <w:t> </w:t>
      </w:r>
      <w:r>
        <w:rPr/>
        <w:t>Czech</w:t>
      </w:r>
      <w:r>
        <w:rPr>
          <w:spacing w:val="-6"/>
        </w:rPr>
        <w:t> </w:t>
      </w:r>
      <w:r>
        <w:rPr/>
        <w:t>Republic</w:t>
      </w:r>
      <w:r>
        <w:rPr>
          <w:spacing w:val="-6"/>
        </w:rPr>
        <w:t> </w:t>
      </w:r>
      <w:r>
        <w:rPr/>
        <w:t>and</w:t>
      </w:r>
      <w:r>
        <w:rPr>
          <w:spacing w:val="-7"/>
        </w:rPr>
        <w:t> </w:t>
      </w:r>
      <w:r>
        <w:rPr/>
        <w:t>Slovakia,</w:t>
      </w:r>
      <w:r>
        <w:rPr>
          <w:spacing w:val="-6"/>
        </w:rPr>
        <w:t> </w:t>
      </w:r>
      <w:r>
        <w:rPr>
          <w:spacing w:val="-4"/>
        </w:rPr>
        <w:t>a.s.</w:t>
      </w:r>
    </w:p>
    <w:p>
      <w:pPr>
        <w:pStyle w:val="BodyText"/>
        <w:tabs>
          <w:tab w:pos="2982" w:val="left" w:leader="none"/>
        </w:tabs>
        <w:ind w:left="102"/>
      </w:pPr>
      <w:r>
        <w:rPr/>
        <w:t>číslo</w:t>
      </w:r>
      <w:r>
        <w:rPr>
          <w:spacing w:val="-8"/>
        </w:rPr>
        <w:t> </w:t>
      </w:r>
      <w:r>
        <w:rPr>
          <w:spacing w:val="-2"/>
        </w:rPr>
        <w:t>účtu:</w:t>
      </w:r>
      <w:r>
        <w:rPr/>
        <w:tab/>
      </w:r>
      <w:r>
        <w:rPr>
          <w:spacing w:val="-2"/>
        </w:rPr>
        <w:t>735007/2700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spacing w:before="0"/>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09"/>
        <w:jc w:val="both"/>
      </w:pPr>
      <w:r>
        <w:rPr/>
        <w:t>„Smlouva“) se uzavírá na základě Rozhodnutí ministra životního prostředí č. 7221100112 o poskytnutí finančních prostředků ze Státního fondu životního prostředí ČR ze dne 11. 4.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335"/>
        <w:jc w:val="both"/>
      </w:pPr>
      <w:r>
        <w:rPr/>
        <w:t>„Instalace</w:t>
      </w:r>
      <w:r>
        <w:rPr>
          <w:spacing w:val="-9"/>
        </w:rPr>
        <w:t> </w:t>
      </w:r>
      <w:r>
        <w:rPr/>
        <w:t>fotovoltaické</w:t>
      </w:r>
      <w:r>
        <w:rPr>
          <w:spacing w:val="-9"/>
        </w:rPr>
        <w:t> </w:t>
      </w:r>
      <w:r>
        <w:rPr/>
        <w:t>elektrárny</w:t>
      </w:r>
      <w:r>
        <w:rPr>
          <w:spacing w:val="-9"/>
        </w:rPr>
        <w:t> </w:t>
      </w:r>
      <w:r>
        <w:rPr/>
        <w:t>v</w:t>
      </w:r>
      <w:r>
        <w:rPr>
          <w:spacing w:val="-8"/>
        </w:rPr>
        <w:t> </w:t>
      </w:r>
      <w:r>
        <w:rPr/>
        <w:t>areálu</w:t>
      </w:r>
      <w:r>
        <w:rPr>
          <w:spacing w:val="-9"/>
        </w:rPr>
        <w:t> </w:t>
      </w:r>
      <w:r>
        <w:rPr/>
        <w:t>výrobního</w:t>
      </w:r>
      <w:r>
        <w:rPr>
          <w:spacing w:val="-8"/>
        </w:rPr>
        <w:t> </w:t>
      </w:r>
      <w:r>
        <w:rPr/>
        <w:t>závodu</w:t>
      </w:r>
      <w:r>
        <w:rPr>
          <w:spacing w:val="-9"/>
        </w:rPr>
        <w:t> </w:t>
      </w:r>
      <w:r>
        <w:rPr>
          <w:spacing w:val="-2"/>
        </w:rPr>
        <w:t>Novosedly“</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ListParagraph"/>
        <w:numPr>
          <w:ilvl w:val="0"/>
          <w:numId w:val="1"/>
        </w:numPr>
        <w:tabs>
          <w:tab w:pos="386" w:val="left" w:leader="none"/>
        </w:tabs>
        <w:spacing w:line="240" w:lineRule="auto" w:before="121" w:after="0"/>
        <w:ind w:left="385" w:right="117"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w:t>
      </w:r>
      <w:r>
        <w:rPr>
          <w:spacing w:val="-1"/>
          <w:sz w:val="20"/>
        </w:rPr>
        <w:t> </w:t>
      </w:r>
      <w:r>
        <w:rPr>
          <w:sz w:val="20"/>
        </w:rPr>
        <w:t>souladu</w:t>
      </w:r>
      <w:r>
        <w:rPr>
          <w:spacing w:val="-1"/>
          <w:sz w:val="20"/>
        </w:rPr>
        <w:t> </w:t>
      </w:r>
      <w:r>
        <w:rPr>
          <w:sz w:val="20"/>
        </w:rPr>
        <w:t>s</w:t>
      </w:r>
      <w:r>
        <w:rPr>
          <w:spacing w:val="-2"/>
          <w:sz w:val="20"/>
        </w:rPr>
        <w:t> </w:t>
      </w:r>
      <w:r>
        <w:rPr>
          <w:sz w:val="20"/>
        </w:rPr>
        <w:t>Nařízením</w:t>
      </w:r>
      <w:r>
        <w:rPr>
          <w:spacing w:val="-1"/>
          <w:sz w:val="20"/>
        </w:rPr>
        <w:t> </w:t>
      </w:r>
      <w:r>
        <w:rPr>
          <w:sz w:val="20"/>
        </w:rPr>
        <w:t>Komise</w:t>
      </w:r>
      <w:r>
        <w:rPr>
          <w:spacing w:val="-1"/>
          <w:sz w:val="20"/>
        </w:rPr>
        <w:t> </w:t>
      </w:r>
      <w:r>
        <w:rPr>
          <w:sz w:val="20"/>
        </w:rPr>
        <w:t>(EU)</w:t>
      </w:r>
      <w:r>
        <w:rPr>
          <w:spacing w:val="-1"/>
          <w:sz w:val="20"/>
        </w:rPr>
        <w:t> </w:t>
      </w:r>
      <w:r>
        <w:rPr>
          <w:sz w:val="20"/>
        </w:rPr>
        <w:t>č.</w:t>
      </w:r>
      <w:r>
        <w:rPr>
          <w:spacing w:val="-2"/>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2"/>
          <w:sz w:val="20"/>
        </w:rPr>
        <w:t> </w:t>
      </w:r>
      <w:r>
        <w:rPr>
          <w:sz w:val="20"/>
        </w:rPr>
        <w:t>kterým se v souladu s články 107 a 108 Smlouvy prohlašují určité kategorie podpory za slučitelné s vnitřním trhem</w:t>
      </w:r>
      <w:r>
        <w:rPr>
          <w:spacing w:val="-10"/>
          <w:sz w:val="20"/>
        </w:rPr>
        <w:t> </w:t>
      </w:r>
      <w:r>
        <w:rPr>
          <w:sz w:val="20"/>
        </w:rPr>
        <w:t>(obecné</w:t>
      </w:r>
      <w:r>
        <w:rPr>
          <w:spacing w:val="-12"/>
          <w:sz w:val="20"/>
        </w:rPr>
        <w:t> </w:t>
      </w:r>
      <w:r>
        <w:rPr>
          <w:sz w:val="20"/>
        </w:rPr>
        <w:t>nařízení</w:t>
      </w:r>
      <w:r>
        <w:rPr>
          <w:spacing w:val="-11"/>
          <w:sz w:val="20"/>
        </w:rPr>
        <w:t> </w:t>
      </w:r>
      <w:r>
        <w:rPr>
          <w:sz w:val="20"/>
        </w:rPr>
        <w:t>o</w:t>
      </w:r>
      <w:r>
        <w:rPr>
          <w:spacing w:val="-11"/>
          <w:sz w:val="20"/>
        </w:rPr>
        <w:t> </w:t>
      </w:r>
      <w:r>
        <w:rPr>
          <w:sz w:val="20"/>
        </w:rPr>
        <w:t>blokových</w:t>
      </w:r>
      <w:r>
        <w:rPr>
          <w:spacing w:val="-11"/>
          <w:sz w:val="20"/>
        </w:rPr>
        <w:t> </w:t>
      </w:r>
      <w:r>
        <w:rPr>
          <w:sz w:val="20"/>
        </w:rPr>
        <w:t>výjimkách),</w:t>
      </w:r>
      <w:r>
        <w:rPr>
          <w:spacing w:val="-11"/>
          <w:sz w:val="20"/>
        </w:rPr>
        <w:t> </w:t>
      </w:r>
      <w:r>
        <w:rPr>
          <w:sz w:val="20"/>
        </w:rPr>
        <w:t>zveřejněném</w:t>
      </w:r>
      <w:r>
        <w:rPr>
          <w:spacing w:val="-10"/>
          <w:sz w:val="20"/>
        </w:rPr>
        <w:t> </w:t>
      </w:r>
      <w:r>
        <w:rPr>
          <w:sz w:val="20"/>
        </w:rPr>
        <w:t>v</w:t>
      </w:r>
      <w:r>
        <w:rPr>
          <w:spacing w:val="-11"/>
          <w:sz w:val="20"/>
        </w:rPr>
        <w:t> </w:t>
      </w:r>
      <w:r>
        <w:rPr>
          <w:sz w:val="20"/>
        </w:rPr>
        <w:t>Úředním</w:t>
      </w:r>
      <w:r>
        <w:rPr>
          <w:spacing w:val="-10"/>
          <w:sz w:val="20"/>
        </w:rPr>
        <w:t> </w:t>
      </w:r>
      <w:r>
        <w:rPr>
          <w:sz w:val="20"/>
        </w:rPr>
        <w:t>věstníku</w:t>
      </w:r>
      <w:r>
        <w:rPr>
          <w:spacing w:val="-11"/>
          <w:sz w:val="20"/>
        </w:rPr>
        <w:t> </w:t>
      </w:r>
      <w:r>
        <w:rPr>
          <w:sz w:val="20"/>
        </w:rPr>
        <w:t>EU</w:t>
      </w:r>
      <w:r>
        <w:rPr>
          <w:spacing w:val="-11"/>
          <w:sz w:val="20"/>
        </w:rPr>
        <w:t> </w:t>
      </w:r>
      <w:r>
        <w:rPr>
          <w:sz w:val="20"/>
        </w:rPr>
        <w:t>dne</w:t>
      </w:r>
      <w:r>
        <w:rPr>
          <w:spacing w:val="-12"/>
          <w:sz w:val="20"/>
        </w:rPr>
        <w:t> </w:t>
      </w:r>
      <w:r>
        <w:rPr>
          <w:sz w:val="20"/>
        </w:rPr>
        <w:t>26.</w:t>
      </w:r>
      <w:r>
        <w:rPr>
          <w:spacing w:val="-11"/>
          <w:sz w:val="20"/>
        </w:rPr>
        <w:t> </w:t>
      </w:r>
      <w:r>
        <w:rPr>
          <w:sz w:val="20"/>
        </w:rPr>
        <w:t>června</w:t>
      </w:r>
      <w:r>
        <w:rPr>
          <w:spacing w:val="-12"/>
          <w:sz w:val="20"/>
        </w:rPr>
        <w:t> </w:t>
      </w:r>
      <w:r>
        <w:rPr>
          <w:sz w:val="20"/>
        </w:rPr>
        <w:t>2014 a jejím oznámením SA.63670.</w:t>
      </w:r>
    </w:p>
    <w:p>
      <w:pPr>
        <w:pStyle w:val="BodyText"/>
        <w:spacing w:before="12"/>
        <w:rPr>
          <w:sz w:val="19"/>
        </w:rPr>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6</w:t>
      </w:r>
      <w:r>
        <w:rPr>
          <w:b/>
          <w:spacing w:val="-2"/>
          <w:sz w:val="20"/>
        </w:rPr>
        <w:t> </w:t>
      </w:r>
      <w:r>
        <w:rPr>
          <w:b/>
          <w:sz w:val="20"/>
        </w:rPr>
        <w:t>687</w:t>
      </w:r>
      <w:r>
        <w:rPr>
          <w:b/>
          <w:spacing w:val="-1"/>
          <w:sz w:val="20"/>
        </w:rPr>
        <w:t> </w:t>
      </w:r>
      <w:r>
        <w:rPr>
          <w:b/>
          <w:sz w:val="20"/>
        </w:rPr>
        <w:t>067,24 Kč </w:t>
      </w:r>
      <w:r>
        <w:rPr>
          <w:sz w:val="20"/>
        </w:rPr>
        <w:t>(slovy: šest milionů šest set osmdesát sedm tisíc šedesát sedm korun českých a dvacet sedm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26 296 528,00 Kč.</w:t>
      </w:r>
    </w:p>
    <w:p>
      <w:pPr>
        <w:pStyle w:val="ListParagraph"/>
        <w:numPr>
          <w:ilvl w:val="0"/>
          <w:numId w:val="2"/>
        </w:numPr>
        <w:tabs>
          <w:tab w:pos="386" w:val="left" w:leader="none"/>
        </w:tabs>
        <w:spacing w:line="240" w:lineRule="auto" w:before="121" w:after="0"/>
        <w:ind w:left="385" w:right="0" w:hanging="284"/>
        <w:jc w:val="both"/>
        <w:rPr>
          <w:sz w:val="20"/>
        </w:rPr>
      </w:pPr>
      <w:r>
        <w:rPr>
          <w:sz w:val="20"/>
        </w:rPr>
        <w:t>Podpora</w:t>
      </w:r>
      <w:r>
        <w:rPr>
          <w:spacing w:val="-7"/>
          <w:sz w:val="20"/>
        </w:rPr>
        <w:t> </w:t>
      </w:r>
      <w:r>
        <w:rPr>
          <w:sz w:val="20"/>
        </w:rPr>
        <w:t>nesmí</w:t>
      </w:r>
      <w:r>
        <w:rPr>
          <w:spacing w:val="-4"/>
          <w:sz w:val="20"/>
        </w:rPr>
        <w:t> </w:t>
      </w:r>
      <w:r>
        <w:rPr>
          <w:sz w:val="20"/>
        </w:rPr>
        <w:t>přesáhnout</w:t>
      </w:r>
      <w:r>
        <w:rPr>
          <w:spacing w:val="-4"/>
          <w:sz w:val="20"/>
        </w:rPr>
        <w:t> </w:t>
      </w:r>
      <w:r>
        <w:rPr>
          <w:sz w:val="20"/>
        </w:rPr>
        <w:t>50</w:t>
      </w:r>
      <w:r>
        <w:rPr>
          <w:spacing w:val="-5"/>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pPr>
    </w:p>
    <w:p>
      <w:pPr>
        <w:pStyle w:val="Heading1"/>
        <w:ind w:right="1060"/>
      </w:pPr>
      <w:r>
        <w:rPr>
          <w:spacing w:val="-4"/>
        </w:rPr>
        <w:t>III.</w:t>
      </w:r>
    </w:p>
    <w:p>
      <w:pPr>
        <w:pStyle w:val="Heading2"/>
        <w:ind w:right="1060"/>
      </w:pPr>
      <w:r>
        <w:rPr/>
        <w:t>Platební</w:t>
      </w:r>
      <w:r>
        <w:rPr>
          <w:spacing w:val="-9"/>
        </w:rPr>
        <w:t> </w:t>
      </w:r>
      <w:r>
        <w:rPr>
          <w:spacing w:val="-2"/>
        </w:rPr>
        <w:t>podmínky</w:t>
      </w:r>
    </w:p>
    <w:p>
      <w:pPr>
        <w:pStyle w:val="BodyText"/>
        <w:rPr>
          <w:b/>
        </w:rPr>
      </w:pPr>
    </w:p>
    <w:p>
      <w:pPr>
        <w:pStyle w:val="ListParagraph"/>
        <w:numPr>
          <w:ilvl w:val="0"/>
          <w:numId w:val="3"/>
        </w:numPr>
        <w:tabs>
          <w:tab w:pos="386" w:val="left" w:leader="none"/>
        </w:tabs>
        <w:spacing w:line="265" w:lineRule="exact" w:before="1"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2"/>
          <w:sz w:val="20"/>
        </w:rPr>
        <w:t> </w:t>
      </w:r>
      <w:r>
        <w:rPr>
          <w:sz w:val="20"/>
        </w:rPr>
        <w:t>převodem</w:t>
      </w:r>
      <w:r>
        <w:rPr>
          <w:spacing w:val="22"/>
          <w:sz w:val="20"/>
        </w:rPr>
        <w:t> </w:t>
      </w:r>
      <w:r>
        <w:rPr>
          <w:sz w:val="20"/>
        </w:rPr>
        <w:t>peněžních</w:t>
      </w:r>
      <w:r>
        <w:rPr>
          <w:spacing w:val="21"/>
          <w:sz w:val="20"/>
        </w:rPr>
        <w:t> </w:t>
      </w:r>
      <w:r>
        <w:rPr>
          <w:sz w:val="20"/>
        </w:rPr>
        <w:t>prostředků</w:t>
      </w:r>
      <w:r>
        <w:rPr>
          <w:spacing w:val="20"/>
          <w:sz w:val="20"/>
        </w:rPr>
        <w:t> </w:t>
      </w:r>
      <w:r>
        <w:rPr>
          <w:sz w:val="20"/>
        </w:rPr>
        <w:t>z</w:t>
      </w:r>
      <w:r>
        <w:rPr>
          <w:spacing w:val="22"/>
          <w:sz w:val="20"/>
        </w:rPr>
        <w:t> </w:t>
      </w:r>
      <w:r>
        <w:rPr>
          <w:sz w:val="20"/>
        </w:rPr>
        <w:t>bankovního</w:t>
      </w:r>
      <w:r>
        <w:rPr>
          <w:spacing w:val="21"/>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line="265" w:lineRule="exact"/>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5"/>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18"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pStyle w:val="ListParagraph"/>
        <w:numPr>
          <w:ilvl w:val="0"/>
          <w:numId w:val="3"/>
        </w:numPr>
        <w:tabs>
          <w:tab w:pos="386" w:val="left" w:leader="none"/>
        </w:tabs>
        <w:spacing w:line="240" w:lineRule="auto" w:before="122"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before="186"/>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118" w:after="0"/>
        <w:ind w:left="742" w:right="0" w:hanging="358"/>
        <w:jc w:val="left"/>
        <w:rPr>
          <w:sz w:val="20"/>
        </w:rPr>
      </w:pPr>
      <w:r>
        <w:rPr>
          <w:sz w:val="20"/>
        </w:rPr>
        <w:t>splní</w:t>
      </w:r>
      <w:r>
        <w:rPr>
          <w:spacing w:val="-12"/>
          <w:sz w:val="20"/>
        </w:rPr>
        <w:t> </w:t>
      </w:r>
      <w:r>
        <w:rPr>
          <w:sz w:val="20"/>
        </w:rPr>
        <w:t>účel</w:t>
      </w:r>
      <w:r>
        <w:rPr>
          <w:spacing w:val="-11"/>
          <w:sz w:val="20"/>
        </w:rPr>
        <w:t> </w:t>
      </w:r>
      <w:r>
        <w:rPr>
          <w:sz w:val="20"/>
        </w:rPr>
        <w:t>akce</w:t>
      </w:r>
      <w:r>
        <w:rPr>
          <w:spacing w:val="-12"/>
          <w:sz w:val="20"/>
        </w:rPr>
        <w:t> </w:t>
      </w:r>
      <w:r>
        <w:rPr>
          <w:sz w:val="20"/>
        </w:rPr>
        <w:t>„Instalace</w:t>
      </w:r>
      <w:r>
        <w:rPr>
          <w:spacing w:val="-13"/>
          <w:sz w:val="20"/>
        </w:rPr>
        <w:t> </w:t>
      </w:r>
      <w:r>
        <w:rPr>
          <w:sz w:val="20"/>
        </w:rPr>
        <w:t>fotovoltaické</w:t>
      </w:r>
      <w:r>
        <w:rPr>
          <w:spacing w:val="-9"/>
          <w:sz w:val="20"/>
        </w:rPr>
        <w:t> </w:t>
      </w:r>
      <w:r>
        <w:rPr>
          <w:sz w:val="20"/>
        </w:rPr>
        <w:t>elektrárny</w:t>
      </w:r>
      <w:r>
        <w:rPr>
          <w:spacing w:val="-12"/>
          <w:sz w:val="20"/>
        </w:rPr>
        <w:t> </w:t>
      </w:r>
      <w:r>
        <w:rPr>
          <w:sz w:val="20"/>
        </w:rPr>
        <w:t>v</w:t>
      </w:r>
      <w:r>
        <w:rPr>
          <w:spacing w:val="-10"/>
          <w:sz w:val="20"/>
        </w:rPr>
        <w:t> </w:t>
      </w:r>
      <w:r>
        <w:rPr>
          <w:sz w:val="20"/>
        </w:rPr>
        <w:t>areálu</w:t>
      </w:r>
      <w:r>
        <w:rPr>
          <w:spacing w:val="-12"/>
          <w:sz w:val="20"/>
        </w:rPr>
        <w:t> </w:t>
      </w:r>
      <w:r>
        <w:rPr>
          <w:sz w:val="20"/>
        </w:rPr>
        <w:t>výrobního</w:t>
      </w:r>
      <w:r>
        <w:rPr>
          <w:spacing w:val="-10"/>
          <w:sz w:val="20"/>
        </w:rPr>
        <w:t> </w:t>
      </w:r>
      <w:r>
        <w:rPr>
          <w:sz w:val="20"/>
        </w:rPr>
        <w:t>závodu</w:t>
      </w:r>
      <w:r>
        <w:rPr>
          <w:spacing w:val="-8"/>
          <w:sz w:val="20"/>
        </w:rPr>
        <w:t> </w:t>
      </w:r>
      <w:r>
        <w:rPr>
          <w:sz w:val="20"/>
        </w:rPr>
        <w:t>Novosedly“</w:t>
      </w:r>
      <w:r>
        <w:rPr>
          <w:spacing w:val="-12"/>
          <w:sz w:val="20"/>
        </w:rPr>
        <w:t> </w:t>
      </w:r>
      <w:r>
        <w:rPr>
          <w:sz w:val="20"/>
        </w:rPr>
        <w:t>tím,</w:t>
      </w:r>
      <w:r>
        <w:rPr>
          <w:spacing w:val="-11"/>
          <w:sz w:val="20"/>
        </w:rPr>
        <w:t> </w:t>
      </w:r>
      <w:r>
        <w:rPr>
          <w:sz w:val="20"/>
        </w:rPr>
        <w:t>že</w:t>
      </w:r>
      <w:r>
        <w:rPr>
          <w:spacing w:val="-13"/>
          <w:sz w:val="20"/>
        </w:rPr>
        <w:t> </w:t>
      </w:r>
      <w:r>
        <w:rPr>
          <w:spacing w:val="-4"/>
          <w:sz w:val="20"/>
        </w:rPr>
        <w:t>akce</w:t>
      </w:r>
    </w:p>
    <w:p>
      <w:pPr>
        <w:pStyle w:val="BodyText"/>
        <w:ind w:left="742"/>
      </w:pPr>
      <w:r>
        <w:rPr/>
        <w:t>bude</w:t>
      </w:r>
      <w:r>
        <w:rPr>
          <w:spacing w:val="-6"/>
        </w:rPr>
        <w:t> </w:t>
      </w:r>
      <w:r>
        <w:rPr/>
        <w:t>provedena</w:t>
      </w:r>
      <w:r>
        <w:rPr>
          <w:spacing w:val="-6"/>
        </w:rPr>
        <w:t> </w:t>
      </w:r>
      <w:r>
        <w:rPr/>
        <w:t>v</w:t>
      </w:r>
      <w:r>
        <w:rPr>
          <w:spacing w:val="-3"/>
        </w:rPr>
        <w:t> </w:t>
      </w:r>
      <w:r>
        <w:rPr/>
        <w:t>souladu</w:t>
      </w:r>
      <w:r>
        <w:rPr>
          <w:spacing w:val="-2"/>
        </w:rPr>
        <w:t> </w:t>
      </w:r>
      <w:r>
        <w:rPr/>
        <w:t>s</w:t>
      </w:r>
      <w:r>
        <w:rPr>
          <w:spacing w:val="-5"/>
        </w:rPr>
        <w:t> </w:t>
      </w:r>
      <w:r>
        <w:rPr/>
        <w:t>Výzvou,</w:t>
      </w:r>
      <w:r>
        <w:rPr>
          <w:spacing w:val="-5"/>
        </w:rPr>
        <w:t> </w:t>
      </w:r>
      <w:r>
        <w:rPr/>
        <w:t>žádostí</w:t>
      </w:r>
      <w:r>
        <w:rPr>
          <w:spacing w:val="-5"/>
        </w:rPr>
        <w:t> </w:t>
      </w:r>
      <w:r>
        <w:rPr/>
        <w:t>o</w:t>
      </w:r>
      <w:r>
        <w:rPr>
          <w:spacing w:val="-4"/>
        </w:rPr>
        <w:t> </w:t>
      </w:r>
      <w:r>
        <w:rPr/>
        <w:t>podporu</w:t>
      </w:r>
      <w:r>
        <w:rPr>
          <w:spacing w:val="-5"/>
        </w:rPr>
        <w:t> </w:t>
      </w:r>
      <w:r>
        <w:rPr/>
        <w:t>a</w:t>
      </w:r>
      <w:r>
        <w:rPr>
          <w:spacing w:val="-5"/>
        </w:rPr>
        <w:t> </w:t>
      </w:r>
      <w:r>
        <w:rPr/>
        <w:t>jejími</w:t>
      </w:r>
      <w:r>
        <w:rPr>
          <w:spacing w:val="-6"/>
        </w:rPr>
        <w:t> </w:t>
      </w:r>
      <w:r>
        <w:rPr/>
        <w:t>přílohami</w:t>
      </w:r>
      <w:r>
        <w:rPr>
          <w:spacing w:val="-6"/>
        </w:rPr>
        <w:t> </w:t>
      </w:r>
      <w:r>
        <w:rPr/>
        <w:t>a</w:t>
      </w:r>
      <w:r>
        <w:rPr>
          <w:spacing w:val="-5"/>
        </w:rPr>
        <w:t> </w:t>
      </w:r>
      <w:r>
        <w:rPr/>
        <w:t>touto</w:t>
      </w:r>
      <w:r>
        <w:rPr>
          <w:spacing w:val="-2"/>
        </w:rPr>
        <w:t> Smlouvou,</w:t>
      </w:r>
    </w:p>
    <w:p>
      <w:pPr>
        <w:pStyle w:val="BodyText"/>
        <w:spacing w:before="1"/>
      </w:pPr>
    </w:p>
    <w:p>
      <w:pPr>
        <w:pStyle w:val="ListParagraph"/>
        <w:numPr>
          <w:ilvl w:val="1"/>
          <w:numId w:val="4"/>
        </w:numPr>
        <w:tabs>
          <w:tab w:pos="743" w:val="left" w:leader="none"/>
        </w:tabs>
        <w:spacing w:line="240" w:lineRule="auto" w:before="0" w:after="0"/>
        <w:ind w:left="742" w:right="110" w:hanging="358"/>
        <w:jc w:val="both"/>
        <w:rPr>
          <w:sz w:val="20"/>
        </w:rPr>
      </w:pPr>
      <w:r>
        <w:rPr>
          <w:sz w:val="20"/>
        </w:rPr>
        <w:t>realizací projektu dojde k výstavbě nové fotovoltaické elektrárny se střešní instalací s předpokládaným výkonem 900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1"/>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1"/>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21"/>
        <w:gridCol w:w="1678"/>
        <w:gridCol w:w="1702"/>
        <w:gridCol w:w="1728"/>
      </w:tblGrid>
      <w:tr>
        <w:trPr>
          <w:trHeight w:val="772" w:hRule="atLeast"/>
        </w:trPr>
        <w:tc>
          <w:tcPr>
            <w:tcW w:w="3721" w:type="dxa"/>
          </w:tcPr>
          <w:p>
            <w:pPr>
              <w:pStyle w:val="TableParagraph"/>
              <w:spacing w:before="120"/>
              <w:ind w:left="105"/>
              <w:rPr>
                <w:b/>
                <w:sz w:val="20"/>
              </w:rPr>
            </w:pPr>
            <w:r>
              <w:rPr>
                <w:b/>
                <w:spacing w:val="-2"/>
                <w:sz w:val="20"/>
              </w:rPr>
              <w:t>Indikátor</w:t>
            </w:r>
          </w:p>
        </w:tc>
        <w:tc>
          <w:tcPr>
            <w:tcW w:w="1678" w:type="dxa"/>
          </w:tcPr>
          <w:p>
            <w:pPr>
              <w:pStyle w:val="TableParagraph"/>
              <w:spacing w:before="120"/>
              <w:ind w:left="104"/>
              <w:rPr>
                <w:b/>
                <w:sz w:val="20"/>
              </w:rPr>
            </w:pPr>
            <w:r>
              <w:rPr>
                <w:b/>
                <w:spacing w:val="-2"/>
                <w:sz w:val="20"/>
              </w:rPr>
              <w:t>Jednotka</w:t>
            </w:r>
          </w:p>
        </w:tc>
        <w:tc>
          <w:tcPr>
            <w:tcW w:w="1702"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728" w:type="dxa"/>
          </w:tcPr>
          <w:p>
            <w:pPr>
              <w:pStyle w:val="TableParagraph"/>
              <w:spacing w:before="120"/>
              <w:ind w:left="105"/>
              <w:rPr>
                <w:b/>
                <w:sz w:val="20"/>
              </w:rPr>
            </w:pPr>
            <w:r>
              <w:rPr>
                <w:b/>
                <w:sz w:val="20"/>
              </w:rPr>
              <w:t>Cílová</w:t>
            </w:r>
            <w:r>
              <w:rPr>
                <w:b/>
                <w:spacing w:val="-5"/>
                <w:sz w:val="20"/>
              </w:rPr>
              <w:t> </w:t>
            </w:r>
            <w:r>
              <w:rPr>
                <w:b/>
                <w:spacing w:val="-2"/>
                <w:sz w:val="20"/>
              </w:rPr>
              <w:t>hodnota</w:t>
            </w:r>
          </w:p>
        </w:tc>
      </w:tr>
      <w:tr>
        <w:trPr>
          <w:trHeight w:val="505" w:hRule="atLeast"/>
        </w:trPr>
        <w:tc>
          <w:tcPr>
            <w:tcW w:w="3721"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78" w:type="dxa"/>
          </w:tcPr>
          <w:p>
            <w:pPr>
              <w:pStyle w:val="TableParagraph"/>
              <w:spacing w:before="120"/>
              <w:ind w:left="388"/>
              <w:rPr>
                <w:sz w:val="20"/>
              </w:rPr>
            </w:pPr>
            <w:r>
              <w:rPr>
                <w:spacing w:val="-5"/>
                <w:sz w:val="20"/>
              </w:rPr>
              <w:t>kWp</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5"/>
                <w:sz w:val="20"/>
              </w:rPr>
              <w:t>900</w:t>
            </w:r>
          </w:p>
        </w:tc>
      </w:tr>
      <w:tr>
        <w:trPr>
          <w:trHeight w:val="505" w:hRule="atLeast"/>
        </w:trPr>
        <w:tc>
          <w:tcPr>
            <w:tcW w:w="3721"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78" w:type="dxa"/>
          </w:tcPr>
          <w:p>
            <w:pPr>
              <w:pStyle w:val="TableParagraph"/>
              <w:spacing w:before="120"/>
              <w:ind w:left="0" w:right="411"/>
              <w:jc w:val="right"/>
              <w:rPr>
                <w:sz w:val="20"/>
              </w:rPr>
            </w:pPr>
            <w:r>
              <w:rPr>
                <w:sz w:val="20"/>
              </w:rPr>
              <w:t>t</w:t>
            </w:r>
            <w:r>
              <w:rPr>
                <w:spacing w:val="-2"/>
                <w:sz w:val="20"/>
              </w:rPr>
              <w:t> CO2/rok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753.70</w:t>
            </w:r>
          </w:p>
        </w:tc>
      </w:tr>
      <w:tr>
        <w:trPr>
          <w:trHeight w:val="530" w:hRule="atLeast"/>
        </w:trPr>
        <w:tc>
          <w:tcPr>
            <w:tcW w:w="3721" w:type="dxa"/>
          </w:tcPr>
          <w:p>
            <w:pPr>
              <w:pStyle w:val="TableParagraph"/>
              <w:spacing w:line="264"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78" w:type="dxa"/>
          </w:tcPr>
          <w:p>
            <w:pPr>
              <w:pStyle w:val="TableParagraph"/>
              <w:spacing w:before="120"/>
              <w:ind w:left="0" w:right="435"/>
              <w:jc w:val="right"/>
              <w:rPr>
                <w:sz w:val="20"/>
              </w:rPr>
            </w:pPr>
            <w:r>
              <w:rPr>
                <w:spacing w:val="-2"/>
                <w:sz w:val="20"/>
              </w:rPr>
              <w:t>MWh/rok</w:t>
            </w:r>
          </w:p>
        </w:tc>
        <w:tc>
          <w:tcPr>
            <w:tcW w:w="1702" w:type="dxa"/>
          </w:tcPr>
          <w:p>
            <w:pPr>
              <w:pStyle w:val="TableParagraph"/>
              <w:spacing w:before="120"/>
              <w:ind w:left="390"/>
              <w:rPr>
                <w:sz w:val="20"/>
              </w:rPr>
            </w:pPr>
            <w:r>
              <w:rPr>
                <w:w w:val="99"/>
                <w:sz w:val="20"/>
              </w:rPr>
              <w:t>0</w:t>
            </w:r>
          </w:p>
        </w:tc>
        <w:tc>
          <w:tcPr>
            <w:tcW w:w="1728" w:type="dxa"/>
          </w:tcPr>
          <w:p>
            <w:pPr>
              <w:pStyle w:val="TableParagraph"/>
              <w:spacing w:before="120"/>
              <w:ind w:left="388"/>
              <w:rPr>
                <w:sz w:val="20"/>
              </w:rPr>
            </w:pPr>
            <w:r>
              <w:rPr>
                <w:spacing w:val="-2"/>
                <w:sz w:val="20"/>
              </w:rPr>
              <w:t>2278.30</w:t>
            </w:r>
          </w:p>
        </w:tc>
      </w:tr>
      <w:tr>
        <w:trPr>
          <w:trHeight w:val="509" w:hRule="atLeast"/>
        </w:trPr>
        <w:tc>
          <w:tcPr>
            <w:tcW w:w="3721"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78" w:type="dxa"/>
          </w:tcPr>
          <w:p>
            <w:pPr>
              <w:pStyle w:val="TableParagraph"/>
              <w:spacing w:before="123"/>
              <w:ind w:left="0" w:right="435"/>
              <w:jc w:val="right"/>
              <w:rPr>
                <w:sz w:val="20"/>
              </w:rPr>
            </w:pPr>
            <w:r>
              <w:rPr>
                <w:spacing w:val="-2"/>
                <w:sz w:val="20"/>
              </w:rPr>
              <w:t>MWh/rok</w:t>
            </w:r>
          </w:p>
        </w:tc>
        <w:tc>
          <w:tcPr>
            <w:tcW w:w="1702" w:type="dxa"/>
          </w:tcPr>
          <w:p>
            <w:pPr>
              <w:pStyle w:val="TableParagraph"/>
              <w:spacing w:before="123"/>
              <w:ind w:left="390"/>
              <w:rPr>
                <w:sz w:val="20"/>
              </w:rPr>
            </w:pPr>
            <w:r>
              <w:rPr>
                <w:w w:val="99"/>
                <w:sz w:val="20"/>
              </w:rPr>
              <w:t>0</w:t>
            </w:r>
          </w:p>
        </w:tc>
        <w:tc>
          <w:tcPr>
            <w:tcW w:w="1728" w:type="dxa"/>
          </w:tcPr>
          <w:p>
            <w:pPr>
              <w:pStyle w:val="TableParagraph"/>
              <w:spacing w:before="123"/>
              <w:ind w:left="388"/>
              <w:rPr>
                <w:sz w:val="20"/>
              </w:rPr>
            </w:pPr>
            <w:r>
              <w:rPr>
                <w:spacing w:val="-2"/>
                <w:sz w:val="20"/>
              </w:rPr>
              <w:t>876.30</w:t>
            </w:r>
          </w:p>
        </w:tc>
      </w:tr>
    </w:tbl>
    <w:p>
      <w:pPr>
        <w:pStyle w:val="ListParagraph"/>
        <w:numPr>
          <w:ilvl w:val="1"/>
          <w:numId w:val="4"/>
        </w:numPr>
        <w:tabs>
          <w:tab w:pos="743" w:val="left" w:leader="none"/>
        </w:tabs>
        <w:spacing w:line="240" w:lineRule="auto" w:before="119" w:after="0"/>
        <w:ind w:left="742" w:right="112"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w:t>
      </w:r>
      <w:r>
        <w:rPr>
          <w:spacing w:val="-1"/>
          <w:sz w:val="20"/>
        </w:rPr>
        <w:t> </w:t>
      </w:r>
      <w:r>
        <w:rPr>
          <w:sz w:val="20"/>
        </w:rPr>
        <w:t>rozumí období</w:t>
      </w:r>
      <w:r>
        <w:rPr>
          <w:spacing w:val="-1"/>
          <w:sz w:val="20"/>
        </w:rPr>
        <w:t> </w:t>
      </w:r>
      <w:r>
        <w:rPr>
          <w:sz w:val="20"/>
        </w:rPr>
        <w:t>ode dne účinnosti této Smlouvy do předložení podkladů pro ZVA podle písmene f),</w:t>
      </w:r>
    </w:p>
    <w:p>
      <w:pPr>
        <w:pStyle w:val="ListParagraph"/>
        <w:numPr>
          <w:ilvl w:val="1"/>
          <w:numId w:val="4"/>
        </w:numPr>
        <w:tabs>
          <w:tab w:pos="743" w:val="left" w:leader="none"/>
        </w:tabs>
        <w:spacing w:line="240" w:lineRule="auto" w:before="122" w:after="0"/>
        <w:ind w:left="742" w:right="110" w:hanging="358"/>
        <w:jc w:val="both"/>
        <w:rPr>
          <w:sz w:val="20"/>
        </w:rPr>
      </w:pPr>
      <w:r>
        <w:rPr>
          <w:sz w:val="20"/>
        </w:rPr>
        <w:t>dodrží</w:t>
      </w:r>
      <w:r>
        <w:rPr>
          <w:spacing w:val="-12"/>
          <w:sz w:val="20"/>
        </w:rPr>
        <w:t> </w:t>
      </w:r>
      <w:r>
        <w:rPr>
          <w:sz w:val="20"/>
        </w:rPr>
        <w:t>termín</w:t>
      </w:r>
      <w:r>
        <w:rPr>
          <w:spacing w:val="-12"/>
          <w:sz w:val="20"/>
        </w:rPr>
        <w:t> </w:t>
      </w:r>
      <w:r>
        <w:rPr>
          <w:sz w:val="20"/>
        </w:rPr>
        <w:t>ukončení</w:t>
      </w:r>
      <w:r>
        <w:rPr>
          <w:spacing w:val="-12"/>
          <w:sz w:val="20"/>
        </w:rPr>
        <w:t> </w:t>
      </w:r>
      <w:r>
        <w:rPr>
          <w:sz w:val="20"/>
        </w:rPr>
        <w:t>akce</w:t>
      </w:r>
      <w:r>
        <w:rPr>
          <w:spacing w:val="-12"/>
          <w:sz w:val="20"/>
        </w:rPr>
        <w:t> </w:t>
      </w:r>
      <w:r>
        <w:rPr>
          <w:sz w:val="20"/>
        </w:rPr>
        <w:t>do</w:t>
      </w:r>
      <w:r>
        <w:rPr>
          <w:spacing w:val="-9"/>
          <w:sz w:val="20"/>
        </w:rPr>
        <w:t> </w:t>
      </w:r>
      <w:r>
        <w:rPr>
          <w:sz w:val="20"/>
        </w:rPr>
        <w:t>2</w:t>
      </w:r>
      <w:r>
        <w:rPr>
          <w:spacing w:val="-11"/>
          <w:sz w:val="20"/>
        </w:rPr>
        <w:t> </w:t>
      </w:r>
      <w:r>
        <w:rPr>
          <w:sz w:val="20"/>
        </w:rPr>
        <w:t>let</w:t>
      </w:r>
      <w:r>
        <w:rPr>
          <w:spacing w:val="-11"/>
          <w:sz w:val="20"/>
        </w:rPr>
        <w:t> </w:t>
      </w:r>
      <w:r>
        <w:rPr>
          <w:sz w:val="20"/>
        </w:rPr>
        <w:t>(výdaje</w:t>
      </w:r>
      <w:r>
        <w:rPr>
          <w:spacing w:val="-13"/>
          <w:sz w:val="20"/>
        </w:rPr>
        <w:t> </w:t>
      </w:r>
      <w:r>
        <w:rPr>
          <w:sz w:val="20"/>
        </w:rPr>
        <w:t>po</w:t>
      </w:r>
      <w:r>
        <w:rPr>
          <w:spacing w:val="-10"/>
          <w:sz w:val="20"/>
        </w:rPr>
        <w:t> </w:t>
      </w:r>
      <w:r>
        <w:rPr>
          <w:sz w:val="20"/>
        </w:rPr>
        <w:t>tomto</w:t>
      </w:r>
      <w:r>
        <w:rPr>
          <w:spacing w:val="-13"/>
          <w:sz w:val="20"/>
        </w:rPr>
        <w:t> </w:t>
      </w:r>
      <w:r>
        <w:rPr>
          <w:sz w:val="20"/>
        </w:rPr>
        <w:t>datu</w:t>
      </w:r>
      <w:r>
        <w:rPr>
          <w:spacing w:val="-11"/>
          <w:sz w:val="20"/>
        </w:rPr>
        <w:t> </w:t>
      </w:r>
      <w:r>
        <w:rPr>
          <w:sz w:val="20"/>
        </w:rPr>
        <w:t>jsou</w:t>
      </w:r>
      <w:r>
        <w:rPr>
          <w:spacing w:val="-11"/>
          <w:sz w:val="20"/>
        </w:rPr>
        <w:t> </w:t>
      </w:r>
      <w:r>
        <w:rPr>
          <w:sz w:val="20"/>
        </w:rPr>
        <w:t>nezpůsobilé)</w:t>
      </w:r>
      <w:r>
        <w:rPr>
          <w:spacing w:val="-11"/>
          <w:sz w:val="20"/>
        </w:rPr>
        <w:t> </w:t>
      </w:r>
      <w:r>
        <w:rPr>
          <w:sz w:val="20"/>
        </w:rPr>
        <w:t>od</w:t>
      </w:r>
      <w:r>
        <w:rPr>
          <w:spacing w:val="-11"/>
          <w:sz w:val="20"/>
        </w:rPr>
        <w:t> </w:t>
      </w:r>
      <w:r>
        <w:rPr>
          <w:sz w:val="20"/>
        </w:rPr>
        <w:t>vydání</w:t>
      </w:r>
      <w:r>
        <w:rPr>
          <w:spacing w:val="-2"/>
          <w:sz w:val="20"/>
        </w:rPr>
        <w:t> </w:t>
      </w:r>
      <w:r>
        <w:rPr>
          <w:sz w:val="20"/>
        </w:rPr>
        <w:t>Rozhodnutí. Za termín ukončení akce se považuje datum vydání Kolaudačního souhlasu, oznámení o užívání podle</w:t>
      </w:r>
      <w:r>
        <w:rPr>
          <w:spacing w:val="40"/>
          <w:sz w:val="20"/>
        </w:rPr>
        <w:t> </w:t>
      </w:r>
      <w:r>
        <w:rPr>
          <w:sz w:val="20"/>
        </w:rPr>
        <w:t>příslušných</w:t>
      </w:r>
      <w:r>
        <w:rPr>
          <w:spacing w:val="40"/>
          <w:sz w:val="20"/>
        </w:rPr>
        <w:t> </w:t>
      </w:r>
      <w:r>
        <w:rPr>
          <w:sz w:val="20"/>
        </w:rPr>
        <w:t>ustanovení</w:t>
      </w:r>
      <w:r>
        <w:rPr>
          <w:spacing w:val="40"/>
          <w:sz w:val="20"/>
        </w:rPr>
        <w:t> </w:t>
      </w:r>
      <w:r>
        <w:rPr>
          <w:sz w:val="20"/>
        </w:rPr>
        <w:t>zákona</w:t>
      </w:r>
      <w:r>
        <w:rPr>
          <w:spacing w:val="40"/>
          <w:sz w:val="20"/>
        </w:rPr>
        <w:t> </w:t>
      </w:r>
      <w:r>
        <w:rPr>
          <w:sz w:val="20"/>
        </w:rPr>
        <w:t>č.</w:t>
      </w:r>
      <w:r>
        <w:rPr>
          <w:spacing w:val="40"/>
          <w:sz w:val="20"/>
        </w:rPr>
        <w:t> </w:t>
      </w:r>
      <w:r>
        <w:rPr>
          <w:sz w:val="20"/>
        </w:rPr>
        <w:t>183/2006</w:t>
      </w:r>
      <w:r>
        <w:rPr>
          <w:spacing w:val="40"/>
          <w:sz w:val="20"/>
        </w:rPr>
        <w:t> </w:t>
      </w:r>
      <w:r>
        <w:rPr>
          <w:sz w:val="20"/>
        </w:rPr>
        <w:t>Sb.,</w:t>
      </w:r>
      <w:r>
        <w:rPr>
          <w:spacing w:val="40"/>
          <w:sz w:val="20"/>
        </w:rPr>
        <w:t> </w:t>
      </w:r>
      <w:r>
        <w:rPr>
          <w:sz w:val="20"/>
        </w:rPr>
        <w:t>o</w:t>
      </w:r>
      <w:r>
        <w:rPr>
          <w:spacing w:val="40"/>
          <w:sz w:val="20"/>
        </w:rPr>
        <w:t> </w:t>
      </w:r>
      <w:r>
        <w:rPr>
          <w:sz w:val="20"/>
        </w:rPr>
        <w:t>územním</w:t>
      </w:r>
      <w:r>
        <w:rPr>
          <w:spacing w:val="40"/>
          <w:sz w:val="20"/>
        </w:rPr>
        <w:t> </w:t>
      </w:r>
      <w:r>
        <w:rPr>
          <w:sz w:val="20"/>
        </w:rPr>
        <w:t>plánování</w:t>
      </w:r>
      <w:r>
        <w:rPr>
          <w:spacing w:val="40"/>
          <w:sz w:val="20"/>
        </w:rPr>
        <w:t> </w:t>
      </w:r>
      <w:r>
        <w:rPr>
          <w:sz w:val="20"/>
        </w:rPr>
        <w:t>a</w:t>
      </w:r>
      <w:r>
        <w:rPr>
          <w:spacing w:val="40"/>
          <w:sz w:val="20"/>
        </w:rPr>
        <w:t> </w:t>
      </w:r>
      <w:r>
        <w:rPr>
          <w:sz w:val="20"/>
        </w:rPr>
        <w:t>stavebním</w:t>
      </w:r>
      <w:r>
        <w:rPr>
          <w:spacing w:val="40"/>
          <w:sz w:val="20"/>
        </w:rPr>
        <w:t> </w:t>
      </w:r>
      <w:r>
        <w:rPr>
          <w:sz w:val="20"/>
        </w:rPr>
        <w:t>řádu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742" w:right="115"/>
        <w:jc w:val="both"/>
      </w:pPr>
      <w:r>
        <w:rPr/>
        <w:t>(stavební</w:t>
      </w:r>
      <w:r>
        <w:rPr>
          <w:spacing w:val="-10"/>
        </w:rPr>
        <w:t> </w:t>
      </w:r>
      <w:r>
        <w:rPr/>
        <w:t>zákon),</w:t>
      </w:r>
      <w:r>
        <w:rPr>
          <w:spacing w:val="-10"/>
        </w:rPr>
        <w:t> </w:t>
      </w:r>
      <w:r>
        <w:rPr/>
        <w:t>ve</w:t>
      </w:r>
      <w:r>
        <w:rPr>
          <w:spacing w:val="-11"/>
        </w:rPr>
        <w:t> </w:t>
      </w:r>
      <w:r>
        <w:rPr/>
        <w:t>znění</w:t>
      </w:r>
      <w:r>
        <w:rPr>
          <w:spacing w:val="-9"/>
        </w:rPr>
        <w:t> </w:t>
      </w:r>
      <w:r>
        <w:rPr/>
        <w:t>pozdějších</w:t>
      </w:r>
      <w:r>
        <w:rPr>
          <w:spacing w:val="-10"/>
        </w:rPr>
        <w:t> </w:t>
      </w:r>
      <w:r>
        <w:rPr/>
        <w:t>předpisů,</w:t>
      </w:r>
      <w:r>
        <w:rPr>
          <w:spacing w:val="-8"/>
        </w:rPr>
        <w:t> </w:t>
      </w:r>
      <w:r>
        <w:rPr/>
        <w:t>nebo</w:t>
      </w:r>
      <w:r>
        <w:rPr>
          <w:spacing w:val="-8"/>
        </w:rPr>
        <w:t> </w:t>
      </w:r>
      <w:r>
        <w:rPr/>
        <w:t>termín</w:t>
      </w:r>
      <w:r>
        <w:rPr>
          <w:spacing w:val="-11"/>
        </w:rPr>
        <w:t> </w:t>
      </w:r>
      <w:r>
        <w:rPr/>
        <w:t>schválení</w:t>
      </w:r>
      <w:r>
        <w:rPr>
          <w:spacing w:val="-10"/>
        </w:rPr>
        <w:t> </w:t>
      </w:r>
      <w:r>
        <w:rPr/>
        <w:t>protokolu</w:t>
      </w:r>
      <w:r>
        <w:rPr>
          <w:spacing w:val="-10"/>
        </w:rPr>
        <w:t> </w:t>
      </w:r>
      <w:r>
        <w:rPr/>
        <w:t>o</w:t>
      </w:r>
      <w:r>
        <w:rPr>
          <w:spacing w:val="-8"/>
        </w:rPr>
        <w:t> </w:t>
      </w:r>
      <w:r>
        <w:rPr/>
        <w:t>předání</w:t>
      </w:r>
      <w:r>
        <w:rPr>
          <w:spacing w:val="-8"/>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5"/>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4"/>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1"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 související</w:t>
      </w:r>
      <w:r>
        <w:rPr>
          <w:spacing w:val="-2"/>
          <w:sz w:val="20"/>
        </w:rPr>
        <w:t> </w:t>
      </w:r>
      <w:r>
        <w:rPr>
          <w:sz w:val="20"/>
        </w:rPr>
        <w:t>s</w:t>
      </w:r>
      <w:r>
        <w:rPr>
          <w:spacing w:val="-4"/>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6"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7"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2"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40"/>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10"/>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7"/>
          <w:sz w:val="20"/>
        </w:rPr>
        <w:t> </w:t>
      </w:r>
      <w:r>
        <w:rPr>
          <w:sz w:val="20"/>
        </w:rPr>
        <w:t>zakázek</w:t>
      </w:r>
      <w:r>
        <w:rPr>
          <w:spacing w:val="-6"/>
          <w:sz w:val="20"/>
        </w:rPr>
        <w:t> </w:t>
      </w:r>
      <w:r>
        <w:rPr>
          <w:sz w:val="20"/>
        </w:rPr>
        <w:t>postupovat</w:t>
      </w:r>
      <w:r>
        <w:rPr>
          <w:spacing w:val="-7"/>
          <w:sz w:val="20"/>
        </w:rPr>
        <w:t> </w:t>
      </w:r>
      <w:r>
        <w:rPr>
          <w:sz w:val="20"/>
        </w:rPr>
        <w:t>v</w:t>
      </w:r>
      <w:r>
        <w:rPr>
          <w:spacing w:val="-7"/>
          <w:sz w:val="20"/>
        </w:rPr>
        <w:t> </w:t>
      </w:r>
      <w:r>
        <w:rPr>
          <w:sz w:val="20"/>
        </w:rPr>
        <w:t>souladu</w:t>
      </w:r>
      <w:r>
        <w:rPr>
          <w:spacing w:val="-6"/>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7"/>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1"/>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3"/>
          <w:sz w:val="20"/>
        </w:rPr>
        <w:t> </w:t>
      </w:r>
      <w:r>
        <w:rPr>
          <w:sz w:val="20"/>
        </w:rPr>
        <w:t>vnitřním</w:t>
      </w:r>
      <w:r>
        <w:rPr>
          <w:spacing w:val="-13"/>
          <w:sz w:val="20"/>
        </w:rPr>
        <w:t> </w:t>
      </w:r>
      <w:r>
        <w:rPr>
          <w:sz w:val="20"/>
        </w:rPr>
        <w:t>trhem,</w:t>
      </w:r>
      <w:r>
        <w:rPr>
          <w:spacing w:val="-14"/>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spacing w:before="0"/>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3"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3"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3"/>
          <w:sz w:val="20"/>
        </w:rPr>
        <w:t> </w:t>
      </w:r>
      <w:r>
        <w:rPr>
          <w:sz w:val="20"/>
        </w:rPr>
        <w:t>porušení</w:t>
      </w:r>
      <w:r>
        <w:rPr>
          <w:spacing w:val="33"/>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2"/>
          <w:sz w:val="20"/>
        </w:rPr>
        <w:t> </w:t>
      </w:r>
      <w:r>
        <w:rPr>
          <w:sz w:val="20"/>
        </w:rPr>
        <w:t>IV</w:t>
      </w:r>
      <w:r>
        <w:rPr>
          <w:spacing w:val="33"/>
          <w:sz w:val="20"/>
        </w:rPr>
        <w:t> </w:t>
      </w:r>
      <w:r>
        <w:rPr>
          <w:sz w:val="20"/>
        </w:rPr>
        <w:t>bodu</w:t>
      </w:r>
      <w:r>
        <w:rPr>
          <w:spacing w:val="33"/>
          <w:sz w:val="20"/>
        </w:rPr>
        <w:t> </w:t>
      </w:r>
      <w:r>
        <w:rPr>
          <w:sz w:val="20"/>
        </w:rPr>
        <w:t>2</w:t>
      </w:r>
      <w:r>
        <w:rPr>
          <w:spacing w:val="34"/>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1"/>
        <w:rPr>
          <w:sz w:val="19"/>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5"/>
        </w:rPr>
        <w:t> </w:t>
      </w:r>
      <w:r>
        <w:rPr/>
        <w:t>vždy</w:t>
      </w:r>
      <w:r>
        <w:rPr>
          <w:spacing w:val="-6"/>
        </w:rPr>
        <w:t> </w:t>
      </w:r>
      <w:r>
        <w:rPr/>
        <w:t>číslo</w:t>
      </w:r>
      <w:r>
        <w:rPr>
          <w:spacing w:val="-4"/>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4"/>
        </w:rPr>
        <w:t> </w:t>
      </w:r>
      <w:r>
        <w:rPr/>
        <w:t>v</w:t>
      </w:r>
      <w:r>
        <w:rPr>
          <w:spacing w:val="-5"/>
        </w:rPr>
        <w:t> </w:t>
      </w:r>
      <w:r>
        <w:rPr/>
        <w:t>označení</w:t>
      </w:r>
      <w:r>
        <w:rPr>
          <w:spacing w:val="-5"/>
        </w:rPr>
        <w:t> </w:t>
      </w:r>
      <w:r>
        <w:rPr/>
        <w:t>věci,</w:t>
      </w:r>
      <w:r>
        <w:rPr>
          <w:spacing w:val="-3"/>
        </w:rPr>
        <w:t> </w:t>
      </w:r>
      <w:r>
        <w:rPr/>
        <w:t>které</w:t>
      </w:r>
      <w:r>
        <w:rPr>
          <w:spacing w:val="-6"/>
        </w:rPr>
        <w:t> </w:t>
      </w:r>
      <w:r>
        <w:rPr/>
        <w:t>se</w:t>
      </w:r>
      <w:r>
        <w:rPr>
          <w:spacing w:val="-5"/>
        </w:rPr>
        <w:t> </w:t>
      </w:r>
      <w:r>
        <w:rPr/>
        <w:t>daná</w:t>
      </w:r>
      <w:r>
        <w:rPr>
          <w:spacing w:val="-6"/>
        </w:rPr>
        <w:t> </w:t>
      </w:r>
      <w:r>
        <w:rPr/>
        <w:t>korespondence</w:t>
      </w:r>
      <w:r>
        <w:rPr>
          <w:spacing w:val="-5"/>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1" w:after="0"/>
        <w:ind w:left="385" w:right="116"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2"/>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7"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8"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1"/>
        <w:rPr>
          <w:sz w:val="19"/>
        </w:rPr>
      </w:pPr>
    </w:p>
    <w:p>
      <w:pPr>
        <w:pStyle w:val="BodyText"/>
        <w:tabs>
          <w:tab w:pos="6582" w:val="left" w:leader="none"/>
        </w:tabs>
        <w:ind w:left="102"/>
      </w:pPr>
      <w:r>
        <w:rPr>
          <w:spacing w:val="-4"/>
        </w:rPr>
        <w:t>dne:</w:t>
      </w:r>
      <w:r>
        <w:rPr/>
        <w:tab/>
        <w:t>V</w:t>
      </w:r>
      <w:r>
        <w:rPr>
          <w:spacing w:val="-2"/>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rPr>
          <w:sz w:val="26"/>
        </w:rPr>
      </w:pPr>
    </w:p>
    <w:p>
      <w:pPr>
        <w:pStyle w:val="BodyText"/>
        <w:rPr>
          <w:sz w:val="26"/>
        </w:rPr>
      </w:pPr>
    </w:p>
    <w:p>
      <w:pPr>
        <w:pStyle w:val="BodyText"/>
        <w:spacing w:before="3"/>
        <w:rPr>
          <w:sz w:val="35"/>
        </w:rPr>
      </w:pPr>
    </w:p>
    <w:p>
      <w:pPr>
        <w:pStyle w:val="BodyText"/>
        <w:ind w:left="102"/>
      </w:pPr>
      <w:r>
        <w:rPr>
          <w:spacing w:val="-5"/>
        </w:rPr>
        <w:t>V:</w:t>
      </w:r>
    </w:p>
    <w:p>
      <w:pPr>
        <w:pStyle w:val="BodyText"/>
        <w:spacing w:before="1"/>
      </w:pPr>
    </w:p>
    <w:p>
      <w:pPr>
        <w:pStyle w:val="BodyText"/>
        <w:ind w:left="102"/>
      </w:pPr>
      <w:r>
        <w:rPr>
          <w:spacing w:val="-4"/>
        </w:rPr>
        <w:t>Dne:</w:t>
      </w:r>
    </w:p>
    <w:p>
      <w:pPr>
        <w:pStyle w:val="BodyText"/>
        <w:rPr>
          <w:sz w:val="26"/>
        </w:rPr>
      </w:pPr>
    </w:p>
    <w:p>
      <w:pPr>
        <w:pStyle w:val="BodyText"/>
        <w:rPr>
          <w:sz w:val="26"/>
        </w:rPr>
      </w:pPr>
    </w:p>
    <w:p>
      <w:pPr>
        <w:pStyle w:val="BodyText"/>
        <w:spacing w:before="13"/>
        <w:rPr>
          <w:sz w:val="25"/>
        </w:rPr>
      </w:pPr>
    </w:p>
    <w:p>
      <w:pPr>
        <w:pStyle w:val="BodyText"/>
        <w:ind w:left="102" w:right="6392"/>
      </w:pPr>
      <w:r>
        <w:rPr>
          <w:spacing w:val="-2"/>
          <w:w w:val="95"/>
        </w:rPr>
        <w:t>……………………………………………. </w:t>
      </w:r>
      <w:r>
        <w:rPr/>
        <w:t>zástupce příjemce podpory</w:t>
      </w:r>
    </w:p>
    <w:p>
      <w:pPr>
        <w:pStyle w:val="BodyText"/>
        <w:rPr>
          <w:sz w:val="26"/>
        </w:rPr>
      </w:pPr>
    </w:p>
    <w:p>
      <w:pPr>
        <w:pStyle w:val="BodyText"/>
        <w:rPr>
          <w:sz w:val="26"/>
        </w:rPr>
      </w:pPr>
    </w:p>
    <w:p>
      <w:pPr>
        <w:pStyle w:val="BodyText"/>
        <w:rPr>
          <w:sz w:val="26"/>
        </w:rPr>
      </w:pPr>
    </w:p>
    <w:p>
      <w:pPr>
        <w:pStyle w:val="BodyText"/>
        <w:spacing w:before="1"/>
        <w:rPr>
          <w:sz w:val="1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102"/>
      </w:pPr>
      <w:r>
        <w:rPr/>
        <w:t>Příloha</w:t>
      </w:r>
      <w:r>
        <w:rPr>
          <w:spacing w:val="-7"/>
        </w:rPr>
        <w:t> </w:t>
      </w:r>
      <w:r>
        <w:rPr/>
        <w:t>č.</w:t>
      </w:r>
      <w:r>
        <w:rPr>
          <w:spacing w:val="-6"/>
        </w:rPr>
        <w:t> </w:t>
      </w:r>
      <w:r>
        <w:rPr/>
        <w:t>1</w:t>
      </w:r>
      <w:r>
        <w:rPr>
          <w:spacing w:val="-5"/>
        </w:rPr>
        <w:t> </w:t>
      </w:r>
      <w:r>
        <w:rPr/>
        <w:t>-</w:t>
      </w:r>
      <w:r>
        <w:rPr>
          <w:spacing w:val="-6"/>
        </w:rPr>
        <w:t> </w:t>
      </w:r>
      <w:r>
        <w:rPr/>
        <w:t>Smlouva</w:t>
      </w:r>
      <w:r>
        <w:rPr>
          <w:spacing w:val="-7"/>
        </w:rPr>
        <w:t> </w:t>
      </w:r>
      <w:r>
        <w:rPr/>
        <w:t>o</w:t>
      </w:r>
      <w:r>
        <w:rPr>
          <w:spacing w:val="-5"/>
        </w:rPr>
        <w:t> </w:t>
      </w:r>
      <w:r>
        <w:rPr/>
        <w:t>poskytnutí</w:t>
      </w:r>
      <w:r>
        <w:rPr>
          <w:spacing w:val="-7"/>
        </w:rPr>
        <w:t> </w:t>
      </w:r>
      <w:r>
        <w:rPr/>
        <w:t>podpory</w:t>
      </w:r>
      <w:r>
        <w:rPr>
          <w:spacing w:val="-6"/>
        </w:rPr>
        <w:t> </w:t>
      </w:r>
      <w:r>
        <w:rPr/>
        <w:t>ze</w:t>
      </w:r>
      <w:r>
        <w:rPr>
          <w:spacing w:val="-6"/>
        </w:rPr>
        <w:t> </w:t>
      </w:r>
      <w:r>
        <w:rPr/>
        <w:t>Státního</w:t>
      </w:r>
      <w:r>
        <w:rPr>
          <w:spacing w:val="-4"/>
        </w:rPr>
        <w:t> </w:t>
      </w:r>
      <w:r>
        <w:rPr/>
        <w:t>fondu</w:t>
      </w:r>
      <w:r>
        <w:rPr>
          <w:spacing w:val="-6"/>
        </w:rPr>
        <w:t> </w:t>
      </w:r>
      <w:r>
        <w:rPr/>
        <w:t>životního</w:t>
      </w:r>
      <w:r>
        <w:rPr>
          <w:spacing w:val="-5"/>
        </w:rPr>
        <w:t> </w:t>
      </w:r>
      <w:r>
        <w:rPr/>
        <w:t>prostředí</w:t>
      </w:r>
      <w:r>
        <w:rPr>
          <w:spacing w:val="-4"/>
        </w:rPr>
        <w:t> </w:t>
      </w:r>
      <w:r>
        <w:rPr/>
        <w:t>České</w:t>
      </w:r>
      <w:r>
        <w:rPr>
          <w:spacing w:val="-6"/>
        </w:rPr>
        <w:t> </w:t>
      </w:r>
      <w:r>
        <w:rPr>
          <w:spacing w:val="-2"/>
        </w:rPr>
        <w:t>republiky</w:t>
      </w:r>
    </w:p>
    <w:p>
      <w:pPr>
        <w:pStyle w:val="BodyText"/>
        <w:rPr>
          <w:sz w:val="26"/>
        </w:rPr>
      </w:pPr>
    </w:p>
    <w:p>
      <w:pPr>
        <w:pStyle w:val="BodyText"/>
        <w:spacing w:before="1"/>
        <w:rPr>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10"/>
          <w:sz w:val="20"/>
        </w:rPr>
        <w:t> </w:t>
      </w:r>
      <w:r>
        <w:rPr>
          <w:sz w:val="20"/>
        </w:rPr>
        <w:t>mít</w:t>
      </w:r>
      <w:r>
        <w:rPr>
          <w:spacing w:val="-11"/>
          <w:sz w:val="20"/>
        </w:rPr>
        <w:t> </w:t>
      </w:r>
      <w:r>
        <w:rPr>
          <w:sz w:val="20"/>
        </w:rPr>
        <w:t>ani</w:t>
      </w:r>
      <w:r>
        <w:rPr>
          <w:spacing w:val="-8"/>
          <w:sz w:val="20"/>
        </w:rPr>
        <w:t> </w:t>
      </w:r>
      <w:r>
        <w:rPr>
          <w:sz w:val="20"/>
        </w:rPr>
        <w:t>potenciální</w:t>
      </w:r>
      <w:r>
        <w:rPr>
          <w:spacing w:val="-8"/>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4"/>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Pr>
                <w:sz w:val="20"/>
              </w:rPr>
            </w:pPr>
            <w:r>
              <w:rPr>
                <w:sz w:val="20"/>
              </w:rPr>
              <w:t>určitě,</w:t>
            </w:r>
            <w:r>
              <w:rPr>
                <w:spacing w:val="-6"/>
                <w:sz w:val="20"/>
              </w:rPr>
              <w:t> </w:t>
            </w:r>
            <w:r>
              <w:rPr>
                <w:sz w:val="20"/>
              </w:rPr>
              <w:t>což</w:t>
            </w:r>
            <w:r>
              <w:rPr>
                <w:spacing w:val="-5"/>
                <w:sz w:val="20"/>
              </w:rPr>
              <w:t> </w:t>
            </w:r>
            <w:r>
              <w:rPr>
                <w:sz w:val="20"/>
              </w:rPr>
              <w:t>mohlo</w:t>
            </w:r>
            <w:r>
              <w:rPr>
                <w:spacing w:val="-5"/>
                <w:sz w:val="20"/>
              </w:rPr>
              <w:t> mít</w:t>
            </w:r>
          </w:p>
          <w:p>
            <w:pPr>
              <w:pStyle w:val="TableParagraph"/>
              <w:spacing w:before="1"/>
              <w:ind w:left="103"/>
              <w:rPr>
                <w:sz w:val="20"/>
              </w:rPr>
            </w:pPr>
            <w:r>
              <w:rPr>
                <w:sz w:val="20"/>
              </w:rPr>
              <w:t>odrazující</w:t>
            </w:r>
            <w:r>
              <w:rPr>
                <w:spacing w:val="-9"/>
                <w:sz w:val="20"/>
              </w:rPr>
              <w:t> </w:t>
            </w:r>
            <w:r>
              <w:rPr>
                <w:sz w:val="20"/>
              </w:rPr>
              <w:t>účinek</w:t>
            </w:r>
            <w:r>
              <w:rPr>
                <w:spacing w:val="-9"/>
                <w:sz w:val="20"/>
              </w:rPr>
              <w:t> </w:t>
            </w:r>
            <w:r>
              <w:rPr>
                <w:spacing w:val="-5"/>
                <w:sz w:val="20"/>
              </w:rPr>
              <w:t>na</w:t>
            </w:r>
          </w:p>
          <w:p>
            <w:pPr>
              <w:pStyle w:val="TableParagraph"/>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7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0"/>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ind w:right="77"/>
              <w:rPr>
                <w:sz w:val="20"/>
              </w:rPr>
            </w:pPr>
            <w:r>
              <w:rPr>
                <w:sz w:val="20"/>
              </w:rPr>
              <w:t>výběrovém/zadávacím řízení nebo podmínky průběhu výběrového/zadávacího řízení 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3"/>
                <w:sz w:val="20"/>
              </w:rPr>
              <w:t> </w:t>
            </w:r>
            <w:r>
              <w:rPr>
                <w:sz w:val="20"/>
              </w:rPr>
              <w:t>důvodu</w:t>
            </w:r>
            <w:r>
              <w:rPr>
                <w:spacing w:val="-14"/>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7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3"/>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5"/>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3"/>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89280"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6688">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spacing w:before="1"/>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2023-08-17T07:55:33Z</dcterms:created>
  <dcterms:modified xsi:type="dcterms:W3CDTF">2023-08-17T07:55:33Z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Microsoft® Word pro Microsoft 365</vt:lpwstr>
  </property>
  <property fmtid="{D5CDD505-2E9C-101B-9397-08002B2CF9AE}" pid="4" name="LastSaved">
    <vt:filetime>2023-08-17T00:00:00Z</vt:filetime>
  </property>
</Properties>
</file>