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7C8B4543" w14:textId="77777777" w:rsidTr="0048543C">
        <w:tc>
          <w:tcPr>
            <w:tcW w:w="397" w:type="dxa"/>
          </w:tcPr>
          <w:p w14:paraId="7DE550E9" w14:textId="446031AB" w:rsidR="000F08DE" w:rsidRPr="00737B2B" w:rsidRDefault="004273A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14:paraId="615E05B6" w14:textId="395E34C1" w:rsidR="000F08DE" w:rsidRPr="00737B2B" w:rsidRDefault="004273A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6F0DF5C0" w14:textId="6E1A9C76" w:rsidR="000F08DE" w:rsidRPr="00737B2B" w:rsidRDefault="004273A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0599B067" w14:textId="0DF15E98" w:rsidR="000F08DE" w:rsidRPr="00737B2B" w:rsidRDefault="004273A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14:paraId="74111763" w14:textId="7FC6AD47" w:rsidR="000F08DE" w:rsidRPr="00737B2B" w:rsidRDefault="004273AD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EBB251A" w14:textId="03F2889D" w:rsidR="000F08DE" w:rsidRPr="00737B2B" w:rsidRDefault="004273AD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</w:tr>
    </w:tbl>
    <w:p w14:paraId="05ED0DFC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14:paraId="723E2CB9" w14:textId="77777777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536D">
        <w:rPr>
          <w:bCs/>
          <w:smallCaps/>
          <w:snapToGrid w:val="0"/>
          <w:sz w:val="28"/>
          <w:szCs w:val="28"/>
        </w:rPr>
        <w:t>1</w:t>
      </w:r>
    </w:p>
    <w:p w14:paraId="5646AD8A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707C7C8B" w14:textId="2A26A161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 w:rsidR="00E32DA4">
        <w:rPr>
          <w:b/>
          <w:snapToGrid w:val="0"/>
          <w:sz w:val="28"/>
          <w:szCs w:val="28"/>
        </w:rPr>
        <w:t>0</w:t>
      </w:r>
      <w:r w:rsidR="004273AD">
        <w:rPr>
          <w:b/>
          <w:snapToGrid w:val="0"/>
          <w:sz w:val="28"/>
          <w:szCs w:val="28"/>
        </w:rPr>
        <w:t>6</w:t>
      </w:r>
      <w:r w:rsidR="00E32DA4">
        <w:rPr>
          <w:b/>
          <w:snapToGrid w:val="0"/>
          <w:sz w:val="28"/>
          <w:szCs w:val="28"/>
        </w:rPr>
        <w:t xml:space="preserve"> – </w:t>
      </w:r>
      <w:r w:rsidR="004273AD">
        <w:rPr>
          <w:b/>
          <w:snapToGrid w:val="0"/>
          <w:sz w:val="28"/>
          <w:szCs w:val="28"/>
        </w:rPr>
        <w:t>71</w:t>
      </w:r>
      <w:r w:rsidR="008F536D">
        <w:rPr>
          <w:b/>
          <w:snapToGrid w:val="0"/>
          <w:sz w:val="28"/>
          <w:szCs w:val="28"/>
        </w:rPr>
        <w:t>/201</w:t>
      </w:r>
      <w:r w:rsidR="004273AD">
        <w:rPr>
          <w:b/>
          <w:snapToGrid w:val="0"/>
          <w:sz w:val="28"/>
          <w:szCs w:val="28"/>
        </w:rPr>
        <w:t>4</w:t>
      </w:r>
    </w:p>
    <w:p w14:paraId="72C2D289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713BD4B" w14:textId="77777777"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0B51B2E7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5848F46D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01D5CF65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>Irenou Krzokovou, manažerem specializovaného útvaru zpracování centrálních úloh</w:t>
      </w:r>
    </w:p>
    <w:p w14:paraId="02820859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5186E9B8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3FC108D6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6B7CD980" w14:textId="77777777"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s.p.,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2FB0E296" w14:textId="77777777"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2FF15B4D" w14:textId="77777777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14:paraId="59486566" w14:textId="6A1B6041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956250">
        <w:rPr>
          <w:rFonts w:ascii="Times New Roman" w:hAnsi="Times New Roman"/>
          <w:snapToGrid w:val="0"/>
          <w:sz w:val="24"/>
        </w:rPr>
        <w:t>xxx</w:t>
      </w:r>
    </w:p>
    <w:p w14:paraId="4966DE62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0A6E37C3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415DE55E" w14:textId="435692CB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4273AD">
        <w:rPr>
          <w:snapToGrid w:val="0"/>
          <w:sz w:val="24"/>
        </w:rPr>
        <w:t>13146003</w:t>
      </w:r>
    </w:p>
    <w:p w14:paraId="4A352376" w14:textId="67F6D80B" w:rsidR="00A07879" w:rsidRDefault="004273AD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4273AD">
        <w:rPr>
          <w:rFonts w:ascii="Times New Roman" w:hAnsi="Times New Roman"/>
          <w:b/>
          <w:snapToGrid w:val="0"/>
          <w:sz w:val="24"/>
        </w:rPr>
        <w:t>ENCOM, spol. s r.o.</w:t>
      </w:r>
    </w:p>
    <w:p w14:paraId="739E3750" w14:textId="39127AF9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4273AD" w:rsidRPr="004273AD">
        <w:rPr>
          <w:rFonts w:ascii="Times New Roman" w:hAnsi="Times New Roman"/>
          <w:b/>
          <w:snapToGrid w:val="0"/>
          <w:sz w:val="24"/>
        </w:rPr>
        <w:t>Vrchlického sad 1894/4, Černá Pole, 602 00 Brno</w:t>
      </w:r>
    </w:p>
    <w:p w14:paraId="6EB0746A" w14:textId="3969545B" w:rsidR="00532C45" w:rsidRDefault="00532C45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="004273AD">
        <w:rPr>
          <w:rFonts w:ascii="Times New Roman" w:hAnsi="Times New Roman"/>
          <w:b/>
          <w:snapToGrid w:val="0"/>
          <w:sz w:val="24"/>
        </w:rPr>
        <w:t>a</w:t>
      </w:r>
      <w:r>
        <w:rPr>
          <w:rFonts w:ascii="Times New Roman" w:hAnsi="Times New Roman"/>
          <w:b/>
          <w:snapToGrid w:val="0"/>
          <w:sz w:val="24"/>
        </w:rPr>
        <w:t>:</w:t>
      </w:r>
      <w:r w:rsidR="004273AD">
        <w:rPr>
          <w:rFonts w:ascii="Times New Roman" w:hAnsi="Times New Roman"/>
          <w:b/>
          <w:snapToGrid w:val="0"/>
          <w:sz w:val="24"/>
        </w:rPr>
        <w:t xml:space="preserve"> </w:t>
      </w:r>
      <w:r w:rsidR="004273AD" w:rsidRPr="004273AD">
        <w:rPr>
          <w:rFonts w:ascii="Times New Roman" w:hAnsi="Times New Roman"/>
          <w:bCs/>
          <w:snapToGrid w:val="0"/>
          <w:sz w:val="24"/>
        </w:rPr>
        <w:t>Ing. Jaroslavem Vaňatkou, jednatelem</w:t>
      </w:r>
    </w:p>
    <w:p w14:paraId="17BCE2EA" w14:textId="280AAFC6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4273AD">
        <w:rPr>
          <w:rFonts w:ascii="Times New Roman" w:hAnsi="Times New Roman"/>
          <w:snapToGrid w:val="0"/>
          <w:sz w:val="24"/>
        </w:rPr>
        <w:t>15531996</w:t>
      </w:r>
    </w:p>
    <w:p w14:paraId="4459DF62" w14:textId="6698A65D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4273AD">
        <w:rPr>
          <w:rFonts w:ascii="Times New Roman" w:hAnsi="Times New Roman"/>
          <w:snapToGrid w:val="0"/>
          <w:sz w:val="24"/>
        </w:rPr>
        <w:t>15531996</w:t>
      </w:r>
    </w:p>
    <w:p w14:paraId="46DB8B2B" w14:textId="6407AA82" w:rsidR="00A07879" w:rsidRDefault="00A07879" w:rsidP="00A0787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900F74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</w:t>
      </w:r>
      <w:r w:rsidR="00900F74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</w:t>
      </w:r>
      <w:r w:rsidR="00084A58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</w:t>
      </w:r>
      <w:r w:rsidR="00084A58">
        <w:rPr>
          <w:rFonts w:ascii="Times New Roman" w:hAnsi="Times New Roman"/>
          <w:snapToGrid w:val="0"/>
          <w:sz w:val="24"/>
        </w:rPr>
        <w:t>Kraj</w:t>
      </w:r>
      <w:r>
        <w:rPr>
          <w:rFonts w:ascii="Times New Roman" w:hAnsi="Times New Roman"/>
          <w:snapToGrid w:val="0"/>
          <w:sz w:val="24"/>
        </w:rPr>
        <w:t>ským soudem v </w:t>
      </w:r>
      <w:r w:rsidR="00084A58">
        <w:rPr>
          <w:rFonts w:ascii="Times New Roman" w:hAnsi="Times New Roman"/>
          <w:snapToGrid w:val="0"/>
          <w:sz w:val="24"/>
        </w:rPr>
        <w:t>Brně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084A58">
        <w:rPr>
          <w:rFonts w:ascii="Times New Roman" w:hAnsi="Times New Roman"/>
          <w:snapToGrid w:val="0"/>
          <w:sz w:val="24"/>
        </w:rPr>
        <w:t>C</w:t>
      </w:r>
      <w:r>
        <w:rPr>
          <w:rFonts w:ascii="Times New Roman" w:hAnsi="Times New Roman"/>
          <w:snapToGrid w:val="0"/>
          <w:sz w:val="24"/>
        </w:rPr>
        <w:t xml:space="preserve">, vložka </w:t>
      </w:r>
      <w:r w:rsidR="00084A58">
        <w:rPr>
          <w:rFonts w:ascii="Times New Roman" w:hAnsi="Times New Roman"/>
          <w:snapToGrid w:val="0"/>
          <w:sz w:val="24"/>
        </w:rPr>
        <w:t>865</w:t>
      </w:r>
    </w:p>
    <w:p w14:paraId="51B6CC4A" w14:textId="6B0B7F90" w:rsidR="007C328F" w:rsidRPr="007C328F" w:rsidRDefault="007C328F" w:rsidP="007C328F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  <w:r w:rsidR="00FE02C0">
        <w:rPr>
          <w:snapToGrid w:val="0"/>
          <w:sz w:val="24"/>
        </w:rPr>
        <w:t>Komerční</w:t>
      </w:r>
      <w:r>
        <w:rPr>
          <w:snapToGrid w:val="0"/>
          <w:sz w:val="24"/>
        </w:rPr>
        <w:t xml:space="preserve"> bank</w:t>
      </w:r>
      <w:r w:rsidR="00A07879">
        <w:rPr>
          <w:snapToGrid w:val="0"/>
          <w:sz w:val="24"/>
        </w:rPr>
        <w:t>a,</w:t>
      </w:r>
      <w:r>
        <w:rPr>
          <w:snapToGrid w:val="0"/>
          <w:sz w:val="24"/>
        </w:rPr>
        <w:t xml:space="preserve"> a.s.</w:t>
      </w:r>
    </w:p>
    <w:p w14:paraId="6CC80D8B" w14:textId="5AE6BE07" w:rsidR="007C328F" w:rsidRPr="007C328F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7C328F">
        <w:rPr>
          <w:snapToGrid w:val="0"/>
          <w:sz w:val="24"/>
        </w:rPr>
        <w:t xml:space="preserve">číslo účtu: </w:t>
      </w:r>
      <w:r w:rsidR="00956250">
        <w:rPr>
          <w:b/>
          <w:snapToGrid w:val="0"/>
          <w:sz w:val="24"/>
        </w:rPr>
        <w:t>xxx</w:t>
      </w:r>
    </w:p>
    <w:p w14:paraId="4858AC00" w14:textId="111F2EAC" w:rsidR="007C328F" w:rsidRPr="007C328F" w:rsidRDefault="007C328F" w:rsidP="00FE02C0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FE02C0">
        <w:rPr>
          <w:snapToGrid w:val="0"/>
          <w:sz w:val="24"/>
        </w:rPr>
        <w:t>146</w:t>
      </w:r>
      <w:r w:rsidRPr="007C328F">
        <w:rPr>
          <w:snapToGrid w:val="0"/>
          <w:sz w:val="24"/>
        </w:rPr>
        <w:br/>
        <w:t>konstantní symbol: 308</w:t>
      </w:r>
      <w:r w:rsidRPr="007C328F">
        <w:rPr>
          <w:snapToGrid w:val="0"/>
          <w:sz w:val="24"/>
        </w:rPr>
        <w:br/>
        <w:t>specifický symbol: --</w:t>
      </w:r>
    </w:p>
    <w:p w14:paraId="0CCB5551" w14:textId="6DBB11C8" w:rsid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14:paraId="3CA60F02" w14:textId="77777777" w:rsidR="00FE02C0" w:rsidRPr="007C328F" w:rsidRDefault="00FE02C0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</w:p>
    <w:p w14:paraId="6F94CBAE" w14:textId="3C9CFDA2" w:rsidR="007D4C5D" w:rsidRDefault="007D4C5D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FE02C0">
        <w:rPr>
          <w:rFonts w:ascii="Times New Roman" w:hAnsi="Times New Roman"/>
          <w:b/>
          <w:sz w:val="24"/>
        </w:rPr>
        <w:t>17</w:t>
      </w:r>
      <w:r w:rsidR="00A07879">
        <w:rPr>
          <w:rFonts w:ascii="Times New Roman" w:hAnsi="Times New Roman"/>
          <w:b/>
          <w:sz w:val="24"/>
        </w:rPr>
        <w:t>.</w:t>
      </w:r>
      <w:r w:rsidR="00FE02C0">
        <w:rPr>
          <w:rFonts w:ascii="Times New Roman" w:hAnsi="Times New Roman"/>
          <w:b/>
          <w:sz w:val="24"/>
        </w:rPr>
        <w:t>4</w:t>
      </w:r>
      <w:r w:rsidR="008F536D">
        <w:rPr>
          <w:rFonts w:ascii="Times New Roman" w:hAnsi="Times New Roman"/>
          <w:b/>
          <w:sz w:val="24"/>
        </w:rPr>
        <w:t>.201</w:t>
      </w:r>
      <w:r w:rsidR="00FE02C0">
        <w:rPr>
          <w:rFonts w:ascii="Times New Roman" w:hAnsi="Times New Roman"/>
          <w:b/>
          <w:sz w:val="24"/>
        </w:rPr>
        <w:t>4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FE02C0">
        <w:rPr>
          <w:rFonts w:ascii="Times New Roman" w:hAnsi="Times New Roman"/>
          <w:b/>
          <w:snapToGrid w:val="0"/>
          <w:sz w:val="24"/>
          <w:szCs w:val="24"/>
        </w:rPr>
        <w:t>6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FE02C0">
        <w:rPr>
          <w:rFonts w:ascii="Times New Roman" w:hAnsi="Times New Roman"/>
          <w:b/>
          <w:snapToGrid w:val="0"/>
          <w:sz w:val="24"/>
          <w:szCs w:val="24"/>
        </w:rPr>
        <w:t>71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FE02C0">
        <w:rPr>
          <w:rFonts w:ascii="Times New Roman" w:hAnsi="Times New Roman"/>
          <w:b/>
          <w:snapToGrid w:val="0"/>
          <w:sz w:val="24"/>
          <w:szCs w:val="24"/>
        </w:rPr>
        <w:t>4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2E54AF88" w14:textId="0A04E293" w:rsidR="000C4FDE" w:rsidRDefault="00A930C1" w:rsidP="00A07879">
      <w:pPr>
        <w:pStyle w:val="Codstavec"/>
        <w:tabs>
          <w:tab w:val="left" w:pos="5670"/>
        </w:tabs>
        <w:spacing w:before="48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 </w:t>
      </w:r>
      <w:r>
        <w:rPr>
          <w:rFonts w:ascii="Times New Roman" w:hAnsi="Times New Roman"/>
          <w:b/>
          <w:sz w:val="24"/>
        </w:rPr>
        <w:tab/>
      </w:r>
      <w:r w:rsidR="00A97B96">
        <w:rPr>
          <w:rFonts w:ascii="Times New Roman" w:hAnsi="Times New Roman"/>
          <w:b/>
          <w:sz w:val="24"/>
        </w:rPr>
        <w:t xml:space="preserve">Příkazník bere na vědomí </w:t>
      </w:r>
      <w:r w:rsidR="00A97B96" w:rsidRPr="00F0361B">
        <w:rPr>
          <w:rFonts w:ascii="Times New Roman" w:hAnsi="Times New Roman"/>
          <w:b/>
          <w:sz w:val="24"/>
          <w:u w:val="single"/>
        </w:rPr>
        <w:t>změnu bankovního spojení</w:t>
      </w:r>
      <w:r w:rsidR="00A97B96">
        <w:rPr>
          <w:rFonts w:ascii="Times New Roman" w:hAnsi="Times New Roman"/>
          <w:b/>
          <w:sz w:val="24"/>
        </w:rPr>
        <w:t xml:space="preserve"> pro účely plnění Smlouvy </w:t>
      </w:r>
      <w:r w:rsidR="00A97B96" w:rsidRPr="007D2664">
        <w:rPr>
          <w:rFonts w:ascii="Times New Roman" w:hAnsi="Times New Roman"/>
          <w:b/>
          <w:sz w:val="24"/>
        </w:rPr>
        <w:t>na</w:t>
      </w:r>
      <w:r w:rsidR="00A97B96">
        <w:rPr>
          <w:rFonts w:ascii="Times New Roman" w:hAnsi="Times New Roman"/>
          <w:b/>
          <w:sz w:val="24"/>
        </w:rPr>
        <w:t xml:space="preserve"> straně Příkazce.</w:t>
      </w:r>
    </w:p>
    <w:p w14:paraId="01DEC063" w14:textId="341D78AA" w:rsidR="00A07879" w:rsidRDefault="00FE02C0" w:rsidP="00FE02C0">
      <w:pPr>
        <w:pStyle w:val="Codstavec"/>
        <w:tabs>
          <w:tab w:val="left" w:pos="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</w:r>
      <w:r w:rsidR="00A07879" w:rsidRPr="002D570B">
        <w:rPr>
          <w:rFonts w:ascii="Times New Roman" w:hAnsi="Times New Roman"/>
          <w:b/>
          <w:sz w:val="24"/>
        </w:rPr>
        <w:t xml:space="preserve">Dosavadní ustanovení </w:t>
      </w:r>
      <w:r w:rsidR="00A07879">
        <w:rPr>
          <w:rFonts w:ascii="Times New Roman" w:hAnsi="Times New Roman"/>
          <w:b/>
          <w:sz w:val="24"/>
        </w:rPr>
        <w:t>čl. V. Zvláštní ujednání</w:t>
      </w:r>
      <w:r w:rsidR="00A07879" w:rsidRPr="002D570B">
        <w:rPr>
          <w:rFonts w:ascii="Times New Roman" w:hAnsi="Times New Roman"/>
          <w:b/>
          <w:sz w:val="24"/>
        </w:rPr>
        <w:t xml:space="preserve">, </w:t>
      </w:r>
      <w:r w:rsidR="00A07879">
        <w:rPr>
          <w:rFonts w:ascii="Times New Roman" w:hAnsi="Times New Roman"/>
          <w:b/>
          <w:sz w:val="24"/>
        </w:rPr>
        <w:t xml:space="preserve">odst. 5.4, </w:t>
      </w:r>
      <w:r w:rsidR="00A07879" w:rsidRPr="002D570B">
        <w:rPr>
          <w:rFonts w:ascii="Times New Roman" w:hAnsi="Times New Roman"/>
          <w:b/>
          <w:sz w:val="24"/>
        </w:rPr>
        <w:t xml:space="preserve">Smlouvy </w:t>
      </w:r>
      <w:r w:rsidR="00A07879" w:rsidRPr="002D570B">
        <w:rPr>
          <w:rFonts w:ascii="Times New Roman" w:hAnsi="Times New Roman"/>
          <w:b/>
          <w:sz w:val="24"/>
          <w:u w:val="single"/>
        </w:rPr>
        <w:t>se ruší</w:t>
      </w:r>
      <w:r w:rsidR="00A07879" w:rsidRPr="002D570B">
        <w:rPr>
          <w:rFonts w:ascii="Times New Roman" w:hAnsi="Times New Roman"/>
          <w:b/>
          <w:sz w:val="24"/>
        </w:rPr>
        <w:t xml:space="preserve"> v tomto úplném znění:</w:t>
      </w:r>
    </w:p>
    <w:p w14:paraId="5987507C" w14:textId="77777777" w:rsidR="00A07879" w:rsidRDefault="00A07879" w:rsidP="00A07879">
      <w:pPr>
        <w:pStyle w:val="Codstavec"/>
        <w:tabs>
          <w:tab w:val="left" w:pos="0"/>
        </w:tabs>
        <w:spacing w:before="120"/>
        <w:ind w:left="426" w:right="529" w:hanging="426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5.4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 strany se zavazují zachovávat v tajnosti veškeré informace, okolnosti a údaje, které se dozvěděly v souvi</w:t>
      </w:r>
      <w:r>
        <w:rPr>
          <w:rFonts w:ascii="Times New Roman" w:hAnsi="Times New Roman"/>
          <w:snapToGrid w:val="0"/>
          <w:sz w:val="24"/>
        </w:rPr>
        <w:t>slosti s výkonem činností na základě této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 a rovněž se zavazují chránit systém a jeho prvky před zneužitím. Pro účely této Smlouvy jsou důvěrnými informacemi a obchodním tajemstvím zejména tato Smlouva,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</w:t>
      </w:r>
      <w:r w:rsidRPr="00DE2BC9">
        <w:rPr>
          <w:rFonts w:ascii="Times New Roman" w:hAnsi="Times New Roman"/>
          <w:snapToGrid w:val="0"/>
          <w:sz w:val="24"/>
        </w:rPr>
        <w:t xml:space="preserve"> dle tohoto </w:t>
      </w:r>
      <w:r>
        <w:rPr>
          <w:rFonts w:ascii="Times New Roman" w:hAnsi="Times New Roman"/>
          <w:snapToGrid w:val="0"/>
          <w:sz w:val="24"/>
        </w:rPr>
        <w:t>bodu 5.4</w:t>
      </w:r>
      <w:r w:rsidRPr="00DE2BC9">
        <w:rPr>
          <w:rFonts w:ascii="Times New Roman" w:hAnsi="Times New Roman"/>
          <w:snapToGrid w:val="0"/>
          <w:sz w:val="24"/>
        </w:rPr>
        <w:t xml:space="preserve"> trvá ještě tři roky od ukončení platnosti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14:paraId="37277992" w14:textId="5567AEEA" w:rsidR="00A07879" w:rsidRDefault="00FE02C0" w:rsidP="00FE02C0">
      <w:pPr>
        <w:pStyle w:val="Codstavec"/>
        <w:tabs>
          <w:tab w:val="left" w:pos="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A07879" w:rsidRPr="002D570B">
        <w:rPr>
          <w:rFonts w:ascii="Times New Roman" w:hAnsi="Times New Roman"/>
          <w:b/>
          <w:sz w:val="24"/>
        </w:rPr>
        <w:t xml:space="preserve">Dosavadní ustanovení </w:t>
      </w:r>
      <w:r w:rsidR="00A07879">
        <w:rPr>
          <w:rFonts w:ascii="Times New Roman" w:hAnsi="Times New Roman"/>
          <w:b/>
          <w:sz w:val="24"/>
        </w:rPr>
        <w:t>čl. V. Zvláštní ujednání</w:t>
      </w:r>
      <w:r w:rsidR="00A07879" w:rsidRPr="002D570B">
        <w:rPr>
          <w:rFonts w:ascii="Times New Roman" w:hAnsi="Times New Roman"/>
          <w:b/>
          <w:sz w:val="24"/>
        </w:rPr>
        <w:t xml:space="preserve">, </w:t>
      </w:r>
      <w:r w:rsidR="00A07879">
        <w:rPr>
          <w:rFonts w:ascii="Times New Roman" w:hAnsi="Times New Roman"/>
          <w:b/>
          <w:sz w:val="24"/>
        </w:rPr>
        <w:t xml:space="preserve">odst. 5.4, </w:t>
      </w:r>
      <w:r w:rsidR="00A07879" w:rsidRPr="002D570B">
        <w:rPr>
          <w:rFonts w:ascii="Times New Roman" w:hAnsi="Times New Roman"/>
          <w:b/>
          <w:sz w:val="24"/>
        </w:rPr>
        <w:t xml:space="preserve">Smlouvy </w:t>
      </w:r>
      <w:r w:rsidR="00A07879" w:rsidRPr="002D570B">
        <w:rPr>
          <w:rFonts w:ascii="Times New Roman" w:hAnsi="Times New Roman"/>
          <w:b/>
          <w:sz w:val="24"/>
          <w:u w:val="single"/>
        </w:rPr>
        <w:t xml:space="preserve">se </w:t>
      </w:r>
      <w:r w:rsidR="00A07879">
        <w:rPr>
          <w:rFonts w:ascii="Times New Roman" w:hAnsi="Times New Roman"/>
          <w:b/>
          <w:sz w:val="24"/>
          <w:u w:val="single"/>
        </w:rPr>
        <w:t>nahrazuje</w:t>
      </w:r>
      <w:r w:rsidR="00A07879" w:rsidRPr="002D570B">
        <w:rPr>
          <w:rFonts w:ascii="Times New Roman" w:hAnsi="Times New Roman"/>
          <w:b/>
          <w:sz w:val="24"/>
        </w:rPr>
        <w:t xml:space="preserve"> v tomto úplném</w:t>
      </w:r>
      <w:r w:rsidR="00A07879">
        <w:rPr>
          <w:rFonts w:ascii="Times New Roman" w:hAnsi="Times New Roman"/>
          <w:b/>
          <w:sz w:val="24"/>
        </w:rPr>
        <w:t xml:space="preserve"> novém</w:t>
      </w:r>
      <w:r w:rsidR="00A07879" w:rsidRPr="002D570B">
        <w:rPr>
          <w:rFonts w:ascii="Times New Roman" w:hAnsi="Times New Roman"/>
          <w:b/>
          <w:sz w:val="24"/>
        </w:rPr>
        <w:t xml:space="preserve"> znění:</w:t>
      </w:r>
    </w:p>
    <w:p w14:paraId="006F9C53" w14:textId="77777777" w:rsidR="00A07879" w:rsidRDefault="00ED7DF5" w:rsidP="007312DB">
      <w:pPr>
        <w:pStyle w:val="Codstavec"/>
        <w:tabs>
          <w:tab w:val="left" w:pos="0"/>
        </w:tabs>
        <w:spacing w:before="120"/>
        <w:ind w:left="425" w:right="527" w:hanging="425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5.4</w:t>
      </w:r>
      <w:r>
        <w:rPr>
          <w:rFonts w:ascii="Times New Roman" w:hAnsi="Times New Roman"/>
          <w:snapToGrid w:val="0"/>
          <w:sz w:val="24"/>
          <w:szCs w:val="24"/>
        </w:rPr>
        <w:tab/>
      </w:r>
      <w:r w:rsidRPr="007E0297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7E0297">
        <w:rPr>
          <w:rFonts w:ascii="Times New Roman" w:hAnsi="Times New Roman"/>
          <w:snapToGrid w:val="0"/>
          <w:sz w:val="24"/>
          <w:szCs w:val="24"/>
        </w:rPr>
        <w:t xml:space="preserve">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</w:t>
      </w:r>
      <w:r>
        <w:rPr>
          <w:rFonts w:ascii="Times New Roman" w:hAnsi="Times New Roman"/>
          <w:snapToGrid w:val="0"/>
          <w:sz w:val="24"/>
          <w:szCs w:val="24"/>
        </w:rPr>
        <w:t>D</w:t>
      </w:r>
      <w:r w:rsidRPr="007E0297">
        <w:rPr>
          <w:rFonts w:ascii="Times New Roman" w:hAnsi="Times New Roman"/>
          <w:snapToGrid w:val="0"/>
          <w:sz w:val="24"/>
          <w:szCs w:val="24"/>
        </w:rPr>
        <w:t xml:space="preserve">ůvěrnými informacemi a obchodním tajemstvím zejména zápisy z jednání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7E0297">
        <w:rPr>
          <w:rFonts w:ascii="Times New Roman" w:hAnsi="Times New Roman"/>
          <w:snapToGrid w:val="0"/>
          <w:sz w:val="24"/>
          <w:szCs w:val="24"/>
        </w:rPr>
        <w:t xml:space="preserve">mluvních stran a jakékoliv dokumenty, které budou zpracovány na základě této Smlouvy, jakož i další podklady a informace, které jsou předmětem obchodního tajemství a budou předávány mezi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7E0297">
        <w:rPr>
          <w:rFonts w:ascii="Times New Roman" w:hAnsi="Times New Roman"/>
          <w:snapToGrid w:val="0"/>
          <w:sz w:val="24"/>
          <w:szCs w:val="24"/>
        </w:rPr>
        <w:t xml:space="preserve">mluvními stranami při plnění povinností ze Smlouvy. Povinnost mlčenlivosti trvá až do doby, kdy se Důvěrné informace stanou obecně známými za předpokladu, že se tak nestane porušením povinnosti mlčenlivosti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7E0297">
        <w:rPr>
          <w:rFonts w:ascii="Times New Roman" w:hAnsi="Times New Roman"/>
          <w:snapToGrid w:val="0"/>
          <w:sz w:val="24"/>
          <w:szCs w:val="24"/>
        </w:rPr>
        <w:t xml:space="preserve">mluvní strany.  </w:t>
      </w:r>
      <w:r w:rsidRPr="007E0297">
        <w:rPr>
          <w:rFonts w:ascii="Times New Roman" w:hAnsi="Times New Roman"/>
          <w:kern w:val="28"/>
          <w:sz w:val="24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</w:t>
      </w:r>
      <w:r>
        <w:rPr>
          <w:rFonts w:ascii="Times New Roman" w:hAnsi="Times New Roman"/>
          <w:kern w:val="28"/>
          <w:sz w:val="24"/>
          <w:szCs w:val="24"/>
        </w:rPr>
        <w:t>S</w:t>
      </w:r>
      <w:r w:rsidRPr="007E0297">
        <w:rPr>
          <w:rFonts w:ascii="Times New Roman" w:hAnsi="Times New Roman"/>
          <w:kern w:val="28"/>
          <w:sz w:val="24"/>
          <w:szCs w:val="24"/>
        </w:rPr>
        <w:t>mluvní strany.</w:t>
      </w:r>
    </w:p>
    <w:p w14:paraId="54CCDE2A" w14:textId="25764B78" w:rsidR="00C57379" w:rsidRPr="0090644A" w:rsidRDefault="00FE02C0" w:rsidP="00A07879">
      <w:pPr>
        <w:pStyle w:val="Codstavec"/>
        <w:tabs>
          <w:tab w:val="left" w:pos="0"/>
        </w:tabs>
        <w:spacing w:before="48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C57379" w:rsidRPr="0090644A">
        <w:rPr>
          <w:rFonts w:ascii="Times New Roman" w:hAnsi="Times New Roman"/>
          <w:b/>
          <w:sz w:val="24"/>
        </w:rPr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>Přílohy č. 1, odst. 1.1 Kontaktní osoby a spojení na straně Příkazníka,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14:paraId="45CF2D17" w14:textId="0B3C056A" w:rsidR="007D2664" w:rsidRPr="0090644A" w:rsidRDefault="007D2664" w:rsidP="00956250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sz w:val="24"/>
        </w:rPr>
      </w:pPr>
      <w:r w:rsidRPr="0090644A">
        <w:rPr>
          <w:rFonts w:ascii="Times New Roman" w:hAnsi="Times New Roman"/>
          <w:sz w:val="24"/>
        </w:rPr>
        <w:t>1.1</w:t>
      </w:r>
      <w:r w:rsidRPr="0090644A">
        <w:rPr>
          <w:rFonts w:ascii="Times New Roman" w:hAnsi="Times New Roman"/>
          <w:b/>
          <w:sz w:val="24"/>
        </w:rPr>
        <w:tab/>
      </w:r>
      <w:r w:rsidR="00956250">
        <w:rPr>
          <w:rFonts w:ascii="Times New Roman" w:hAnsi="Times New Roman"/>
          <w:sz w:val="24"/>
        </w:rPr>
        <w:t>xxx</w:t>
      </w:r>
    </w:p>
    <w:p w14:paraId="38019BC1" w14:textId="393525C7" w:rsidR="00C57379" w:rsidRPr="0090644A" w:rsidRDefault="00FE02C0" w:rsidP="00A07879">
      <w:pPr>
        <w:pStyle w:val="Codstavec"/>
        <w:tabs>
          <w:tab w:val="left" w:pos="426"/>
        </w:tabs>
        <w:spacing w:before="60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90644A">
        <w:rPr>
          <w:rFonts w:ascii="Times New Roman" w:hAnsi="Times New Roman"/>
          <w:b/>
          <w:sz w:val="24"/>
        </w:rPr>
        <w:t xml:space="preserve"> Kontaktní osoby a spojení na straně Příkazníka</w:t>
      </w:r>
      <w:r w:rsidR="00C57379" w:rsidRPr="0090644A">
        <w:rPr>
          <w:rFonts w:ascii="Times New Roman" w:hAnsi="Times New Roman"/>
          <w:b/>
          <w:sz w:val="24"/>
        </w:rPr>
        <w:t xml:space="preserve">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14:paraId="16606D16" w14:textId="3C5F71D9" w:rsidR="007D2664" w:rsidRDefault="007D2664" w:rsidP="00956250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sz w:val="24"/>
        </w:rPr>
      </w:pPr>
      <w:r w:rsidRPr="0090644A">
        <w:rPr>
          <w:rFonts w:ascii="Times New Roman" w:hAnsi="Times New Roman"/>
          <w:sz w:val="24"/>
        </w:rPr>
        <w:t>1.1</w:t>
      </w:r>
      <w:r w:rsidRPr="0090644A">
        <w:rPr>
          <w:rFonts w:ascii="Times New Roman" w:hAnsi="Times New Roman"/>
          <w:b/>
          <w:sz w:val="24"/>
        </w:rPr>
        <w:tab/>
      </w:r>
      <w:r w:rsidR="00956250">
        <w:rPr>
          <w:rFonts w:ascii="Times New Roman" w:hAnsi="Times New Roman"/>
          <w:sz w:val="24"/>
        </w:rPr>
        <w:t>xxx</w:t>
      </w:r>
    </w:p>
    <w:p w14:paraId="0C459001" w14:textId="7D562AC2" w:rsidR="0090644A" w:rsidRDefault="00FE02C0" w:rsidP="00FE02C0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  <w:rPr>
          <w:b/>
        </w:rPr>
      </w:pPr>
      <w:r>
        <w:rPr>
          <w:b/>
        </w:rPr>
        <w:t>7</w:t>
      </w:r>
      <w:r w:rsidR="0090644A">
        <w:rPr>
          <w:b/>
        </w:rPr>
        <w:t>.</w:t>
      </w:r>
      <w:r w:rsidR="0090644A">
        <w:rPr>
          <w:b/>
        </w:rPr>
        <w:tab/>
      </w:r>
      <w:r w:rsidR="007D12D3" w:rsidRPr="007D12D3">
        <w:t xml:space="preserve">Tento dodatek se stává platným dnem jeho podpisu oběma smluvními stranami </w:t>
      </w:r>
      <w:r w:rsidR="007D12D3" w:rsidRPr="007D12D3">
        <w:rPr>
          <w:b/>
          <w:bCs/>
        </w:rPr>
        <w:t>a účinným 1. kalendářním dnem měsíce následujícího po měsíci, v němž byl zveřejněn v registru smluv podle zákona o registru smluv. Dle dohody Smluvních stran zajistí odeslání tohoto dodatku správci registru smluv Příkazník.</w:t>
      </w:r>
    </w:p>
    <w:p w14:paraId="63B233E1" w14:textId="7D2BDEE2" w:rsidR="00922CA7" w:rsidRDefault="00FE02C0" w:rsidP="00FE02C0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</w:pPr>
      <w:r>
        <w:rPr>
          <w:b/>
        </w:rPr>
        <w:lastRenderedPageBreak/>
        <w:t>8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467D1D73" w14:textId="74F361AB" w:rsidR="00922CA7" w:rsidRDefault="00FE02C0" w:rsidP="00FE02C0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48DF8F08" w14:textId="6223D042" w:rsidR="00EF0FD7" w:rsidRPr="00DE2BC9" w:rsidRDefault="00EF0FD7" w:rsidP="00505AC5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FE02C0">
        <w:rPr>
          <w:rFonts w:ascii="Times New Roman" w:hAnsi="Times New Roman"/>
          <w:sz w:val="24"/>
        </w:rPr>
        <w:t>Brně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437EFFF8" w14:textId="77777777"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7A2EB3AB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6CAF9A82" w14:textId="68646255"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505AC5">
        <w:rPr>
          <w:rFonts w:ascii="Times New Roman" w:hAnsi="Times New Roman"/>
          <w:snapToGrid w:val="0"/>
          <w:sz w:val="24"/>
        </w:rPr>
        <w:t xml:space="preserve">Ing. </w:t>
      </w:r>
      <w:r w:rsidR="00FE02C0">
        <w:rPr>
          <w:rFonts w:ascii="Times New Roman" w:hAnsi="Times New Roman"/>
          <w:snapToGrid w:val="0"/>
          <w:sz w:val="24"/>
        </w:rPr>
        <w:t>Jaroslav Vaňatka</w:t>
      </w:r>
    </w:p>
    <w:p w14:paraId="27C762F1" w14:textId="2ACCB2A4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FE02C0">
        <w:rPr>
          <w:rFonts w:ascii="Times New Roman" w:hAnsi="Times New Roman"/>
          <w:snapToGrid w:val="0"/>
          <w:sz w:val="24"/>
        </w:rPr>
        <w:t>jednatel</w:t>
      </w:r>
    </w:p>
    <w:p w14:paraId="272B78D1" w14:textId="77777777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sectPr w:rsidR="00EF0FD7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4559" w14:textId="77777777" w:rsidR="00460AD1" w:rsidRDefault="00460AD1">
      <w:r>
        <w:separator/>
      </w:r>
    </w:p>
  </w:endnote>
  <w:endnote w:type="continuationSeparator" w:id="0">
    <w:p w14:paraId="7A91D1B8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6DE2" w14:textId="08BCB7AF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2F71B9">
      <w:rPr>
        <w:sz w:val="16"/>
      </w:rPr>
      <w:t>0</w:t>
    </w:r>
    <w:r w:rsidR="004273AD">
      <w:rPr>
        <w:sz w:val="16"/>
      </w:rPr>
      <w:t>6</w:t>
    </w:r>
    <w:r w:rsidR="002F71B9">
      <w:rPr>
        <w:sz w:val="16"/>
      </w:rPr>
      <w:t xml:space="preserve"> – </w:t>
    </w:r>
    <w:r w:rsidR="004273AD">
      <w:rPr>
        <w:sz w:val="16"/>
      </w:rPr>
      <w:t>71</w:t>
    </w:r>
    <w:r w:rsidR="008F536D">
      <w:rPr>
        <w:sz w:val="16"/>
      </w:rPr>
      <w:t>/201</w:t>
    </w:r>
    <w:r w:rsidR="004273AD">
      <w:rPr>
        <w:sz w:val="16"/>
      </w:rPr>
      <w:t>4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EE6BEF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14C95B82" w14:textId="77777777"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A56B" w14:textId="77777777" w:rsidR="00460AD1" w:rsidRDefault="00460AD1">
      <w:r>
        <w:separator/>
      </w:r>
    </w:p>
  </w:footnote>
  <w:footnote w:type="continuationSeparator" w:id="0">
    <w:p w14:paraId="6F42700B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64306199">
    <w:abstractNumId w:val="16"/>
  </w:num>
  <w:num w:numId="2" w16cid:durableId="726028167">
    <w:abstractNumId w:val="7"/>
  </w:num>
  <w:num w:numId="3" w16cid:durableId="1270090491">
    <w:abstractNumId w:val="13"/>
  </w:num>
  <w:num w:numId="4" w16cid:durableId="508450569">
    <w:abstractNumId w:val="0"/>
  </w:num>
  <w:num w:numId="5" w16cid:durableId="546186786">
    <w:abstractNumId w:val="5"/>
  </w:num>
  <w:num w:numId="6" w16cid:durableId="1936402791">
    <w:abstractNumId w:val="15"/>
  </w:num>
  <w:num w:numId="7" w16cid:durableId="190532686">
    <w:abstractNumId w:val="4"/>
  </w:num>
  <w:num w:numId="8" w16cid:durableId="1850021195">
    <w:abstractNumId w:val="9"/>
  </w:num>
  <w:num w:numId="9" w16cid:durableId="1474367884">
    <w:abstractNumId w:val="1"/>
  </w:num>
  <w:num w:numId="10" w16cid:durableId="281496529">
    <w:abstractNumId w:val="14"/>
  </w:num>
  <w:num w:numId="11" w16cid:durableId="387727736">
    <w:abstractNumId w:val="12"/>
  </w:num>
  <w:num w:numId="12" w16cid:durableId="459226721">
    <w:abstractNumId w:val="20"/>
  </w:num>
  <w:num w:numId="13" w16cid:durableId="433675258">
    <w:abstractNumId w:val="6"/>
  </w:num>
  <w:num w:numId="14" w16cid:durableId="1349720845">
    <w:abstractNumId w:val="17"/>
  </w:num>
  <w:num w:numId="15" w16cid:durableId="1705130870">
    <w:abstractNumId w:val="11"/>
  </w:num>
  <w:num w:numId="16" w16cid:durableId="1316760847">
    <w:abstractNumId w:val="8"/>
  </w:num>
  <w:num w:numId="17" w16cid:durableId="1445265443">
    <w:abstractNumId w:val="2"/>
  </w:num>
  <w:num w:numId="18" w16cid:durableId="1561552337">
    <w:abstractNumId w:val="19"/>
  </w:num>
  <w:num w:numId="19" w16cid:durableId="1096748313">
    <w:abstractNumId w:val="3"/>
  </w:num>
  <w:num w:numId="20" w16cid:durableId="1316449897">
    <w:abstractNumId w:val="10"/>
  </w:num>
  <w:num w:numId="21" w16cid:durableId="11767697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A7"/>
    <w:rsid w:val="0001005F"/>
    <w:rsid w:val="00016ECD"/>
    <w:rsid w:val="00030E75"/>
    <w:rsid w:val="00046BDB"/>
    <w:rsid w:val="00060D27"/>
    <w:rsid w:val="00064258"/>
    <w:rsid w:val="000657C1"/>
    <w:rsid w:val="00065A23"/>
    <w:rsid w:val="00084A58"/>
    <w:rsid w:val="00093258"/>
    <w:rsid w:val="000949C6"/>
    <w:rsid w:val="00094E36"/>
    <w:rsid w:val="000A7695"/>
    <w:rsid w:val="000A7EF1"/>
    <w:rsid w:val="000B3C49"/>
    <w:rsid w:val="000C0E4B"/>
    <w:rsid w:val="000C4FDE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44C5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273AD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2C45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10D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C7CC1"/>
    <w:rsid w:val="007D12D3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0F74"/>
    <w:rsid w:val="0090644A"/>
    <w:rsid w:val="00917ACA"/>
    <w:rsid w:val="009204D4"/>
    <w:rsid w:val="00920D94"/>
    <w:rsid w:val="00922CA7"/>
    <w:rsid w:val="009276F0"/>
    <w:rsid w:val="00945160"/>
    <w:rsid w:val="00945468"/>
    <w:rsid w:val="00946960"/>
    <w:rsid w:val="00955006"/>
    <w:rsid w:val="00956000"/>
    <w:rsid w:val="0095625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97B96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1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E6BEF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02C0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6F97A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2023-08-15T09:40:00Z</cp:lastPrinted>
  <dcterms:created xsi:type="dcterms:W3CDTF">2023-08-17T06:44:00Z</dcterms:created>
  <dcterms:modified xsi:type="dcterms:W3CDTF">2023-08-17T06:44:00Z</dcterms:modified>
</cp:coreProperties>
</file>