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69EEDA0B" w:rsidR="00CC11A9" w:rsidRDefault="00CC11A9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0D17DA" w:rsidRPr="000D17DA">
        <w:rPr>
          <w:rFonts w:eastAsia="Times New Roman"/>
          <w:color w:val="000000" w:themeColor="text1"/>
          <w:lang w:eastAsia="cs-CZ"/>
        </w:rPr>
        <w:t>KK01426/2023</w:t>
      </w:r>
      <w:bookmarkStart w:id="0" w:name="_GoBack"/>
      <w:bookmarkEnd w:id="0"/>
    </w:p>
    <w:p w14:paraId="5D2AB210" w14:textId="77777777" w:rsidR="00BB3D60" w:rsidRPr="00F276FD" w:rsidRDefault="00BB3D60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56640E4F" w:rsidR="00CC11A9" w:rsidRPr="00F276FD" w:rsidRDefault="00C27B1A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Administrující odbor:</w:t>
      </w:r>
      <w:r w:rsidRPr="00F276FD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F276FD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6F6AE35" w14:textId="321AF7F4" w:rsidR="006B40E3" w:rsidRDefault="000B21EC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</w:rPr>
      </w:pPr>
      <w:r>
        <w:rPr>
          <w:b/>
        </w:rPr>
        <w:t xml:space="preserve">Město Nejdek </w:t>
      </w:r>
    </w:p>
    <w:p w14:paraId="7E68C889" w14:textId="6474EBD0" w:rsidR="00F03FF4" w:rsidRPr="00BB3D6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BB3D60">
        <w:rPr>
          <w:rFonts w:eastAsia="Times New Roman"/>
          <w:bCs/>
          <w:color w:val="000000" w:themeColor="text1"/>
          <w:lang w:eastAsia="cs-CZ"/>
        </w:rPr>
        <w:t>Adresa sídla:</w:t>
      </w:r>
      <w:r w:rsidRPr="00BB3D60">
        <w:rPr>
          <w:rFonts w:eastAsia="Times New Roman"/>
          <w:bCs/>
          <w:color w:val="000000" w:themeColor="text1"/>
          <w:lang w:eastAsia="cs-CZ"/>
        </w:rPr>
        <w:tab/>
      </w:r>
      <w:r w:rsidR="000B21EC" w:rsidRPr="000B21EC">
        <w:rPr>
          <w:rFonts w:eastAsia="Times New Roman"/>
          <w:bCs/>
          <w:color w:val="000000" w:themeColor="text1"/>
          <w:lang w:eastAsia="cs-CZ"/>
        </w:rPr>
        <w:t>náměstí Karla IV. 239, 362</w:t>
      </w:r>
      <w:r w:rsidR="000B21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0B21EC" w:rsidRPr="000B21EC">
        <w:rPr>
          <w:rFonts w:eastAsia="Times New Roman"/>
          <w:bCs/>
          <w:color w:val="000000" w:themeColor="text1"/>
          <w:lang w:eastAsia="cs-CZ"/>
        </w:rPr>
        <w:t>21 Nejdek</w:t>
      </w:r>
    </w:p>
    <w:p w14:paraId="7EE718E2" w14:textId="6369FF08" w:rsidR="00CC11A9" w:rsidRPr="00BB3D6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BB3D6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BB3D60">
        <w:rPr>
          <w:rFonts w:eastAsia="Times New Roman"/>
          <w:bCs/>
          <w:color w:val="000000" w:themeColor="text1"/>
          <w:lang w:eastAsia="cs-CZ"/>
        </w:rPr>
        <w:tab/>
      </w:r>
      <w:r w:rsidR="000B21EC" w:rsidRPr="000B21EC">
        <w:rPr>
          <w:rFonts w:eastAsia="Times New Roman"/>
          <w:bCs/>
          <w:color w:val="000000" w:themeColor="text1"/>
          <w:lang w:eastAsia="cs-CZ"/>
        </w:rPr>
        <w:t>00254801</w:t>
      </w:r>
    </w:p>
    <w:p w14:paraId="32492CC3" w14:textId="0F47EFC1" w:rsidR="00901D77" w:rsidRPr="00901D77" w:rsidRDefault="00CC11A9" w:rsidP="00CC11A9">
      <w:pPr>
        <w:tabs>
          <w:tab w:val="left" w:pos="2127"/>
        </w:tabs>
        <w:spacing w:after="0" w:line="240" w:lineRule="auto"/>
        <w:ind w:right="-57"/>
      </w:pPr>
      <w:r w:rsidRPr="00BB3D60">
        <w:rPr>
          <w:rFonts w:eastAsia="Times New Roman"/>
          <w:color w:val="000000" w:themeColor="text1"/>
          <w:lang w:eastAsia="cs-CZ"/>
        </w:rPr>
        <w:t>Zastoupený: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0B21EC">
        <w:rPr>
          <w:rFonts w:eastAsia="Times New Roman"/>
          <w:color w:val="000000" w:themeColor="text1"/>
          <w:lang w:eastAsia="cs-CZ"/>
        </w:rPr>
        <w:t>Martin Kuchař</w:t>
      </w:r>
    </w:p>
    <w:p w14:paraId="166C9F44" w14:textId="6B4C912E" w:rsidR="00F40594" w:rsidRPr="00BB3D6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5247F715" w:rsidR="00EE76F4" w:rsidRPr="00BB3D60" w:rsidRDefault="00CC11A9" w:rsidP="005E07B9">
      <w:pPr>
        <w:spacing w:after="0" w:line="240" w:lineRule="auto"/>
        <w:ind w:firstLine="708"/>
      </w:pPr>
      <w:r w:rsidRPr="00BB3D60">
        <w:rPr>
          <w:rFonts w:eastAsia="Times New Roman"/>
          <w:color w:val="000000" w:themeColor="text1"/>
          <w:lang w:eastAsia="cs-CZ"/>
        </w:rPr>
        <w:t>banka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C27B1A">
        <w:tab/>
      </w:r>
      <w:r w:rsidR="00C27B1A">
        <w:tab/>
      </w:r>
      <w:r w:rsidR="001928AF">
        <w:tab/>
      </w:r>
      <w:r w:rsidR="00B31602">
        <w:tab/>
      </w:r>
      <w:r w:rsidR="00B31602">
        <w:tab/>
      </w:r>
      <w:r w:rsidRPr="00BB3D60">
        <w:rPr>
          <w:rFonts w:eastAsia="Times New Roman"/>
          <w:color w:val="000000" w:themeColor="text1"/>
          <w:lang w:eastAsia="cs-CZ"/>
        </w:rPr>
        <w:t>číslo účtu: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C27B1A">
        <w:tab/>
      </w:r>
    </w:p>
    <w:p w14:paraId="458C6585" w14:textId="552B7930" w:rsidR="00CC11A9" w:rsidRPr="00BB3D60" w:rsidRDefault="00EE76F4" w:rsidP="00EE76F4">
      <w:pPr>
        <w:spacing w:after="0" w:line="240" w:lineRule="auto"/>
      </w:pPr>
      <w:r w:rsidRPr="00BB3D60">
        <w:rPr>
          <w:rFonts w:eastAsia="Times New Roman"/>
          <w:color w:val="000000" w:themeColor="text1"/>
          <w:lang w:eastAsia="cs-CZ"/>
        </w:rPr>
        <w:t>E</w:t>
      </w:r>
      <w:r w:rsidR="00CC11A9" w:rsidRPr="00BB3D60">
        <w:rPr>
          <w:rFonts w:eastAsia="Times New Roman"/>
          <w:color w:val="000000" w:themeColor="text1"/>
          <w:lang w:eastAsia="cs-CZ"/>
        </w:rPr>
        <w:t>-mail:</w:t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C11A9" w:rsidRPr="00BB3D60">
        <w:rPr>
          <w:rFonts w:eastAsia="Times New Roman"/>
          <w:color w:val="000000" w:themeColor="text1"/>
          <w:lang w:eastAsia="cs-CZ"/>
        </w:rPr>
        <w:tab/>
      </w:r>
      <w:r w:rsidR="00C27B1A">
        <w:rPr>
          <w:rFonts w:eastAsia="Times New Roman"/>
          <w:color w:val="000000" w:themeColor="text1"/>
          <w:lang w:eastAsia="cs-CZ"/>
        </w:rPr>
        <w:tab/>
      </w:r>
    </w:p>
    <w:p w14:paraId="066625AA" w14:textId="6543AAF3" w:rsidR="00CC11A9" w:rsidRPr="00BB3D60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Datová schránka:</w:t>
      </w:r>
      <w:r w:rsidRPr="00BB3D60">
        <w:rPr>
          <w:rFonts w:eastAsia="Times New Roman"/>
          <w:color w:val="000000" w:themeColor="text1"/>
          <w:lang w:eastAsia="cs-CZ"/>
        </w:rPr>
        <w:tab/>
      </w:r>
      <w:r w:rsidR="000B21EC">
        <w:t>b56bu3f</w:t>
      </w:r>
    </w:p>
    <w:p w14:paraId="261F33D4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(dále jen „příjemce“)</w:t>
      </w:r>
    </w:p>
    <w:p w14:paraId="30A3ADE9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BB3D60">
        <w:rPr>
          <w:rFonts w:eastAsia="Arial Unicode MS"/>
          <w:color w:val="000000" w:themeColor="text1"/>
          <w:lang w:eastAsia="cs-CZ"/>
        </w:rPr>
        <w:t>V souladu se zákony</w:t>
      </w:r>
      <w:r w:rsidRPr="00BB3D60">
        <w:rPr>
          <w:rFonts w:eastAsia="Arial Unicode MS"/>
          <w:color w:val="000000" w:themeColor="text1"/>
          <w:sz w:val="24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 xml:space="preserve">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BD658ED" w14:textId="77777777" w:rsidR="00BB3D60" w:rsidRDefault="00BB3D60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302CD13A" w14:textId="7F79B9B5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37F0788C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>2</w:t>
      </w:r>
      <w:r w:rsidR="001928AF">
        <w:rPr>
          <w:color w:val="000000" w:themeColor="text1"/>
          <w:sz w:val="22"/>
          <w:szCs w:val="22"/>
        </w:rPr>
        <w:t>0</w:t>
      </w:r>
      <w:r w:rsidR="00B31602">
        <w:rPr>
          <w:color w:val="000000" w:themeColor="text1"/>
          <w:sz w:val="22"/>
          <w:szCs w:val="22"/>
        </w:rPr>
        <w:t>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282A9AB0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>lovy</w:t>
      </w:r>
      <w:r w:rsidR="003B638D">
        <w:rPr>
          <w:color w:val="000000" w:themeColor="text1"/>
          <w:sz w:val="22"/>
          <w:szCs w:val="22"/>
        </w:rPr>
        <w:t xml:space="preserve">: </w:t>
      </w:r>
      <w:r w:rsidR="00C415DE">
        <w:rPr>
          <w:color w:val="000000" w:themeColor="text1"/>
          <w:sz w:val="22"/>
          <w:szCs w:val="22"/>
        </w:rPr>
        <w:t>dvě stě</w:t>
      </w:r>
      <w:r w:rsidR="006024D5">
        <w:rPr>
          <w:color w:val="000000" w:themeColor="text1"/>
          <w:sz w:val="22"/>
          <w:szCs w:val="22"/>
        </w:rPr>
        <w:t xml:space="preserve">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72A4030A" w14:textId="450FADF6" w:rsidR="004B0C10" w:rsidRDefault="00CC11A9" w:rsidP="002C0907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C415DE" w:rsidRPr="00C415DE">
        <w:rPr>
          <w:color w:val="000000" w:themeColor="text1"/>
          <w:sz w:val="22"/>
          <w:szCs w:val="22"/>
        </w:rPr>
        <w:t xml:space="preserve">Nejdek, rozhledna </w:t>
      </w:r>
      <w:proofErr w:type="spellStart"/>
      <w:r w:rsidR="00C415DE" w:rsidRPr="00C415DE">
        <w:rPr>
          <w:color w:val="000000" w:themeColor="text1"/>
          <w:sz w:val="22"/>
          <w:szCs w:val="22"/>
        </w:rPr>
        <w:t>Pajndl</w:t>
      </w:r>
      <w:proofErr w:type="spellEnd"/>
      <w:r w:rsidR="00C415DE" w:rsidRPr="00C415DE">
        <w:rPr>
          <w:color w:val="000000" w:themeColor="text1"/>
          <w:sz w:val="22"/>
          <w:szCs w:val="22"/>
        </w:rPr>
        <w:t xml:space="preserve"> - projektová </w:t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 w:rsidRPr="00C415DE">
        <w:rPr>
          <w:color w:val="000000" w:themeColor="text1"/>
          <w:sz w:val="22"/>
          <w:szCs w:val="22"/>
        </w:rPr>
        <w:t xml:space="preserve">dokumentace na opravu vrcholového </w:t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>
        <w:rPr>
          <w:color w:val="000000" w:themeColor="text1"/>
          <w:sz w:val="22"/>
          <w:szCs w:val="22"/>
        </w:rPr>
        <w:tab/>
      </w:r>
      <w:r w:rsidR="00C415DE" w:rsidRPr="00C415DE">
        <w:rPr>
          <w:color w:val="000000" w:themeColor="text1"/>
          <w:sz w:val="22"/>
          <w:szCs w:val="22"/>
        </w:rPr>
        <w:t>ochozu a vnějšího pláště</w:t>
      </w:r>
    </w:p>
    <w:p w14:paraId="47555650" w14:textId="271AF0E6" w:rsidR="00866C1A" w:rsidRPr="004B0C10" w:rsidRDefault="00CC11A9" w:rsidP="004B0C10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</w:p>
    <w:p w14:paraId="4E350E84" w14:textId="77777777" w:rsidR="00BB3D60" w:rsidRDefault="00BB3D60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379B4A88" w14:textId="77777777" w:rsidR="001928AF" w:rsidRDefault="001928AF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632B9972" w14:textId="34623BC2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54941E2F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5E551D8B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C415DE" w:rsidRPr="00C415DE">
        <w:rPr>
          <w:rFonts w:eastAsia="Arial Unicode MS"/>
          <w:color w:val="000000" w:themeColor="text1"/>
          <w:lang w:eastAsia="cs-CZ"/>
        </w:rPr>
        <w:t xml:space="preserve">Nejdek, rozhledna </w:t>
      </w:r>
      <w:proofErr w:type="spellStart"/>
      <w:r w:rsidR="00C415DE" w:rsidRPr="00C415DE">
        <w:rPr>
          <w:rFonts w:eastAsia="Arial Unicode MS"/>
          <w:color w:val="000000" w:themeColor="text1"/>
          <w:lang w:eastAsia="cs-CZ"/>
        </w:rPr>
        <w:t>Pajndl</w:t>
      </w:r>
      <w:proofErr w:type="spellEnd"/>
      <w:r w:rsidR="00C415DE" w:rsidRPr="00C415DE">
        <w:rPr>
          <w:rFonts w:eastAsia="Arial Unicode MS"/>
          <w:color w:val="000000" w:themeColor="text1"/>
          <w:lang w:eastAsia="cs-CZ"/>
        </w:rPr>
        <w:t xml:space="preserve"> - projektová dokumentace na opravu vrcholového ochozu a vnějšího pláště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C415DE">
        <w:rPr>
          <w:rFonts w:eastAsia="Arial Unicode MS"/>
          <w:color w:val="000000" w:themeColor="text1"/>
          <w:lang w:eastAsia="cs-CZ"/>
        </w:rPr>
        <w:t>4</w:t>
      </w:r>
      <w:r w:rsidR="00820C34">
        <w:rPr>
          <w:rFonts w:eastAsia="Arial Unicode MS"/>
          <w:color w:val="000000" w:themeColor="text1"/>
          <w:lang w:eastAsia="cs-CZ"/>
        </w:rPr>
        <w:t>0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>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Příjemce je zejména povinen oznámit poskytovateli do 10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614C190" w14:textId="6E6FA71F" w:rsidR="00C1756E" w:rsidRPr="003B638D" w:rsidRDefault="008F0B23" w:rsidP="00C1756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741566A" w14:textId="30EA2D63" w:rsidR="008F0B23" w:rsidRPr="00F276FD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4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příjemce.</w:t>
      </w:r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71AA7B3" w14:textId="0625C771" w:rsidR="006024D5" w:rsidRDefault="008F0B23" w:rsidP="008F0B23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7260E1E9" w14:textId="77777777" w:rsidR="003B638D" w:rsidRDefault="003B638D" w:rsidP="003B638D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7F8904F0" w14:textId="468F55E3" w:rsidR="00F276FD" w:rsidRPr="00F276FD" w:rsidRDefault="00F276FD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5A7475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5A7475">
        <w:trPr>
          <w:trHeight w:val="1536"/>
        </w:trPr>
        <w:tc>
          <w:tcPr>
            <w:tcW w:w="4533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20E82D7D" w14:textId="7565B20A" w:rsidR="003B638D" w:rsidRDefault="00D03C2A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>
              <w:rPr>
                <w:rFonts w:eastAsia="Times New Roman"/>
                <w:color w:val="000000" w:themeColor="text1"/>
                <w:lang w:eastAsia="cs-CZ"/>
              </w:rPr>
              <w:t>Martin Kuchař</w:t>
            </w:r>
          </w:p>
          <w:p w14:paraId="7F9412BF" w14:textId="1B016E10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0DFA01F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3B072A2C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49AD9977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F70E131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64BB640B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3EFB704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27A68D3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40956E17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71FCEA6C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185DA38F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54471B65" w14:textId="4193112A" w:rsidR="002F070E" w:rsidRDefault="002F070E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p w14:paraId="0C46D6B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1C1"/>
    <w:rsid w:val="00063C82"/>
    <w:rsid w:val="000717F9"/>
    <w:rsid w:val="000858A0"/>
    <w:rsid w:val="000B21EC"/>
    <w:rsid w:val="000C12F2"/>
    <w:rsid w:val="000C76F4"/>
    <w:rsid w:val="000D17DA"/>
    <w:rsid w:val="000D37F3"/>
    <w:rsid w:val="00117A22"/>
    <w:rsid w:val="00134BD0"/>
    <w:rsid w:val="0015202A"/>
    <w:rsid w:val="00160D58"/>
    <w:rsid w:val="00164C6A"/>
    <w:rsid w:val="001817D7"/>
    <w:rsid w:val="001928AF"/>
    <w:rsid w:val="001A3CCC"/>
    <w:rsid w:val="001C5D29"/>
    <w:rsid w:val="002244ED"/>
    <w:rsid w:val="00225162"/>
    <w:rsid w:val="00244366"/>
    <w:rsid w:val="00247572"/>
    <w:rsid w:val="00251951"/>
    <w:rsid w:val="002525C2"/>
    <w:rsid w:val="00266773"/>
    <w:rsid w:val="00281566"/>
    <w:rsid w:val="0029215C"/>
    <w:rsid w:val="002B59FA"/>
    <w:rsid w:val="002B67D8"/>
    <w:rsid w:val="002C0907"/>
    <w:rsid w:val="002C3670"/>
    <w:rsid w:val="002E4E97"/>
    <w:rsid w:val="002F070E"/>
    <w:rsid w:val="00300D1B"/>
    <w:rsid w:val="003112EF"/>
    <w:rsid w:val="00320C36"/>
    <w:rsid w:val="00325592"/>
    <w:rsid w:val="003767E2"/>
    <w:rsid w:val="0038379D"/>
    <w:rsid w:val="00385583"/>
    <w:rsid w:val="00393659"/>
    <w:rsid w:val="00397B61"/>
    <w:rsid w:val="003B638D"/>
    <w:rsid w:val="003B6DE9"/>
    <w:rsid w:val="003C7D54"/>
    <w:rsid w:val="003D28B6"/>
    <w:rsid w:val="003D6BBB"/>
    <w:rsid w:val="003E2204"/>
    <w:rsid w:val="003F7FA6"/>
    <w:rsid w:val="00401FF7"/>
    <w:rsid w:val="00404DE1"/>
    <w:rsid w:val="0041191B"/>
    <w:rsid w:val="0046096F"/>
    <w:rsid w:val="00476C23"/>
    <w:rsid w:val="004B0C10"/>
    <w:rsid w:val="004B7CA6"/>
    <w:rsid w:val="004F3493"/>
    <w:rsid w:val="004F5509"/>
    <w:rsid w:val="005178F2"/>
    <w:rsid w:val="00517DCD"/>
    <w:rsid w:val="00560154"/>
    <w:rsid w:val="005865FA"/>
    <w:rsid w:val="005877C8"/>
    <w:rsid w:val="005A40EB"/>
    <w:rsid w:val="005A7475"/>
    <w:rsid w:val="005C4E9D"/>
    <w:rsid w:val="005D78CC"/>
    <w:rsid w:val="005E07B9"/>
    <w:rsid w:val="005E6AC0"/>
    <w:rsid w:val="006024D5"/>
    <w:rsid w:val="00640D63"/>
    <w:rsid w:val="00686ECC"/>
    <w:rsid w:val="006A6B01"/>
    <w:rsid w:val="006B40E3"/>
    <w:rsid w:val="006C53A1"/>
    <w:rsid w:val="007018CB"/>
    <w:rsid w:val="0071229F"/>
    <w:rsid w:val="00760A30"/>
    <w:rsid w:val="007879B2"/>
    <w:rsid w:val="007A26B7"/>
    <w:rsid w:val="007C424F"/>
    <w:rsid w:val="007E2FB1"/>
    <w:rsid w:val="007F3F4D"/>
    <w:rsid w:val="008076E0"/>
    <w:rsid w:val="00815C2F"/>
    <w:rsid w:val="00820862"/>
    <w:rsid w:val="00820C34"/>
    <w:rsid w:val="008466C6"/>
    <w:rsid w:val="0086380E"/>
    <w:rsid w:val="00866C1A"/>
    <w:rsid w:val="008721B5"/>
    <w:rsid w:val="00893799"/>
    <w:rsid w:val="008A369B"/>
    <w:rsid w:val="008B70ED"/>
    <w:rsid w:val="008C17D7"/>
    <w:rsid w:val="008C6878"/>
    <w:rsid w:val="008D4B53"/>
    <w:rsid w:val="008F0B23"/>
    <w:rsid w:val="00901D77"/>
    <w:rsid w:val="009117D9"/>
    <w:rsid w:val="0094229B"/>
    <w:rsid w:val="00942592"/>
    <w:rsid w:val="00972169"/>
    <w:rsid w:val="009929D2"/>
    <w:rsid w:val="009C6F84"/>
    <w:rsid w:val="00A22E47"/>
    <w:rsid w:val="00A47F4B"/>
    <w:rsid w:val="00A562B2"/>
    <w:rsid w:val="00B31602"/>
    <w:rsid w:val="00B31BCC"/>
    <w:rsid w:val="00B5318E"/>
    <w:rsid w:val="00B766F2"/>
    <w:rsid w:val="00BA0C3B"/>
    <w:rsid w:val="00BB3D60"/>
    <w:rsid w:val="00BC1DA4"/>
    <w:rsid w:val="00BD07B5"/>
    <w:rsid w:val="00BD446B"/>
    <w:rsid w:val="00C1756E"/>
    <w:rsid w:val="00C27B1A"/>
    <w:rsid w:val="00C415DE"/>
    <w:rsid w:val="00C66EC8"/>
    <w:rsid w:val="00C707E0"/>
    <w:rsid w:val="00C75871"/>
    <w:rsid w:val="00C8481B"/>
    <w:rsid w:val="00C91027"/>
    <w:rsid w:val="00CC11A9"/>
    <w:rsid w:val="00CD7089"/>
    <w:rsid w:val="00CF660D"/>
    <w:rsid w:val="00D0060C"/>
    <w:rsid w:val="00D03C2A"/>
    <w:rsid w:val="00D433E0"/>
    <w:rsid w:val="00D72289"/>
    <w:rsid w:val="00D733D2"/>
    <w:rsid w:val="00D809BF"/>
    <w:rsid w:val="00D80E8F"/>
    <w:rsid w:val="00D827A1"/>
    <w:rsid w:val="00D90C9D"/>
    <w:rsid w:val="00D9675B"/>
    <w:rsid w:val="00DB55D3"/>
    <w:rsid w:val="00DF5E91"/>
    <w:rsid w:val="00DF7ECE"/>
    <w:rsid w:val="00E12853"/>
    <w:rsid w:val="00E35F29"/>
    <w:rsid w:val="00E71214"/>
    <w:rsid w:val="00E76593"/>
    <w:rsid w:val="00EB40B1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3884-0BC8-4B64-B6E9-DAB8F59A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2332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4</cp:revision>
  <cp:lastPrinted>2020-08-12T11:20:00Z</cp:lastPrinted>
  <dcterms:created xsi:type="dcterms:W3CDTF">2023-04-06T12:31:00Z</dcterms:created>
  <dcterms:modified xsi:type="dcterms:W3CDTF">2023-04-13T08:31:00Z</dcterms:modified>
</cp:coreProperties>
</file>