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rsidR="001C47A5" w:rsidRPr="00BC4687" w:rsidRDefault="001C47A5" w:rsidP="007C0279">
      <w:pPr>
        <w:spacing w:after="120" w:line="276" w:lineRule="auto"/>
        <w:ind w:left="425" w:hanging="425"/>
        <w:jc w:val="center"/>
        <w:rPr>
          <w:rFonts w:ascii="Tahoma" w:eastAsia="Microsoft YaHei" w:hAnsi="Tahoma" w:cs="Tahoma"/>
          <w:b/>
          <w:sz w:val="20"/>
          <w:szCs w:val="20"/>
          <w:lang w:eastAsia="hi-IN" w:bidi="hi-IN"/>
        </w:rPr>
      </w:pPr>
    </w:p>
    <w:p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rsidR="009601F0" w:rsidRPr="00BC4687"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w:t>
      </w:r>
      <w:proofErr w:type="spellStart"/>
      <w:r w:rsidR="0065564B" w:rsidRPr="00BC4687">
        <w:rPr>
          <w:rFonts w:ascii="Tahoma" w:hAnsi="Tahoma" w:cs="Tahoma"/>
          <w:sz w:val="20"/>
          <w:szCs w:val="22"/>
        </w:rPr>
        <w:t>Siebert</w:t>
      </w:r>
      <w:r w:rsidR="00402976" w:rsidRPr="00BC4687">
        <w:rPr>
          <w:rFonts w:ascii="Tahoma" w:hAnsi="Tahoma" w:cs="Tahoma"/>
          <w:sz w:val="20"/>
          <w:szCs w:val="22"/>
        </w:rPr>
        <w:t>em</w:t>
      </w:r>
      <w:proofErr w:type="spellEnd"/>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8850C6">
        <w:rPr>
          <w:rFonts w:ascii="Tahoma" w:hAnsi="Tahoma" w:cs="Tahoma"/>
          <w:sz w:val="20"/>
          <w:szCs w:val="22"/>
        </w:rPr>
        <w:t>XXX</w:t>
      </w:r>
    </w:p>
    <w:p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806968" w:rsidRPr="00BC4687" w:rsidRDefault="00806968"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845276" w:rsidRDefault="00500329" w:rsidP="00500329">
      <w:pPr>
        <w:numPr>
          <w:ilvl w:val="0"/>
          <w:numId w:val="24"/>
        </w:numPr>
        <w:tabs>
          <w:tab w:val="clear" w:pos="720"/>
          <w:tab w:val="num" w:pos="426"/>
          <w:tab w:val="left" w:pos="2977"/>
        </w:tabs>
        <w:spacing w:before="240" w:after="120" w:line="276" w:lineRule="auto"/>
        <w:ind w:left="425" w:hanging="425"/>
        <w:rPr>
          <w:rFonts w:ascii="Tahoma" w:hAnsi="Tahoma" w:cs="Tahoma"/>
          <w:b/>
          <w:bCs/>
          <w:sz w:val="20"/>
          <w:szCs w:val="22"/>
        </w:rPr>
      </w:pPr>
      <w:r w:rsidRPr="00845276">
        <w:rPr>
          <w:rFonts w:ascii="Segoe UI" w:hAnsi="Segoe UI" w:cs="Segoe UI"/>
          <w:b/>
          <w:noProof/>
        </w:rPr>
        <w:t>Active Colour s.r.o.</w:t>
      </w:r>
      <w:r w:rsidRPr="00845276">
        <w:rPr>
          <w:rFonts w:ascii="Segoe UI" w:hAnsi="Segoe UI" w:cs="Segoe UI"/>
          <w:b/>
          <w:noProof/>
        </w:rPr>
        <w:tab/>
      </w:r>
    </w:p>
    <w:p w:rsidR="00500329" w:rsidRPr="00845276" w:rsidRDefault="007C0279" w:rsidP="0050032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845276">
        <w:rPr>
          <w:rFonts w:ascii="Tahoma" w:hAnsi="Tahoma" w:cs="Tahoma"/>
          <w:sz w:val="20"/>
          <w:szCs w:val="22"/>
        </w:rPr>
        <w:t>s</w:t>
      </w:r>
      <w:r w:rsidR="009601F0" w:rsidRPr="00845276">
        <w:rPr>
          <w:rFonts w:ascii="Tahoma" w:hAnsi="Tahoma" w:cs="Tahoma"/>
          <w:sz w:val="20"/>
          <w:szCs w:val="22"/>
        </w:rPr>
        <w:t>e sídlem:</w:t>
      </w:r>
      <w:r w:rsidR="009601F0" w:rsidRPr="00845276">
        <w:rPr>
          <w:rFonts w:ascii="Tahoma" w:hAnsi="Tahoma" w:cs="Tahoma"/>
          <w:sz w:val="20"/>
          <w:szCs w:val="22"/>
        </w:rPr>
        <w:tab/>
      </w:r>
      <w:r w:rsidR="00500329" w:rsidRPr="00845276">
        <w:rPr>
          <w:rFonts w:ascii="Tahoma" w:hAnsi="Tahoma" w:cs="Tahoma"/>
          <w:sz w:val="20"/>
          <w:szCs w:val="22"/>
        </w:rPr>
        <w:t>U Střelnice 440/9, Krásno nad Bečvou, 757 01 Valašské Meziříčí</w:t>
      </w:r>
    </w:p>
    <w:p w:rsidR="009601F0" w:rsidRPr="00845276" w:rsidRDefault="007C0279" w:rsidP="0050032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845276">
        <w:rPr>
          <w:rFonts w:ascii="Tahoma" w:hAnsi="Tahoma" w:cs="Tahoma"/>
          <w:sz w:val="20"/>
          <w:szCs w:val="22"/>
        </w:rPr>
        <w:t>z</w:t>
      </w:r>
      <w:r w:rsidR="009601F0" w:rsidRPr="00845276">
        <w:rPr>
          <w:rFonts w:ascii="Tahoma" w:hAnsi="Tahoma" w:cs="Tahoma"/>
          <w:sz w:val="20"/>
          <w:szCs w:val="22"/>
        </w:rPr>
        <w:t>astoupena</w:t>
      </w:r>
      <w:r w:rsidR="009601F0" w:rsidRPr="00845276">
        <w:rPr>
          <w:rFonts w:ascii="Tahoma" w:hAnsi="Tahoma" w:cs="Tahoma"/>
          <w:sz w:val="20"/>
          <w:szCs w:val="22"/>
        </w:rPr>
        <w:tab/>
      </w:r>
    </w:p>
    <w:p w:rsidR="009601F0" w:rsidRPr="00845276" w:rsidRDefault="00500329" w:rsidP="007C0279">
      <w:pPr>
        <w:numPr>
          <w:ilvl w:val="12"/>
          <w:numId w:val="0"/>
        </w:numPr>
        <w:tabs>
          <w:tab w:val="num" w:pos="360"/>
          <w:tab w:val="left" w:pos="2977"/>
        </w:tabs>
        <w:spacing w:line="276" w:lineRule="auto"/>
        <w:ind w:left="425" w:hanging="425"/>
        <w:jc w:val="both"/>
        <w:rPr>
          <w:rFonts w:ascii="Tahoma" w:hAnsi="Tahoma" w:cs="Tahoma"/>
          <w:sz w:val="20"/>
          <w:szCs w:val="22"/>
        </w:rPr>
      </w:pPr>
      <w:bookmarkStart w:id="0" w:name="_Hlk82416148"/>
      <w:r w:rsidRPr="00845276">
        <w:rPr>
          <w:rFonts w:ascii="Tahoma" w:hAnsi="Tahoma" w:cs="Tahoma"/>
          <w:sz w:val="20"/>
          <w:szCs w:val="22"/>
        </w:rPr>
        <w:tab/>
      </w:r>
      <w:r w:rsidR="009601F0" w:rsidRPr="00845276">
        <w:rPr>
          <w:rFonts w:ascii="Tahoma" w:hAnsi="Tahoma" w:cs="Tahoma"/>
          <w:sz w:val="20"/>
          <w:szCs w:val="22"/>
        </w:rPr>
        <w:t>ve věcech smluvních</w:t>
      </w:r>
      <w:bookmarkEnd w:id="0"/>
      <w:r w:rsidR="007C0279" w:rsidRPr="00845276">
        <w:rPr>
          <w:rFonts w:ascii="Tahoma" w:hAnsi="Tahoma" w:cs="Tahoma"/>
          <w:sz w:val="20"/>
          <w:szCs w:val="22"/>
        </w:rPr>
        <w:t>:</w:t>
      </w:r>
      <w:r w:rsidR="009601F0" w:rsidRPr="00845276">
        <w:rPr>
          <w:rFonts w:ascii="Tahoma" w:hAnsi="Tahoma" w:cs="Tahoma"/>
          <w:sz w:val="20"/>
          <w:szCs w:val="22"/>
        </w:rPr>
        <w:tab/>
      </w:r>
      <w:r w:rsidRPr="00845276">
        <w:rPr>
          <w:rFonts w:ascii="Tahoma" w:hAnsi="Tahoma" w:cs="Tahoma"/>
          <w:sz w:val="20"/>
          <w:szCs w:val="22"/>
        </w:rPr>
        <w:t>Petrem Danišem, jednatelem</w:t>
      </w:r>
    </w:p>
    <w:p w:rsidR="009601F0" w:rsidRPr="00845276"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5276">
        <w:rPr>
          <w:rFonts w:ascii="Tahoma" w:hAnsi="Tahoma" w:cs="Tahoma"/>
          <w:sz w:val="20"/>
          <w:szCs w:val="22"/>
        </w:rPr>
        <w:t>IČ</w:t>
      </w:r>
      <w:r w:rsidR="006D6317" w:rsidRPr="00845276">
        <w:rPr>
          <w:rFonts w:ascii="Tahoma" w:hAnsi="Tahoma" w:cs="Tahoma"/>
          <w:sz w:val="20"/>
          <w:szCs w:val="22"/>
        </w:rPr>
        <w:t>O</w:t>
      </w:r>
      <w:r w:rsidRPr="00845276">
        <w:rPr>
          <w:rFonts w:ascii="Tahoma" w:hAnsi="Tahoma" w:cs="Tahoma"/>
          <w:sz w:val="20"/>
          <w:szCs w:val="22"/>
        </w:rPr>
        <w:t>:</w:t>
      </w:r>
      <w:r w:rsidRPr="00845276">
        <w:rPr>
          <w:rFonts w:ascii="Tahoma" w:hAnsi="Tahoma" w:cs="Tahoma"/>
          <w:sz w:val="20"/>
          <w:szCs w:val="22"/>
        </w:rPr>
        <w:tab/>
      </w:r>
      <w:r w:rsidR="007C0279" w:rsidRPr="00845276">
        <w:rPr>
          <w:rFonts w:ascii="Tahoma" w:hAnsi="Tahoma" w:cs="Tahoma"/>
          <w:sz w:val="20"/>
          <w:szCs w:val="22"/>
        </w:rPr>
        <w:tab/>
      </w:r>
      <w:r w:rsidR="00500329" w:rsidRPr="00845276">
        <w:rPr>
          <w:rFonts w:ascii="Tahoma" w:hAnsi="Tahoma" w:cs="Tahoma"/>
          <w:sz w:val="20"/>
          <w:szCs w:val="22"/>
        </w:rPr>
        <w:t>26841584</w:t>
      </w:r>
    </w:p>
    <w:p w:rsidR="009601F0" w:rsidRPr="00845276"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5276">
        <w:rPr>
          <w:rFonts w:ascii="Tahoma" w:hAnsi="Tahoma" w:cs="Tahoma"/>
          <w:sz w:val="20"/>
          <w:szCs w:val="22"/>
        </w:rPr>
        <w:t>DIČ:</w:t>
      </w:r>
      <w:r w:rsidRPr="00845276">
        <w:rPr>
          <w:rFonts w:ascii="Tahoma" w:hAnsi="Tahoma" w:cs="Tahoma"/>
          <w:sz w:val="20"/>
          <w:szCs w:val="22"/>
        </w:rPr>
        <w:tab/>
      </w:r>
      <w:r w:rsidR="007C0279" w:rsidRPr="00845276">
        <w:rPr>
          <w:rFonts w:ascii="Tahoma" w:hAnsi="Tahoma" w:cs="Tahoma"/>
          <w:sz w:val="20"/>
          <w:szCs w:val="22"/>
        </w:rPr>
        <w:tab/>
      </w:r>
      <w:r w:rsidR="00500329" w:rsidRPr="00845276">
        <w:rPr>
          <w:rFonts w:ascii="Tahoma" w:hAnsi="Tahoma" w:cs="Tahoma"/>
          <w:sz w:val="20"/>
          <w:szCs w:val="22"/>
        </w:rPr>
        <w:t>CZ26841584</w:t>
      </w:r>
    </w:p>
    <w:p w:rsidR="0051200A" w:rsidRPr="00845276"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5276">
        <w:rPr>
          <w:rFonts w:ascii="Tahoma" w:hAnsi="Tahoma" w:cs="Tahoma"/>
          <w:sz w:val="20"/>
          <w:szCs w:val="22"/>
        </w:rPr>
        <w:t>b</w:t>
      </w:r>
      <w:r w:rsidR="009601F0" w:rsidRPr="00845276">
        <w:rPr>
          <w:rFonts w:ascii="Tahoma" w:hAnsi="Tahoma" w:cs="Tahoma"/>
          <w:sz w:val="20"/>
          <w:szCs w:val="22"/>
        </w:rPr>
        <w:t>ankovní spojení:</w:t>
      </w:r>
      <w:r w:rsidR="009601F0" w:rsidRPr="00845276">
        <w:rPr>
          <w:rFonts w:ascii="Tahoma" w:hAnsi="Tahoma" w:cs="Tahoma"/>
          <w:sz w:val="20"/>
          <w:szCs w:val="22"/>
        </w:rPr>
        <w:tab/>
      </w:r>
      <w:proofErr w:type="spellStart"/>
      <w:r w:rsidR="00884A75" w:rsidRPr="00845276">
        <w:rPr>
          <w:rFonts w:ascii="Tahoma" w:hAnsi="Tahoma" w:cs="Tahoma"/>
          <w:sz w:val="20"/>
          <w:szCs w:val="22"/>
        </w:rPr>
        <w:t>UniCredit</w:t>
      </w:r>
      <w:proofErr w:type="spellEnd"/>
      <w:r w:rsidR="00884A75" w:rsidRPr="00845276">
        <w:rPr>
          <w:rFonts w:ascii="Tahoma" w:hAnsi="Tahoma" w:cs="Tahoma"/>
          <w:sz w:val="20"/>
          <w:szCs w:val="22"/>
        </w:rPr>
        <w:t xml:space="preserve"> Bank</w:t>
      </w:r>
    </w:p>
    <w:p w:rsidR="009601F0" w:rsidRPr="00845276"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845276">
        <w:rPr>
          <w:rFonts w:ascii="Tahoma" w:hAnsi="Tahoma" w:cs="Tahoma"/>
          <w:sz w:val="20"/>
          <w:szCs w:val="22"/>
        </w:rPr>
        <w:t>č</w:t>
      </w:r>
      <w:r w:rsidR="009601F0" w:rsidRPr="00845276">
        <w:rPr>
          <w:rFonts w:ascii="Tahoma" w:hAnsi="Tahoma" w:cs="Tahoma"/>
          <w:sz w:val="20"/>
          <w:szCs w:val="22"/>
        </w:rPr>
        <w:t>íslo účtu:</w:t>
      </w:r>
      <w:r w:rsidR="009601F0" w:rsidRPr="00845276">
        <w:rPr>
          <w:rFonts w:ascii="Tahoma" w:hAnsi="Tahoma" w:cs="Tahoma"/>
          <w:sz w:val="20"/>
          <w:szCs w:val="22"/>
        </w:rPr>
        <w:tab/>
      </w:r>
      <w:r w:rsidR="008850C6">
        <w:rPr>
          <w:rFonts w:ascii="Tahoma" w:hAnsi="Tahoma" w:cs="Tahoma"/>
          <w:sz w:val="20"/>
          <w:szCs w:val="22"/>
        </w:rPr>
        <w:t>XXX</w:t>
      </w:r>
    </w:p>
    <w:p w:rsidR="000E5A82" w:rsidRPr="00845276"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845276">
        <w:rPr>
          <w:rFonts w:ascii="Tahoma" w:hAnsi="Tahoma" w:cs="Tahoma"/>
          <w:sz w:val="20"/>
          <w:szCs w:val="22"/>
        </w:rPr>
        <w:t xml:space="preserve">Zapsána v obchodním rejstříku vedeném </w:t>
      </w:r>
      <w:r w:rsidR="00884A75" w:rsidRPr="00845276">
        <w:rPr>
          <w:rFonts w:ascii="Tahoma" w:hAnsi="Tahoma" w:cs="Tahoma"/>
          <w:iCs/>
          <w:sz w:val="20"/>
          <w:szCs w:val="20"/>
        </w:rPr>
        <w:t>Krajským</w:t>
      </w:r>
      <w:r w:rsidR="000E5A82" w:rsidRPr="00845276">
        <w:rPr>
          <w:rFonts w:ascii="Tahoma" w:hAnsi="Tahoma" w:cs="Tahoma"/>
          <w:iCs/>
          <w:sz w:val="20"/>
          <w:szCs w:val="20"/>
        </w:rPr>
        <w:t xml:space="preserve"> soudem v </w:t>
      </w:r>
      <w:r w:rsidR="00884A75" w:rsidRPr="00845276">
        <w:rPr>
          <w:rFonts w:ascii="Tahoma" w:hAnsi="Tahoma" w:cs="Tahoma"/>
          <w:iCs/>
          <w:sz w:val="20"/>
          <w:szCs w:val="20"/>
        </w:rPr>
        <w:t>Ostravě</w:t>
      </w:r>
      <w:r w:rsidR="000E5A82" w:rsidRPr="00845276">
        <w:rPr>
          <w:rFonts w:ascii="Tahoma" w:hAnsi="Tahoma" w:cs="Tahoma"/>
          <w:iCs/>
          <w:sz w:val="20"/>
          <w:szCs w:val="20"/>
        </w:rPr>
        <w:t>, oddíl </w:t>
      </w:r>
      <w:r w:rsidR="00884A75" w:rsidRPr="00845276">
        <w:rPr>
          <w:rFonts w:ascii="Tahoma" w:hAnsi="Tahoma" w:cs="Tahoma"/>
          <w:iCs/>
          <w:sz w:val="20"/>
          <w:szCs w:val="20"/>
        </w:rPr>
        <w:t>C</w:t>
      </w:r>
      <w:r w:rsidR="000E5A82" w:rsidRPr="00845276">
        <w:rPr>
          <w:rFonts w:ascii="Tahoma" w:hAnsi="Tahoma" w:cs="Tahoma"/>
          <w:iCs/>
          <w:sz w:val="20"/>
          <w:szCs w:val="20"/>
        </w:rPr>
        <w:t>, vložka </w:t>
      </w:r>
      <w:r w:rsidR="00884A75" w:rsidRPr="00845276">
        <w:rPr>
          <w:rFonts w:ascii="Tahoma" w:hAnsi="Tahoma" w:cs="Tahoma"/>
          <w:iCs/>
          <w:sz w:val="20"/>
          <w:szCs w:val="20"/>
        </w:rPr>
        <w:t>40285</w:t>
      </w:r>
    </w:p>
    <w:p w:rsidR="0075678D"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845276">
        <w:rPr>
          <w:rFonts w:ascii="Tahoma" w:hAnsi="Tahoma" w:cs="Tahoma"/>
          <w:iCs/>
          <w:sz w:val="20"/>
          <w:szCs w:val="22"/>
        </w:rPr>
        <w:t xml:space="preserve">dále jen </w:t>
      </w:r>
      <w:r w:rsidR="0075678D" w:rsidRPr="00845276">
        <w:rPr>
          <w:rFonts w:ascii="Tahoma" w:hAnsi="Tahoma" w:cs="Tahoma"/>
          <w:iCs/>
          <w:sz w:val="20"/>
          <w:szCs w:val="22"/>
        </w:rPr>
        <w:t>„</w:t>
      </w:r>
      <w:r w:rsidR="0075678D" w:rsidRPr="00845276">
        <w:rPr>
          <w:rFonts w:ascii="Tahoma" w:hAnsi="Tahoma" w:cs="Tahoma"/>
          <w:i/>
          <w:sz w:val="20"/>
          <w:szCs w:val="22"/>
        </w:rPr>
        <w:t>prodávající</w:t>
      </w:r>
      <w:r w:rsidR="0075678D" w:rsidRPr="00845276">
        <w:rPr>
          <w:rFonts w:ascii="Tahoma" w:hAnsi="Tahoma" w:cs="Tahoma"/>
          <w:iCs/>
          <w:sz w:val="20"/>
          <w:szCs w:val="22"/>
        </w:rPr>
        <w:t>“</w:t>
      </w:r>
    </w:p>
    <w:p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rsidR="00806968" w:rsidRPr="00BC4687" w:rsidRDefault="00806968" w:rsidP="007C0279">
      <w:pPr>
        <w:tabs>
          <w:tab w:val="left" w:pos="360"/>
          <w:tab w:val="left" w:pos="2268"/>
        </w:tabs>
        <w:spacing w:after="120" w:line="276" w:lineRule="auto"/>
        <w:ind w:left="425" w:hanging="425"/>
        <w:rPr>
          <w:rFonts w:ascii="Tahoma" w:hAnsi="Tahoma" w:cs="Tahoma"/>
          <w:sz w:val="20"/>
          <w:szCs w:val="22"/>
        </w:rPr>
      </w:pPr>
    </w:p>
    <w:p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rsidR="00DB69A9" w:rsidRPr="00BC4687" w:rsidRDefault="00A20AF9" w:rsidP="00651800">
      <w:pPr>
        <w:pStyle w:val="OdstavecSmlouvy"/>
        <w:numPr>
          <w:ilvl w:val="0"/>
          <w:numId w:val="11"/>
        </w:numPr>
        <w:tabs>
          <w:tab w:val="clear" w:pos="360"/>
          <w:tab w:val="clear" w:pos="426"/>
          <w:tab w:val="num" w:pos="0"/>
          <w:tab w:val="left" w:pos="142"/>
        </w:tabs>
        <w:spacing w:line="276" w:lineRule="auto"/>
        <w:ind w:left="284" w:hanging="284"/>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rsidR="00EB5B24" w:rsidRPr="00BC4687" w:rsidRDefault="00EB5B24" w:rsidP="00651800">
      <w:pPr>
        <w:pStyle w:val="OdstavecSmlouvy"/>
        <w:numPr>
          <w:ilvl w:val="0"/>
          <w:numId w:val="11"/>
        </w:numPr>
        <w:tabs>
          <w:tab w:val="clear" w:pos="360"/>
          <w:tab w:val="clear" w:pos="426"/>
          <w:tab w:val="num" w:pos="0"/>
          <w:tab w:val="left" w:pos="142"/>
        </w:tabs>
        <w:spacing w:line="276" w:lineRule="auto"/>
        <w:ind w:left="284" w:hanging="284"/>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BC4687" w:rsidRDefault="00C72894"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lastRenderedPageBreak/>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rsidR="00EB5B24" w:rsidRPr="00BC4687" w:rsidRDefault="00EB5B24"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rsidR="00EB5B24" w:rsidRPr="00BC4687" w:rsidRDefault="00E35A85"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rsidR="006E240A" w:rsidRPr="00BC4687" w:rsidRDefault="006E240A" w:rsidP="00651800">
      <w:pPr>
        <w:pStyle w:val="OdstavecSmlouvy"/>
        <w:numPr>
          <w:ilvl w:val="0"/>
          <w:numId w:val="11"/>
        </w:numPr>
        <w:tabs>
          <w:tab w:val="clear" w:pos="360"/>
          <w:tab w:val="clear" w:pos="426"/>
          <w:tab w:val="clear" w:pos="1701"/>
        </w:tabs>
        <w:spacing w:line="276" w:lineRule="auto"/>
        <w:ind w:left="284" w:hanging="284"/>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rsidR="00066D69" w:rsidRPr="00BC4687" w:rsidRDefault="004B316C" w:rsidP="00651800">
      <w:pPr>
        <w:pStyle w:val="Zkladntext"/>
        <w:numPr>
          <w:ilvl w:val="0"/>
          <w:numId w:val="56"/>
        </w:numPr>
        <w:tabs>
          <w:tab w:val="clear" w:pos="1418"/>
        </w:tabs>
        <w:spacing w:before="0" w:after="120" w:line="276" w:lineRule="auto"/>
        <w:ind w:left="284" w:hanging="284"/>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w:t>
      </w:r>
      <w:r w:rsidR="00231678">
        <w:rPr>
          <w:rFonts w:ascii="Tahoma" w:hAnsi="Tahoma" w:cs="Tahoma"/>
          <w:b/>
          <w:sz w:val="20"/>
          <w:szCs w:val="20"/>
        </w:rPr>
        <w:t>Dodávky odběrového systému pro SN v Opavě</w:t>
      </w:r>
      <w:r w:rsidR="00567718">
        <w:rPr>
          <w:rFonts w:ascii="Tahoma" w:hAnsi="Tahoma" w:cs="Tahoma"/>
          <w:b/>
          <w:sz w:val="20"/>
          <w:szCs w:val="20"/>
        </w:rPr>
        <w:t>“</w:t>
      </w:r>
      <w:r w:rsidRPr="00BC4687">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rsidR="003F4A32" w:rsidRPr="00BC4687" w:rsidRDefault="004B316C" w:rsidP="00651800">
      <w:pPr>
        <w:widowControl w:val="0"/>
        <w:numPr>
          <w:ilvl w:val="0"/>
          <w:numId w:val="56"/>
        </w:numPr>
        <w:suppressAutoHyphens/>
        <w:spacing w:after="120" w:line="276" w:lineRule="auto"/>
        <w:ind w:left="284" w:hanging="284"/>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w:t>
      </w:r>
      <w:r w:rsidR="00231678">
        <w:rPr>
          <w:rFonts w:ascii="Tahoma" w:eastAsia="SimSun" w:hAnsi="Tahoma" w:cs="Tahoma"/>
          <w:kern w:val="2"/>
          <w:sz w:val="20"/>
          <w:szCs w:val="20"/>
          <w:lang w:eastAsia="hi-IN" w:bidi="hi-IN"/>
        </w:rPr>
        <w:t>kompletních opakovaných dodávek</w:t>
      </w:r>
      <w:r w:rsidRPr="00BC4687">
        <w:rPr>
          <w:rFonts w:ascii="Tahoma" w:eastAsia="SimSun" w:hAnsi="Tahoma" w:cs="Tahoma"/>
          <w:kern w:val="2"/>
          <w:sz w:val="20"/>
          <w:szCs w:val="20"/>
          <w:lang w:eastAsia="hi-IN" w:bidi="hi-IN"/>
        </w:rPr>
        <w:t>, podrobně specifikovan</w:t>
      </w:r>
      <w:r w:rsidR="00567718">
        <w:rPr>
          <w:rFonts w:ascii="Tahoma" w:eastAsia="SimSun" w:hAnsi="Tahoma" w:cs="Tahoma"/>
          <w:kern w:val="2"/>
          <w:sz w:val="20"/>
          <w:szCs w:val="20"/>
          <w:lang w:eastAsia="hi-IN" w:bidi="hi-IN"/>
        </w:rPr>
        <w:t>ého</w:t>
      </w:r>
      <w:r w:rsidRPr="00BC4687">
        <w:rPr>
          <w:rFonts w:ascii="Tahoma" w:eastAsia="SimSun" w:hAnsi="Tahoma" w:cs="Tahoma"/>
          <w:kern w:val="2"/>
          <w:sz w:val="20"/>
          <w:szCs w:val="20"/>
          <w:lang w:eastAsia="hi-IN" w:bidi="hi-IN"/>
        </w:rPr>
        <w:t xml:space="preserve"> a oceněn</w:t>
      </w:r>
      <w:r w:rsidR="00567718">
        <w:rPr>
          <w:rFonts w:ascii="Tahoma" w:eastAsia="SimSun" w:hAnsi="Tahoma" w:cs="Tahoma"/>
          <w:kern w:val="2"/>
          <w:sz w:val="20"/>
          <w:szCs w:val="20"/>
          <w:lang w:eastAsia="hi-IN" w:bidi="hi-IN"/>
        </w:rPr>
        <w:t>ého</w:t>
      </w:r>
      <w:r w:rsidRPr="00BC4687">
        <w:rPr>
          <w:rFonts w:ascii="Tahoma" w:eastAsia="SimSun" w:hAnsi="Tahoma" w:cs="Tahoma"/>
          <w:kern w:val="2"/>
          <w:sz w:val="20"/>
          <w:szCs w:val="20"/>
          <w:lang w:eastAsia="hi-IN" w:bidi="hi-IN"/>
        </w:rPr>
        <w:t xml:space="preserve"> v </w:t>
      </w:r>
      <w:r w:rsidR="00945E10" w:rsidRPr="00BC4687">
        <w:rPr>
          <w:rFonts w:ascii="Tahoma" w:eastAsia="SimSun" w:hAnsi="Tahoma" w:cs="Tahoma"/>
          <w:kern w:val="2"/>
          <w:sz w:val="20"/>
          <w:szCs w:val="20"/>
          <w:lang w:eastAsia="hi-IN" w:bidi="hi-IN"/>
        </w:rPr>
        <w:t>P</w:t>
      </w:r>
      <w:r w:rsidRPr="00BC4687">
        <w:rPr>
          <w:rFonts w:ascii="Tahoma" w:eastAsia="SimSun" w:hAnsi="Tahoma" w:cs="Tahoma"/>
          <w:kern w:val="2"/>
          <w:sz w:val="20"/>
          <w:szCs w:val="20"/>
          <w:lang w:eastAsia="hi-IN" w:bidi="hi-IN"/>
        </w:rPr>
        <w:t xml:space="preserve">říloze č. </w:t>
      </w:r>
      <w:r w:rsidR="00567718">
        <w:rPr>
          <w:rFonts w:ascii="Tahoma" w:eastAsia="SimSun" w:hAnsi="Tahoma" w:cs="Tahoma"/>
          <w:kern w:val="2"/>
          <w:sz w:val="20"/>
          <w:szCs w:val="20"/>
          <w:lang w:eastAsia="hi-IN" w:bidi="hi-IN"/>
        </w:rPr>
        <w:t>6</w:t>
      </w:r>
      <w:r w:rsidR="00945E10" w:rsidRPr="00BC4687">
        <w:rPr>
          <w:rFonts w:ascii="Tahoma" w:eastAsia="SimSun" w:hAnsi="Tahoma" w:cs="Tahoma"/>
          <w:kern w:val="2"/>
          <w:sz w:val="20"/>
          <w:szCs w:val="20"/>
          <w:lang w:eastAsia="hi-IN" w:bidi="hi-IN"/>
        </w:rPr>
        <w:t xml:space="preserve"> zadávací dokumentace </w:t>
      </w:r>
      <w:r w:rsidR="00567718">
        <w:rPr>
          <w:rFonts w:ascii="Tahoma" w:eastAsia="SimSun" w:hAnsi="Tahoma" w:cs="Tahoma"/>
          <w:kern w:val="2"/>
          <w:sz w:val="20"/>
          <w:szCs w:val="20"/>
          <w:lang w:eastAsia="hi-IN" w:bidi="hi-IN"/>
        </w:rPr>
        <w:t>(</w:t>
      </w:r>
      <w:r w:rsidR="00945E10" w:rsidRPr="00BC4687">
        <w:rPr>
          <w:rFonts w:ascii="Tahoma" w:eastAsia="SimSun" w:hAnsi="Tahoma" w:cs="Tahoma"/>
          <w:kern w:val="2"/>
          <w:sz w:val="20"/>
          <w:szCs w:val="20"/>
          <w:lang w:eastAsia="hi-IN" w:bidi="hi-IN"/>
        </w:rPr>
        <w:t>která bude tvořit Přílohu č. 1</w:t>
      </w:r>
      <w:r w:rsidR="00567718">
        <w:rPr>
          <w:rFonts w:ascii="Tahoma" w:eastAsia="SimSun" w:hAnsi="Tahoma" w:cs="Tahoma"/>
          <w:kern w:val="2"/>
          <w:sz w:val="20"/>
          <w:szCs w:val="20"/>
          <w:lang w:eastAsia="hi-IN" w:bidi="hi-IN"/>
        </w:rPr>
        <w:t xml:space="preserve"> kupní</w:t>
      </w:r>
      <w:r w:rsidR="00097BF4" w:rsidRPr="00BC4687">
        <w:rPr>
          <w:rFonts w:ascii="Tahoma" w:eastAsia="SimSun" w:hAnsi="Tahoma" w:cs="Tahoma"/>
          <w:kern w:val="2"/>
          <w:sz w:val="20"/>
          <w:szCs w:val="20"/>
          <w:lang w:eastAsia="hi-IN" w:bidi="hi-IN"/>
        </w:rPr>
        <w:t xml:space="preserve"> smlouvy</w:t>
      </w:r>
      <w:r w:rsidR="00567718">
        <w:rPr>
          <w:rFonts w:ascii="Tahoma" w:eastAsia="SimSun" w:hAnsi="Tahoma" w:cs="Tahoma"/>
          <w:kern w:val="2"/>
          <w:sz w:val="20"/>
          <w:szCs w:val="20"/>
          <w:lang w:eastAsia="hi-IN" w:bidi="hi-IN"/>
        </w:rPr>
        <w:t>)</w:t>
      </w:r>
      <w:r w:rsidRPr="00BC4687">
        <w:rPr>
          <w:rFonts w:ascii="Tahoma" w:eastAsia="SimSun" w:hAnsi="Tahoma" w:cs="Tahoma"/>
          <w:kern w:val="2"/>
          <w:sz w:val="20"/>
          <w:szCs w:val="20"/>
          <w:lang w:eastAsia="hi-IN" w:bidi="hi-IN"/>
        </w:rPr>
        <w:t xml:space="preserve"> na dobu jednoho roku.</w:t>
      </w:r>
    </w:p>
    <w:p w:rsidR="004B316C" w:rsidRPr="00BC4687" w:rsidRDefault="004B316C" w:rsidP="00651800">
      <w:pPr>
        <w:pStyle w:val="Zkladntext"/>
        <w:numPr>
          <w:ilvl w:val="0"/>
          <w:numId w:val="56"/>
        </w:numPr>
        <w:tabs>
          <w:tab w:val="clear" w:pos="1418"/>
        </w:tabs>
        <w:spacing w:before="0" w:after="120" w:line="276" w:lineRule="auto"/>
        <w:ind w:left="284" w:hanging="284"/>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rsidR="000241C5" w:rsidRPr="00BC4687" w:rsidRDefault="004B316C" w:rsidP="00651800">
      <w:pPr>
        <w:pStyle w:val="Zkladntext"/>
        <w:numPr>
          <w:ilvl w:val="0"/>
          <w:numId w:val="56"/>
        </w:numPr>
        <w:tabs>
          <w:tab w:val="clear" w:pos="1418"/>
        </w:tabs>
        <w:spacing w:before="0" w:after="120" w:line="276" w:lineRule="auto"/>
        <w:ind w:left="284" w:hanging="284"/>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 příloze této smlouvy č. 1.</w:t>
      </w:r>
    </w:p>
    <w:p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rsidR="00E956C1" w:rsidRPr="00BC4687" w:rsidRDefault="00E956C1" w:rsidP="00651800">
      <w:pPr>
        <w:widowControl w:val="0"/>
        <w:numPr>
          <w:ilvl w:val="0"/>
          <w:numId w:val="57"/>
        </w:numPr>
        <w:tabs>
          <w:tab w:val="clear" w:pos="283"/>
        </w:tabs>
        <w:suppressAutoHyphens/>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lastRenderedPageBreak/>
        <w:t>V</w:t>
      </w:r>
      <w:r w:rsidR="00066D69"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35051B" w:rsidRPr="00BC4687">
        <w:rPr>
          <w:rFonts w:ascii="Tahoma" w:hAnsi="Tahoma" w:cs="Tahoma"/>
          <w:caps w:val="0"/>
          <w:sz w:val="20"/>
          <w:szCs w:val="22"/>
        </w:rPr>
        <w:t>,</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a způsob dodání</w:t>
      </w:r>
    </w:p>
    <w:p w:rsidR="00A9686A" w:rsidRPr="00A9686A" w:rsidRDefault="001C47A5" w:rsidP="00651800">
      <w:pPr>
        <w:pStyle w:val="Odstavecseseznamem"/>
        <w:spacing w:after="120" w:line="276" w:lineRule="auto"/>
        <w:ind w:left="284" w:hanging="284"/>
        <w:contextualSpacing w:val="0"/>
        <w:jc w:val="both"/>
        <w:rPr>
          <w:rFonts w:ascii="Tahoma" w:hAnsi="Tahoma" w:cs="Tahoma"/>
          <w:sz w:val="20"/>
          <w:szCs w:val="20"/>
        </w:rPr>
      </w:pPr>
      <w:r w:rsidRPr="00A9686A">
        <w:rPr>
          <w:rFonts w:ascii="Tahoma" w:hAnsi="Tahoma" w:cs="Tahoma"/>
          <w:sz w:val="20"/>
          <w:szCs w:val="20"/>
        </w:rPr>
        <w:t>1.</w:t>
      </w:r>
      <w:r w:rsidR="00A9686A">
        <w:rPr>
          <w:rFonts w:ascii="Tahoma" w:hAnsi="Tahoma" w:cs="Tahoma"/>
          <w:sz w:val="20"/>
          <w:szCs w:val="20"/>
        </w:rPr>
        <w:tab/>
      </w:r>
      <w:r w:rsidRPr="00A9686A">
        <w:rPr>
          <w:rFonts w:ascii="Tahoma" w:hAnsi="Tahoma" w:cs="Tahoma"/>
          <w:sz w:val="20"/>
          <w:szCs w:val="20"/>
        </w:rPr>
        <w:t xml:space="preserve">Dodávky zboží budou probíhat v režimu konsignace. </w:t>
      </w:r>
    </w:p>
    <w:p w:rsidR="00C45030" w:rsidRPr="00A9686A" w:rsidRDefault="00A9686A" w:rsidP="00651800">
      <w:pPr>
        <w:pStyle w:val="Odstavecseseznamem"/>
        <w:spacing w:after="120" w:line="276" w:lineRule="auto"/>
        <w:ind w:left="284" w:hanging="284"/>
        <w:contextualSpacing w:val="0"/>
        <w:jc w:val="both"/>
        <w:rPr>
          <w:rFonts w:ascii="Tahoma" w:hAnsi="Tahoma" w:cs="Tahoma"/>
          <w:sz w:val="20"/>
          <w:szCs w:val="20"/>
        </w:rPr>
      </w:pPr>
      <w:r>
        <w:rPr>
          <w:rFonts w:ascii="Tahoma" w:hAnsi="Tahoma" w:cs="Tahoma"/>
          <w:sz w:val="20"/>
          <w:szCs w:val="20"/>
        </w:rPr>
        <w:t>2.</w:t>
      </w:r>
      <w:r>
        <w:rPr>
          <w:rFonts w:ascii="Tahoma" w:hAnsi="Tahoma" w:cs="Tahoma"/>
          <w:sz w:val="20"/>
          <w:szCs w:val="20"/>
        </w:rPr>
        <w:tab/>
        <w:t xml:space="preserve">K </w:t>
      </w:r>
      <w:r w:rsidR="00C45030" w:rsidRPr="00A9686A">
        <w:rPr>
          <w:rFonts w:ascii="Tahoma" w:hAnsi="Tahoma" w:cs="Tahoma"/>
          <w:sz w:val="20"/>
          <w:szCs w:val="20"/>
        </w:rPr>
        <w:t>zajištění plynulosti dodávek je prodávající povinen udržovat v konsignačním skladu dle předchozího odstavce konsignační zásobu. Konsignační zásoba je zásoba všech položek zboží, která je udržována ve stanoveném minimálním rozsahu, jenž umožňuje plynulé zásobování jednotlivých oddělení zadavatele.</w:t>
      </w:r>
    </w:p>
    <w:p w:rsidR="00C45030" w:rsidRPr="00A9686A" w:rsidRDefault="00C45030" w:rsidP="00651800">
      <w:pPr>
        <w:pStyle w:val="Odstavecseseznamem"/>
        <w:spacing w:after="120" w:line="276" w:lineRule="auto"/>
        <w:ind w:left="284" w:hanging="284"/>
        <w:contextualSpacing w:val="0"/>
        <w:jc w:val="both"/>
        <w:rPr>
          <w:rFonts w:ascii="Tahoma" w:hAnsi="Tahoma" w:cs="Tahoma"/>
          <w:sz w:val="20"/>
          <w:szCs w:val="20"/>
        </w:rPr>
      </w:pPr>
      <w:r w:rsidRPr="00A9686A">
        <w:rPr>
          <w:rFonts w:ascii="Tahoma" w:hAnsi="Tahoma" w:cs="Tahoma"/>
          <w:sz w:val="20"/>
          <w:szCs w:val="20"/>
        </w:rPr>
        <w:t>3.</w:t>
      </w:r>
      <w:r w:rsidR="00A9686A">
        <w:rPr>
          <w:rFonts w:ascii="Tahoma" w:hAnsi="Tahoma" w:cs="Tahoma"/>
          <w:sz w:val="20"/>
          <w:szCs w:val="20"/>
        </w:rPr>
        <w:tab/>
      </w:r>
      <w:r w:rsidRPr="00A9686A">
        <w:rPr>
          <w:rFonts w:ascii="Tahoma" w:hAnsi="Tahoma" w:cs="Tahoma"/>
          <w:sz w:val="20"/>
          <w:szCs w:val="20"/>
        </w:rPr>
        <w:t xml:space="preserve">Konsignační zásoba je umístěna v konsignačním skladu a zůstává ve vlastnictví prodávajícího. Péči o zboží tvořící konsignační zásobu provádí </w:t>
      </w:r>
      <w:proofErr w:type="spellStart"/>
      <w:r w:rsidRPr="00A9686A">
        <w:rPr>
          <w:rFonts w:ascii="Tahoma" w:hAnsi="Tahoma" w:cs="Tahoma"/>
          <w:sz w:val="20"/>
          <w:szCs w:val="20"/>
        </w:rPr>
        <w:t>Logista</w:t>
      </w:r>
      <w:proofErr w:type="spellEnd"/>
      <w:r w:rsidR="004C3D0F" w:rsidRPr="00A9686A">
        <w:rPr>
          <w:rFonts w:ascii="Tahoma" w:hAnsi="Tahoma" w:cs="Tahoma"/>
          <w:sz w:val="20"/>
          <w:szCs w:val="20"/>
        </w:rPr>
        <w:t>, který je zavázán nakládat s tímto zbožím s </w:t>
      </w:r>
      <w:proofErr w:type="gramStart"/>
      <w:r w:rsidR="004C3D0F" w:rsidRPr="00A9686A">
        <w:rPr>
          <w:rFonts w:ascii="Tahoma" w:hAnsi="Tahoma" w:cs="Tahoma"/>
          <w:sz w:val="20"/>
          <w:szCs w:val="20"/>
        </w:rPr>
        <w:t>odbornou</w:t>
      </w:r>
      <w:proofErr w:type="gramEnd"/>
      <w:r w:rsidR="004C3D0F" w:rsidRPr="00A9686A">
        <w:rPr>
          <w:rFonts w:ascii="Tahoma" w:hAnsi="Tahoma" w:cs="Tahoma"/>
          <w:sz w:val="20"/>
          <w:szCs w:val="20"/>
        </w:rPr>
        <w:t xml:space="preserve"> péči v souladu s požadavky správné distribuční praxe. </w:t>
      </w:r>
      <w:proofErr w:type="spellStart"/>
      <w:r w:rsidR="004C3D0F" w:rsidRPr="00A9686A">
        <w:rPr>
          <w:rFonts w:ascii="Tahoma" w:hAnsi="Tahoma" w:cs="Tahoma"/>
          <w:sz w:val="20"/>
          <w:szCs w:val="20"/>
        </w:rPr>
        <w:t>Logista</w:t>
      </w:r>
      <w:proofErr w:type="spellEnd"/>
      <w:r w:rsidR="004C3D0F" w:rsidRPr="00A9686A">
        <w:rPr>
          <w:rFonts w:ascii="Tahoma" w:hAnsi="Tahoma" w:cs="Tahoma"/>
          <w:sz w:val="20"/>
          <w:szCs w:val="20"/>
        </w:rPr>
        <w:t xml:space="preserve"> rovněž zajišťuje pojištění zboží tvořící konsignační zásobu.</w:t>
      </w:r>
    </w:p>
    <w:p w:rsidR="004C3D0F" w:rsidRPr="00A9686A" w:rsidRDefault="00A9686A" w:rsidP="00651800">
      <w:pPr>
        <w:pStyle w:val="Odstavecseseznamem"/>
        <w:spacing w:after="120" w:line="276" w:lineRule="auto"/>
        <w:ind w:left="284" w:hanging="284"/>
        <w:contextualSpacing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r>
      <w:proofErr w:type="spellStart"/>
      <w:r w:rsidR="004C3D0F" w:rsidRPr="00A9686A">
        <w:rPr>
          <w:rFonts w:ascii="Tahoma" w:hAnsi="Tahoma" w:cs="Tahoma"/>
          <w:sz w:val="20"/>
          <w:szCs w:val="20"/>
        </w:rPr>
        <w:t>Logista</w:t>
      </w:r>
      <w:proofErr w:type="spellEnd"/>
      <w:r w:rsidR="004C3D0F" w:rsidRPr="00A9686A">
        <w:rPr>
          <w:rFonts w:ascii="Tahoma" w:hAnsi="Tahoma" w:cs="Tahoma"/>
          <w:sz w:val="20"/>
          <w:szCs w:val="20"/>
        </w:rPr>
        <w:t xml:space="preserve"> rovněž zajišťuje sladování exspiračních lhůt u zboží v konsignační zásobě, zajišťuje expedici zboží z konsignační zásoby tak, aby předešel jeho exspiraci, informuje prodávajícího o blížící se exspiraci zboží a navrhuje opatření k odvrácení exspirace zboží.</w:t>
      </w:r>
    </w:p>
    <w:p w:rsidR="004C3D0F" w:rsidRPr="00A9686A" w:rsidRDefault="004C3D0F" w:rsidP="00651800">
      <w:pPr>
        <w:pStyle w:val="Odstavecseseznamem"/>
        <w:spacing w:after="120" w:line="276" w:lineRule="auto"/>
        <w:ind w:left="284" w:hanging="284"/>
        <w:contextualSpacing w:val="0"/>
        <w:jc w:val="both"/>
        <w:rPr>
          <w:rFonts w:ascii="Tahoma" w:hAnsi="Tahoma" w:cs="Tahoma"/>
          <w:sz w:val="20"/>
          <w:szCs w:val="20"/>
        </w:rPr>
      </w:pPr>
      <w:r w:rsidRPr="00A9686A">
        <w:rPr>
          <w:rFonts w:ascii="Tahoma" w:hAnsi="Tahoma" w:cs="Tahoma"/>
          <w:sz w:val="20"/>
          <w:szCs w:val="20"/>
        </w:rPr>
        <w:t>5.</w:t>
      </w:r>
      <w:r w:rsidR="00A9686A">
        <w:rPr>
          <w:rFonts w:ascii="Tahoma" w:hAnsi="Tahoma" w:cs="Tahoma"/>
          <w:sz w:val="20"/>
          <w:szCs w:val="20"/>
        </w:rPr>
        <w:tab/>
      </w:r>
      <w:r w:rsidRPr="00A9686A">
        <w:rPr>
          <w:rFonts w:ascii="Tahoma" w:hAnsi="Tahoma" w:cs="Tahoma"/>
          <w:sz w:val="20"/>
          <w:szCs w:val="20"/>
        </w:rPr>
        <w:t>Svou povinnost odevzdat zboží kupujícímu splní prodávající dodáním zboží do konsignačního skladu a jeho předáním do d</w:t>
      </w:r>
      <w:r w:rsidR="0035051B" w:rsidRPr="00A9686A">
        <w:rPr>
          <w:rFonts w:ascii="Tahoma" w:hAnsi="Tahoma" w:cs="Tahoma"/>
          <w:sz w:val="20"/>
          <w:szCs w:val="20"/>
        </w:rPr>
        <w:t>i</w:t>
      </w:r>
      <w:r w:rsidRPr="00A9686A">
        <w:rPr>
          <w:rFonts w:ascii="Tahoma" w:hAnsi="Tahoma" w:cs="Tahoma"/>
          <w:sz w:val="20"/>
          <w:szCs w:val="20"/>
        </w:rPr>
        <w:t xml:space="preserve">spozice </w:t>
      </w:r>
      <w:proofErr w:type="spellStart"/>
      <w:r w:rsidRPr="00A9686A">
        <w:rPr>
          <w:rFonts w:ascii="Tahoma" w:hAnsi="Tahoma" w:cs="Tahoma"/>
          <w:sz w:val="20"/>
          <w:szCs w:val="20"/>
        </w:rPr>
        <w:t>L</w:t>
      </w:r>
      <w:r w:rsidR="0035051B" w:rsidRPr="00A9686A">
        <w:rPr>
          <w:rFonts w:ascii="Tahoma" w:hAnsi="Tahoma" w:cs="Tahoma"/>
          <w:sz w:val="20"/>
          <w:szCs w:val="20"/>
        </w:rPr>
        <w:t>o</w:t>
      </w:r>
      <w:r w:rsidRPr="00A9686A">
        <w:rPr>
          <w:rFonts w:ascii="Tahoma" w:hAnsi="Tahoma" w:cs="Tahoma"/>
          <w:sz w:val="20"/>
          <w:szCs w:val="20"/>
        </w:rPr>
        <w:t>gisty</w:t>
      </w:r>
      <w:proofErr w:type="spellEnd"/>
      <w:r w:rsidRPr="00A9686A">
        <w:rPr>
          <w:rFonts w:ascii="Tahoma" w:hAnsi="Tahoma" w:cs="Tahoma"/>
          <w:sz w:val="20"/>
          <w:szCs w:val="20"/>
        </w:rPr>
        <w:t xml:space="preserve"> a dále pak udržováním stanovené výše konsignační zá</w:t>
      </w:r>
      <w:r w:rsidR="0035051B" w:rsidRPr="00A9686A">
        <w:rPr>
          <w:rFonts w:ascii="Tahoma" w:hAnsi="Tahoma" w:cs="Tahoma"/>
          <w:sz w:val="20"/>
          <w:szCs w:val="20"/>
        </w:rPr>
        <w:t>s</w:t>
      </w:r>
      <w:r w:rsidRPr="00A9686A">
        <w:rPr>
          <w:rFonts w:ascii="Tahoma" w:hAnsi="Tahoma" w:cs="Tahoma"/>
          <w:sz w:val="20"/>
          <w:szCs w:val="20"/>
        </w:rPr>
        <w:t xml:space="preserve">oby. Doplňování konsignační zásoby bude prodávající provádět na pokyn </w:t>
      </w:r>
      <w:proofErr w:type="spellStart"/>
      <w:r w:rsidRPr="00A9686A">
        <w:rPr>
          <w:rFonts w:ascii="Tahoma" w:hAnsi="Tahoma" w:cs="Tahoma"/>
          <w:sz w:val="20"/>
          <w:szCs w:val="20"/>
        </w:rPr>
        <w:t>Logisty</w:t>
      </w:r>
      <w:proofErr w:type="spellEnd"/>
      <w:r w:rsidRPr="00A9686A">
        <w:rPr>
          <w:rFonts w:ascii="Tahoma" w:hAnsi="Tahoma" w:cs="Tahoma"/>
          <w:sz w:val="20"/>
          <w:szCs w:val="20"/>
        </w:rPr>
        <w:t xml:space="preserve">, a to v místě konsignačního skladu v pracovní dny od 8.00 do 15.00 hodin. </w:t>
      </w:r>
    </w:p>
    <w:p w:rsidR="0035051B" w:rsidRPr="00A9686A" w:rsidRDefault="0035051B" w:rsidP="00651800">
      <w:pPr>
        <w:pStyle w:val="Odstavecseseznamem"/>
        <w:spacing w:after="120" w:line="276" w:lineRule="auto"/>
        <w:ind w:left="284" w:hanging="284"/>
        <w:contextualSpacing w:val="0"/>
        <w:jc w:val="both"/>
        <w:rPr>
          <w:rFonts w:ascii="Tahoma" w:hAnsi="Tahoma" w:cs="Tahoma"/>
          <w:sz w:val="20"/>
          <w:szCs w:val="20"/>
        </w:rPr>
      </w:pPr>
      <w:r w:rsidRPr="00A9686A">
        <w:rPr>
          <w:rFonts w:ascii="Tahoma" w:hAnsi="Tahoma" w:cs="Tahoma"/>
          <w:sz w:val="20"/>
          <w:szCs w:val="20"/>
        </w:rPr>
        <w:t>6.</w:t>
      </w:r>
      <w:r w:rsidR="00A9686A">
        <w:rPr>
          <w:rFonts w:ascii="Tahoma" w:hAnsi="Tahoma" w:cs="Tahoma"/>
          <w:sz w:val="20"/>
          <w:szCs w:val="20"/>
        </w:rPr>
        <w:tab/>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provede při přejímce zboží do konsignačního skladu jeho prohlídku. Obsahem prohlídky je kontrola transportního balení zboží a uvedené exspirace materiálu. Kontrolu provede </w:t>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podle dodacích dokladů. Zboží s nedostatečnou exspirační lhůtou, materiál s poškozeným obalem či materiál, který neodpovídá dokladům, nesmí </w:t>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do skladu přijmout. Odmítnutí převzetí zboží včetně důvodů vyznačí </w:t>
      </w:r>
      <w:proofErr w:type="spellStart"/>
      <w:r w:rsidRPr="00A9686A">
        <w:rPr>
          <w:rFonts w:ascii="Tahoma" w:hAnsi="Tahoma" w:cs="Tahoma"/>
          <w:sz w:val="20"/>
          <w:szCs w:val="20"/>
        </w:rPr>
        <w:t>Logista</w:t>
      </w:r>
      <w:proofErr w:type="spellEnd"/>
      <w:r w:rsidRPr="00A9686A">
        <w:rPr>
          <w:rFonts w:ascii="Tahoma" w:hAnsi="Tahoma" w:cs="Tahoma"/>
          <w:sz w:val="20"/>
          <w:szCs w:val="20"/>
        </w:rPr>
        <w:t xml:space="preserve"> na dodacích dokladech a bezodkladně o n</w:t>
      </w:r>
      <w:r w:rsidR="00B14801" w:rsidRPr="00A9686A">
        <w:rPr>
          <w:rFonts w:ascii="Tahoma" w:hAnsi="Tahoma" w:cs="Tahoma"/>
          <w:sz w:val="20"/>
          <w:szCs w:val="20"/>
        </w:rPr>
        <w:t>ě</w:t>
      </w:r>
      <w:r w:rsidRPr="00A9686A">
        <w:rPr>
          <w:rFonts w:ascii="Tahoma" w:hAnsi="Tahoma" w:cs="Tahoma"/>
          <w:sz w:val="20"/>
          <w:szCs w:val="20"/>
        </w:rPr>
        <w:t>m vyrozumí kupujícího.</w:t>
      </w:r>
    </w:p>
    <w:p w:rsidR="00B14801" w:rsidRPr="00BC4687" w:rsidRDefault="00B14801" w:rsidP="00651800">
      <w:pPr>
        <w:pStyle w:val="Odstavecseseznamem"/>
        <w:spacing w:after="120" w:line="276" w:lineRule="auto"/>
        <w:ind w:left="284" w:hanging="284"/>
        <w:contextualSpacing w:val="0"/>
        <w:jc w:val="both"/>
        <w:rPr>
          <w:rFonts w:ascii="Tahoma" w:hAnsi="Tahoma" w:cs="Tahoma"/>
          <w:sz w:val="20"/>
          <w:szCs w:val="20"/>
        </w:rPr>
      </w:pPr>
      <w:r w:rsidRPr="00A9686A">
        <w:rPr>
          <w:rFonts w:ascii="Tahoma" w:hAnsi="Tahoma" w:cs="Tahoma"/>
          <w:sz w:val="20"/>
          <w:szCs w:val="20"/>
        </w:rPr>
        <w:t>7.</w:t>
      </w:r>
      <w:r w:rsidR="00A9686A">
        <w:rPr>
          <w:rFonts w:ascii="Tahoma" w:hAnsi="Tahoma" w:cs="Tahoma"/>
          <w:sz w:val="20"/>
          <w:szCs w:val="20"/>
        </w:rPr>
        <w:tab/>
      </w:r>
      <w:r w:rsidRPr="00A9686A">
        <w:rPr>
          <w:rFonts w:ascii="Tahoma" w:hAnsi="Tahoma" w:cs="Tahoma"/>
          <w:sz w:val="20"/>
          <w:szCs w:val="20"/>
        </w:rPr>
        <w:t>Vlastní dodávky zboží a převod vlastnického práva k těmto dodávkám na kupujícího bud</w:t>
      </w:r>
      <w:r w:rsidR="00877895" w:rsidRPr="00A9686A">
        <w:rPr>
          <w:rFonts w:ascii="Tahoma" w:hAnsi="Tahoma" w:cs="Tahoma"/>
          <w:sz w:val="20"/>
          <w:szCs w:val="20"/>
        </w:rPr>
        <w:t>o</w:t>
      </w:r>
      <w:r w:rsidRPr="00A9686A">
        <w:rPr>
          <w:rFonts w:ascii="Tahoma" w:hAnsi="Tahoma" w:cs="Tahoma"/>
          <w:sz w:val="20"/>
          <w:szCs w:val="20"/>
        </w:rPr>
        <w:t xml:space="preserve">u prováděny prostřednictvím </w:t>
      </w:r>
      <w:proofErr w:type="spellStart"/>
      <w:r w:rsidRPr="00A9686A">
        <w:rPr>
          <w:rFonts w:ascii="Tahoma" w:hAnsi="Tahoma" w:cs="Tahoma"/>
          <w:sz w:val="20"/>
          <w:szCs w:val="20"/>
        </w:rPr>
        <w:t>Logisty</w:t>
      </w:r>
      <w:proofErr w:type="spellEnd"/>
      <w:r w:rsidRPr="00A9686A">
        <w:rPr>
          <w:rFonts w:ascii="Tahoma" w:hAnsi="Tahoma" w:cs="Tahoma"/>
          <w:sz w:val="20"/>
          <w:szCs w:val="20"/>
        </w:rPr>
        <w:t xml:space="preserve"> zbožím tvořícím konsignační zásobu</w:t>
      </w:r>
      <w:r w:rsidR="00877895" w:rsidRPr="00A9686A">
        <w:rPr>
          <w:rFonts w:ascii="Tahoma" w:hAnsi="Tahoma" w:cs="Tahoma"/>
          <w:sz w:val="20"/>
          <w:szCs w:val="20"/>
        </w:rPr>
        <w:t>.</w:t>
      </w:r>
      <w:r w:rsidRPr="00BC4687">
        <w:rPr>
          <w:rFonts w:ascii="Tahoma" w:hAnsi="Tahoma" w:cs="Tahoma"/>
          <w:sz w:val="20"/>
          <w:szCs w:val="20"/>
        </w:rPr>
        <w:t xml:space="preserve"> </w:t>
      </w:r>
    </w:p>
    <w:p w:rsidR="00A612B8" w:rsidRPr="00BC4687" w:rsidRDefault="00A612B8" w:rsidP="00D83C64">
      <w:pPr>
        <w:spacing w:after="120" w:line="276" w:lineRule="auto"/>
        <w:ind w:left="425"/>
        <w:jc w:val="both"/>
        <w:rPr>
          <w:rFonts w:ascii="Tahoma" w:hAnsi="Tahoma" w:cs="Tahoma"/>
          <w:sz w:val="20"/>
          <w:szCs w:val="20"/>
        </w:rPr>
      </w:pPr>
      <w:bookmarkStart w:id="3" w:name="_Hlk81507470"/>
      <w:bookmarkStart w:id="4" w:name="_Hlk81508034"/>
    </w:p>
    <w:bookmarkEnd w:id="3"/>
    <w:bookmarkEnd w:id="4"/>
    <w:p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rsidR="00BD6347" w:rsidRPr="00BC4687" w:rsidRDefault="00B14801" w:rsidP="001C22B9">
      <w:pPr>
        <w:numPr>
          <w:ilvl w:val="0"/>
          <w:numId w:val="5"/>
        </w:numPr>
        <w:tabs>
          <w:tab w:val="clear" w:pos="720"/>
          <w:tab w:val="num" w:pos="0"/>
        </w:tabs>
        <w:spacing w:after="120" w:line="276" w:lineRule="auto"/>
        <w:ind w:left="284" w:hanging="284"/>
        <w:jc w:val="both"/>
        <w:rPr>
          <w:rFonts w:ascii="Tahoma" w:hAnsi="Tahoma" w:cs="Tahoma"/>
          <w:sz w:val="20"/>
          <w:szCs w:val="22"/>
        </w:rPr>
      </w:pPr>
      <w:bookmarkStart w:id="5" w:name="_Hlk81507075"/>
      <w:r w:rsidRPr="00BC4687">
        <w:rPr>
          <w:rFonts w:ascii="Tahoma" w:hAnsi="Tahoma" w:cs="Tahoma"/>
          <w:sz w:val="20"/>
          <w:szCs w:val="22"/>
        </w:rPr>
        <w:t xml:space="preserve">Kupní cena bude prodávajícímu </w:t>
      </w:r>
      <w:r w:rsidR="00BD6347" w:rsidRPr="00BC4687">
        <w:rPr>
          <w:rFonts w:ascii="Tahoma" w:hAnsi="Tahoma" w:cs="Tahoma"/>
          <w:sz w:val="20"/>
          <w:szCs w:val="22"/>
        </w:rPr>
        <w:t xml:space="preserve">hrazena </w:t>
      </w:r>
      <w:r w:rsidRPr="00BC4687">
        <w:rPr>
          <w:rFonts w:ascii="Tahoma" w:hAnsi="Tahoma" w:cs="Tahoma"/>
          <w:sz w:val="20"/>
          <w:szCs w:val="22"/>
        </w:rPr>
        <w:t>průběžně</w:t>
      </w:r>
      <w:r w:rsidR="00BD6347" w:rsidRPr="00BC4687">
        <w:rPr>
          <w:rFonts w:ascii="Tahoma" w:hAnsi="Tahoma" w:cs="Tahoma"/>
          <w:sz w:val="20"/>
          <w:szCs w:val="22"/>
        </w:rPr>
        <w:t xml:space="preserve"> po dodání </w:t>
      </w:r>
      <w:r w:rsidRPr="00BC4687">
        <w:rPr>
          <w:rFonts w:ascii="Tahoma" w:hAnsi="Tahoma" w:cs="Tahoma"/>
          <w:sz w:val="20"/>
          <w:szCs w:val="22"/>
        </w:rPr>
        <w:t>zboží</w:t>
      </w:r>
      <w:r w:rsidR="00BD6347" w:rsidRPr="00BC4687">
        <w:rPr>
          <w:rFonts w:ascii="Tahoma" w:hAnsi="Tahoma" w:cs="Tahoma"/>
          <w:sz w:val="20"/>
          <w:szCs w:val="22"/>
        </w:rPr>
        <w:t xml:space="preserve"> kupujícímu</w:t>
      </w:r>
      <w:r w:rsidRPr="00BC4687">
        <w:rPr>
          <w:rFonts w:ascii="Tahoma" w:hAnsi="Tahoma" w:cs="Tahoma"/>
          <w:sz w:val="20"/>
          <w:szCs w:val="22"/>
        </w:rPr>
        <w:t xml:space="preserve"> na základě skutečného počtu odebraného množství.</w:t>
      </w:r>
      <w:r w:rsidR="00BD6347" w:rsidRPr="00BC4687">
        <w:rPr>
          <w:rFonts w:ascii="Tahoma" w:hAnsi="Tahoma" w:cs="Tahoma"/>
          <w:sz w:val="20"/>
          <w:szCs w:val="22"/>
        </w:rPr>
        <w:t xml:space="preserve"> </w:t>
      </w:r>
    </w:p>
    <w:p w:rsidR="00090870" w:rsidRPr="00BC4687" w:rsidRDefault="00767225" w:rsidP="001C22B9">
      <w:pPr>
        <w:numPr>
          <w:ilvl w:val="0"/>
          <w:numId w:val="5"/>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b/>
          <w:sz w:val="20"/>
          <w:szCs w:val="22"/>
        </w:rPr>
        <w:t>Je-li prodávající plátcem DPH</w:t>
      </w:r>
      <w:r w:rsidRPr="00BC4687">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956C2E">
        <w:rPr>
          <w:rFonts w:ascii="Tahoma" w:hAnsi="Tahoma" w:cs="Tahoma"/>
          <w:sz w:val="20"/>
          <w:szCs w:val="22"/>
        </w:rPr>
        <w:t>Není-li prodávající plátcem DPH</w:t>
      </w:r>
      <w:r w:rsidRPr="00BC4687">
        <w:rPr>
          <w:rFonts w:ascii="Tahoma" w:hAnsi="Tahoma" w:cs="Tahoma"/>
          <w:sz w:val="20"/>
          <w:szCs w:val="22"/>
        </w:rPr>
        <w:t xml:space="preserve">, podkladem pro úhradu kupní ceny bude faktura, která bude mít náležitosti </w:t>
      </w:r>
      <w:r w:rsidRPr="00BC4687">
        <w:rPr>
          <w:rFonts w:ascii="Tahoma" w:hAnsi="Tahoma" w:cs="Tahoma"/>
          <w:spacing w:val="-6"/>
          <w:sz w:val="20"/>
          <w:szCs w:val="22"/>
        </w:rPr>
        <w:t>účetního dokladu dle zákona č. 563/1991 Sb., o účetnictví,</w:t>
      </w:r>
      <w:r w:rsidRPr="00BC4687">
        <w:rPr>
          <w:rFonts w:ascii="Tahoma" w:hAnsi="Tahoma" w:cs="Tahoma"/>
          <w:sz w:val="20"/>
          <w:szCs w:val="22"/>
        </w:rPr>
        <w:t xml:space="preserve"> ve znění pozdějších předpisů a náležitosti stanovené dalšími obecně závaznými právními předpisy. </w:t>
      </w:r>
    </w:p>
    <w:p w:rsidR="00301CC9" w:rsidRPr="00903FC5" w:rsidRDefault="00903FC5" w:rsidP="00903FC5">
      <w:pPr>
        <w:spacing w:after="120" w:line="276" w:lineRule="auto"/>
        <w:ind w:left="284"/>
        <w:jc w:val="both"/>
        <w:rPr>
          <w:rFonts w:ascii="Tahoma" w:hAnsi="Tahoma" w:cs="Tahoma"/>
          <w:sz w:val="20"/>
          <w:szCs w:val="22"/>
        </w:rPr>
      </w:pPr>
      <w:r>
        <w:rPr>
          <w:rFonts w:ascii="Tahoma" w:hAnsi="Tahoma" w:cs="Tahoma"/>
          <w:sz w:val="20"/>
          <w:szCs w:val="22"/>
        </w:rPr>
        <w:t xml:space="preserve">Faktura musí dále obsahovat </w:t>
      </w:r>
      <w:r w:rsidR="00301CC9" w:rsidRPr="00BC4687">
        <w:rPr>
          <w:rFonts w:ascii="Tahoma" w:hAnsi="Tahoma" w:cs="Tahoma"/>
          <w:sz w:val="20"/>
          <w:szCs w:val="20"/>
        </w:rPr>
        <w:t xml:space="preserve">číslo veřejné zakázky (tj. </w:t>
      </w:r>
      <w:r w:rsidR="00301CC9" w:rsidRPr="00BC4687">
        <w:rPr>
          <w:rFonts w:ascii="Tahoma" w:hAnsi="Tahoma" w:cs="Tahoma"/>
          <w:b/>
          <w:sz w:val="20"/>
          <w:szCs w:val="20"/>
        </w:rPr>
        <w:t>P23V00000</w:t>
      </w:r>
      <w:r w:rsidR="00231678">
        <w:rPr>
          <w:rFonts w:ascii="Tahoma" w:hAnsi="Tahoma" w:cs="Tahoma"/>
          <w:b/>
          <w:sz w:val="20"/>
          <w:szCs w:val="20"/>
        </w:rPr>
        <w:t>1</w:t>
      </w:r>
      <w:r>
        <w:rPr>
          <w:rFonts w:ascii="Tahoma" w:hAnsi="Tahoma" w:cs="Tahoma"/>
          <w:b/>
          <w:sz w:val="20"/>
          <w:szCs w:val="20"/>
        </w:rPr>
        <w:t>5</w:t>
      </w:r>
      <w:r w:rsidR="00231678">
        <w:rPr>
          <w:rFonts w:ascii="Tahoma" w:hAnsi="Tahoma" w:cs="Tahoma"/>
          <w:b/>
          <w:sz w:val="20"/>
          <w:szCs w:val="20"/>
        </w:rPr>
        <w:t>2</w:t>
      </w:r>
      <w:r w:rsidR="00301CC9" w:rsidRPr="00BC4687">
        <w:rPr>
          <w:rFonts w:ascii="Tahoma" w:hAnsi="Tahoma" w:cs="Tahoma"/>
          <w:sz w:val="20"/>
          <w:szCs w:val="20"/>
        </w:rPr>
        <w:t>)</w:t>
      </w:r>
    </w:p>
    <w:p w:rsidR="00767225" w:rsidRPr="00BC4687" w:rsidRDefault="00767225" w:rsidP="001C22B9">
      <w:pPr>
        <w:numPr>
          <w:ilvl w:val="0"/>
          <w:numId w:val="5"/>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Lhůta splatnosti faktury činí </w:t>
      </w:r>
      <w:r w:rsidRPr="00BC4687">
        <w:rPr>
          <w:rFonts w:ascii="Tahoma" w:hAnsi="Tahoma" w:cs="Tahoma"/>
          <w:b/>
          <w:sz w:val="20"/>
          <w:szCs w:val="22"/>
        </w:rPr>
        <w:t xml:space="preserve">30 </w:t>
      </w:r>
      <w:r w:rsidRPr="00BC4687">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BC4687">
        <w:rPr>
          <w:rFonts w:ascii="Tahoma" w:hAnsi="Tahoma" w:cs="Tahoma"/>
          <w:sz w:val="20"/>
          <w:szCs w:val="22"/>
        </w:rPr>
        <w:t xml:space="preserve"> </w:t>
      </w:r>
      <w:r w:rsidR="00780C19" w:rsidRPr="00BC4687">
        <w:rPr>
          <w:rFonts w:ascii="Tahoma" w:hAnsi="Tahoma" w:cs="Tahoma"/>
          <w:sz w:val="20"/>
          <w:szCs w:val="20"/>
        </w:rPr>
        <w:t>nebo mailem na adresu</w:t>
      </w:r>
      <w:r w:rsidR="00780C19" w:rsidRPr="00BC4687">
        <w:rPr>
          <w:rFonts w:ascii="Tahoma" w:hAnsi="Tahoma" w:cs="Tahoma"/>
          <w:sz w:val="22"/>
          <w:szCs w:val="22"/>
        </w:rPr>
        <w:t xml:space="preserve"> </w:t>
      </w:r>
      <w:hyperlink r:id="rId9" w:history="1">
        <w:r w:rsidR="001B3909" w:rsidRPr="00BC4687">
          <w:rPr>
            <w:rStyle w:val="Hypertextovodkaz"/>
            <w:rFonts w:ascii="Tahoma" w:hAnsi="Tahoma" w:cs="Tahoma"/>
            <w:sz w:val="20"/>
            <w:szCs w:val="20"/>
          </w:rPr>
          <w:t>fin.uct@snopava.cz</w:t>
        </w:r>
      </w:hyperlink>
      <w:r w:rsidR="00FB4B32" w:rsidRPr="00BC4687">
        <w:rPr>
          <w:rStyle w:val="Hypertextovodkaz"/>
          <w:rFonts w:ascii="Tahoma" w:hAnsi="Tahoma" w:cs="Tahoma"/>
          <w:sz w:val="20"/>
          <w:szCs w:val="20"/>
        </w:rPr>
        <w:t>.</w:t>
      </w:r>
    </w:p>
    <w:p w:rsidR="00767225" w:rsidRPr="00BC4687" w:rsidRDefault="00767225" w:rsidP="001C22B9">
      <w:pPr>
        <w:numPr>
          <w:ilvl w:val="0"/>
          <w:numId w:val="5"/>
        </w:numPr>
        <w:tabs>
          <w:tab w:val="clear" w:pos="720"/>
          <w:tab w:val="num" w:pos="360"/>
        </w:tabs>
        <w:spacing w:after="120" w:line="276" w:lineRule="auto"/>
        <w:ind w:left="284" w:hanging="284"/>
        <w:jc w:val="both"/>
        <w:rPr>
          <w:rFonts w:ascii="Tahoma" w:hAnsi="Tahoma" w:cs="Tahoma"/>
          <w:sz w:val="20"/>
          <w:szCs w:val="22"/>
        </w:rPr>
      </w:pPr>
      <w:r w:rsidRPr="00BC4687">
        <w:rPr>
          <w:rFonts w:ascii="Tahoma" w:hAnsi="Tahoma" w:cs="Tahoma"/>
          <w:sz w:val="20"/>
          <w:szCs w:val="22"/>
        </w:rPr>
        <w:t>Povinnost zaplatit kupní cenu je splněna dnem odepsání příslušné částky z účtu kupujícího.</w:t>
      </w:r>
    </w:p>
    <w:p w:rsidR="00767225" w:rsidRPr="00BC4687" w:rsidRDefault="00767225" w:rsidP="001C22B9">
      <w:pPr>
        <w:numPr>
          <w:ilvl w:val="0"/>
          <w:numId w:val="5"/>
        </w:numPr>
        <w:tabs>
          <w:tab w:val="clear" w:pos="720"/>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Nebude</w:t>
      </w:r>
      <w:r w:rsidRPr="00BC4687">
        <w:rPr>
          <w:rFonts w:ascii="Tahoma" w:hAnsi="Tahoma" w:cs="Tahoma"/>
          <w:sz w:val="20"/>
          <w:szCs w:val="22"/>
        </w:rPr>
        <w:noBreakHyphen/>
        <w:t>li faktura obsahovat některou povinnou nebo dohodnutou náležitost nebo bude</w:t>
      </w:r>
      <w:r w:rsidRPr="00BC4687">
        <w:rPr>
          <w:rFonts w:ascii="Tahoma" w:hAnsi="Tahoma" w:cs="Tahoma"/>
          <w:sz w:val="20"/>
          <w:szCs w:val="22"/>
        </w:rPr>
        <w:noBreakHyphen/>
        <w:t xml:space="preserve">li chybně vyúčtována cena nebo DPH, je kupující oprávněn fakturu před uplynutím lhůty splatnosti vrátit </w:t>
      </w:r>
      <w:r w:rsidRPr="00BC4687">
        <w:rPr>
          <w:rFonts w:ascii="Tahoma" w:hAnsi="Tahoma" w:cs="Tahoma"/>
          <w:sz w:val="20"/>
          <w:szCs w:val="22"/>
        </w:rPr>
        <w:lastRenderedPageBreak/>
        <w:t xml:space="preserve">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BC4687">
        <w:rPr>
          <w:rFonts w:ascii="Tahoma" w:hAnsi="Tahoma" w:cs="Tahoma"/>
          <w:sz w:val="20"/>
          <w:szCs w:val="22"/>
        </w:rPr>
        <w:t>opravené</w:t>
      </w:r>
      <w:r w:rsidRPr="00BC4687">
        <w:rPr>
          <w:rFonts w:ascii="Tahoma" w:hAnsi="Tahoma" w:cs="Tahoma"/>
          <w:sz w:val="20"/>
          <w:szCs w:val="22"/>
        </w:rPr>
        <w:t xml:space="preserve"> faktury kupujícímu.</w:t>
      </w:r>
    </w:p>
    <w:p w:rsidR="00767225" w:rsidRPr="00BC4687" w:rsidRDefault="00767225" w:rsidP="001C22B9">
      <w:pPr>
        <w:numPr>
          <w:ilvl w:val="0"/>
          <w:numId w:val="5"/>
        </w:numPr>
        <w:tabs>
          <w:tab w:val="clear" w:pos="720"/>
        </w:tabs>
        <w:spacing w:after="120" w:line="276" w:lineRule="auto"/>
        <w:ind w:left="284" w:hanging="284"/>
        <w:jc w:val="both"/>
        <w:rPr>
          <w:rFonts w:ascii="Tahoma" w:hAnsi="Tahoma" w:cs="Tahoma"/>
          <w:sz w:val="20"/>
          <w:szCs w:val="22"/>
        </w:rPr>
      </w:pPr>
      <w:r w:rsidRPr="00BC4687">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rsidR="00767225" w:rsidRPr="00BC468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rsidR="00767225" w:rsidRPr="00BC4687" w:rsidRDefault="00767225" w:rsidP="001C22B9">
      <w:pPr>
        <w:spacing w:after="120" w:line="276" w:lineRule="auto"/>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5"/>
    <w:p w:rsidR="00B80A3B" w:rsidRPr="00BC4687" w:rsidRDefault="00B80A3B">
      <w:pPr>
        <w:rPr>
          <w:rFonts w:ascii="Tahoma" w:hAnsi="Tahoma" w:cs="Tahoma"/>
          <w:b/>
          <w:bCs/>
          <w:caps/>
          <w:sz w:val="20"/>
          <w:szCs w:val="22"/>
        </w:rPr>
      </w:pPr>
    </w:p>
    <w:p w:rsidR="00A612B8" w:rsidRPr="00BC4687" w:rsidRDefault="00A612B8" w:rsidP="00A612B8">
      <w:pPr>
        <w:rPr>
          <w:rFonts w:ascii="Tahoma" w:hAnsi="Tahoma" w:cs="Tahoma"/>
        </w:rPr>
      </w:pPr>
    </w:p>
    <w:p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t>VII</w:t>
      </w:r>
      <w:r w:rsidR="00066D69" w:rsidRPr="00BC4687">
        <w:rPr>
          <w:rFonts w:ascii="Tahoma" w:hAnsi="Tahoma" w:cs="Tahoma"/>
          <w:sz w:val="20"/>
          <w:szCs w:val="22"/>
        </w:rPr>
        <w:t>.</w:t>
      </w:r>
    </w:p>
    <w:p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rsidR="00066D69" w:rsidRPr="00BC4687" w:rsidRDefault="00066D69" w:rsidP="001C22B9">
      <w:pPr>
        <w:numPr>
          <w:ilvl w:val="3"/>
          <w:numId w:val="5"/>
        </w:numPr>
        <w:tabs>
          <w:tab w:val="num" w:pos="-7230"/>
        </w:tabs>
        <w:spacing w:after="120" w:line="276" w:lineRule="auto"/>
        <w:ind w:left="284" w:hanging="284"/>
        <w:jc w:val="both"/>
        <w:rPr>
          <w:rFonts w:ascii="Tahoma" w:hAnsi="Tahoma" w:cs="Tahoma"/>
          <w:sz w:val="20"/>
          <w:szCs w:val="22"/>
        </w:rPr>
      </w:pPr>
      <w:bookmarkStart w:id="6"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w:t>
      </w:r>
      <w:r w:rsidR="00231678">
        <w:rPr>
          <w:rFonts w:ascii="Tahoma" w:hAnsi="Tahoma" w:cs="Tahoma"/>
          <w:sz w:val="20"/>
          <w:szCs w:val="22"/>
        </w:rPr>
        <w:t>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rsidR="00930068" w:rsidRPr="00BC4687" w:rsidRDefault="00930068"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Pr="00BC4687" w:rsidRDefault="00930068"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rsidR="00E47289" w:rsidRPr="00BC4687" w:rsidRDefault="00E47289"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E47289" w:rsidRPr="00BC4687" w:rsidRDefault="00E47289" w:rsidP="001C22B9">
      <w:pPr>
        <w:numPr>
          <w:ilvl w:val="3"/>
          <w:numId w:val="5"/>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Pr="00BC4687">
        <w:rPr>
          <w:rFonts w:ascii="Tahoma" w:hAnsi="Tahoma" w:cs="Tahoma"/>
          <w:sz w:val="20"/>
          <w:szCs w:val="22"/>
        </w:rPr>
        <w:t>knutí vad kupujícím dodat kupujícímu náhradní zboží za zboží vadné.</w:t>
      </w:r>
    </w:p>
    <w:bookmarkEnd w:id="6"/>
    <w:p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rsidR="00F45304" w:rsidRPr="00BC4687" w:rsidRDefault="00E47289"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bookmarkStart w:id="7"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w:t>
      </w:r>
      <w:r w:rsidR="00956C2E">
        <w:rPr>
          <w:rFonts w:ascii="Tahoma" w:hAnsi="Tahoma" w:cs="Tahoma"/>
          <w:sz w:val="20"/>
          <w:szCs w:val="22"/>
        </w:rPr>
        <w:t xml:space="preserve"> tj. do 5</w:t>
      </w:r>
      <w:r w:rsidR="00231678">
        <w:rPr>
          <w:rFonts w:ascii="Tahoma" w:hAnsi="Tahoma" w:cs="Tahoma"/>
          <w:sz w:val="20"/>
          <w:szCs w:val="22"/>
        </w:rPr>
        <w:t xml:space="preserve"> pracovních</w:t>
      </w:r>
      <w:r w:rsidR="00956C2E">
        <w:rPr>
          <w:rFonts w:ascii="Tahoma" w:hAnsi="Tahoma" w:cs="Tahoma"/>
          <w:sz w:val="20"/>
          <w:szCs w:val="22"/>
        </w:rPr>
        <w:t xml:space="preserve"> dnů od data objednání,</w:t>
      </w:r>
      <w:r w:rsidR="00066D69" w:rsidRPr="00BC4687">
        <w:rPr>
          <w:rFonts w:ascii="Tahoma" w:hAnsi="Tahoma" w:cs="Tahoma"/>
          <w:sz w:val="20"/>
          <w:szCs w:val="22"/>
        </w:rPr>
        <w:t xml:space="preserve">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BD6347" w:rsidRPr="00BC4687">
        <w:rPr>
          <w:rFonts w:ascii="Tahoma" w:hAnsi="Tahoma" w:cs="Tahoma"/>
          <w:b/>
          <w:sz w:val="20"/>
          <w:szCs w:val="22"/>
        </w:rPr>
        <w:t>2</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rsidR="00F45304"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rsidR="000D694E"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 xml:space="preserve">Splatnost smluvní pokuty je 30 kalendářních dnů po doručení oznámen o uložení smluvní pokuty </w:t>
      </w:r>
      <w:r w:rsidRPr="00BC4687">
        <w:rPr>
          <w:rFonts w:ascii="Tahoma" w:hAnsi="Tahoma" w:cs="Tahoma"/>
          <w:iCs/>
          <w:sz w:val="20"/>
          <w:szCs w:val="22"/>
        </w:rPr>
        <w:lastRenderedPageBreak/>
        <w:t>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rsidR="00F45304" w:rsidRPr="00BC4687" w:rsidRDefault="00F45304" w:rsidP="001C22B9">
      <w:pPr>
        <w:pStyle w:val="Import16"/>
        <w:numPr>
          <w:ilvl w:val="0"/>
          <w:numId w:val="6"/>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7"/>
    <w:p w:rsidR="0073300A" w:rsidRPr="00BC4687" w:rsidRDefault="0073300A">
      <w:pPr>
        <w:rPr>
          <w:rFonts w:ascii="Tahoma" w:eastAsia="SimSun" w:hAnsi="Tahoma" w:cs="Tahoma"/>
          <w:b/>
          <w:kern w:val="1"/>
          <w:sz w:val="20"/>
          <w:szCs w:val="22"/>
          <w:lang w:eastAsia="hi-IN" w:bidi="hi-IN"/>
        </w:rPr>
      </w:pPr>
    </w:p>
    <w:p w:rsidR="003E4E50" w:rsidRPr="00BC4687" w:rsidRDefault="003E4E50" w:rsidP="00CC34FD">
      <w:pPr>
        <w:pStyle w:val="Odstavecseseznamem"/>
        <w:tabs>
          <w:tab w:val="left" w:pos="0"/>
          <w:tab w:val="left" w:pos="360"/>
        </w:tabs>
        <w:spacing w:after="120" w:line="276" w:lineRule="auto"/>
        <w:ind w:left="340"/>
        <w:rPr>
          <w:rFonts w:ascii="Tahoma" w:hAnsi="Tahoma" w:cs="Tahoma"/>
          <w:b/>
          <w:sz w:val="20"/>
          <w:szCs w:val="22"/>
        </w:rPr>
      </w:pPr>
    </w:p>
    <w:p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rsidR="00C4051A" w:rsidRPr="00BC4687" w:rsidRDefault="00C4051A" w:rsidP="00C4051A">
      <w:pPr>
        <w:pStyle w:val="Import16"/>
        <w:tabs>
          <w:tab w:val="clear" w:pos="864"/>
        </w:tabs>
        <w:spacing w:after="120" w:line="276" w:lineRule="auto"/>
        <w:ind w:left="425" w:firstLine="0"/>
        <w:jc w:val="both"/>
        <w:rPr>
          <w:rFonts w:ascii="Tahoma" w:hAnsi="Tahoma" w:cs="Tahoma"/>
          <w:sz w:val="20"/>
          <w:szCs w:val="22"/>
        </w:rPr>
      </w:pP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BC4687" w:rsidRDefault="003E4E50" w:rsidP="001C22B9">
      <w:pPr>
        <w:pStyle w:val="Smlouva-slo"/>
        <w:numPr>
          <w:ilvl w:val="0"/>
          <w:numId w:val="5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této smlouvy, je prodávající povinen zaplatit kupujícímu smluvní pokutu ve výši 50.000 Kč, a to za každý jednotlivý případ porušení.</w:t>
      </w: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rsidR="00275F1C" w:rsidRPr="00BC4687" w:rsidRDefault="00275F1C" w:rsidP="001C22B9">
      <w:pPr>
        <w:pStyle w:val="Odstavecseseznamem"/>
        <w:numPr>
          <w:ilvl w:val="0"/>
          <w:numId w:val="38"/>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rsidR="00275F1C" w:rsidRPr="00BC4687" w:rsidRDefault="00275F1C" w:rsidP="001C22B9">
      <w:pPr>
        <w:widowControl w:val="0"/>
        <w:numPr>
          <w:ilvl w:val="0"/>
          <w:numId w:val="38"/>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požadovaných k uveřejnění dle zákona č. 340/2015 Sb., o registru smluv.</w:t>
      </w:r>
    </w:p>
    <w:p w:rsidR="00275F1C" w:rsidRPr="00BC4687" w:rsidRDefault="00275F1C" w:rsidP="001C22B9">
      <w:pPr>
        <w:widowControl w:val="0"/>
        <w:numPr>
          <w:ilvl w:val="0"/>
          <w:numId w:val="38"/>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 xml:space="preserve">Zveřejnění smlouvy a </w:t>
      </w:r>
      <w:proofErr w:type="spellStart"/>
      <w:r w:rsidRPr="00BC4687">
        <w:rPr>
          <w:rFonts w:ascii="Tahoma" w:hAnsi="Tahoma" w:cs="Tahoma"/>
          <w:kern w:val="2"/>
          <w:sz w:val="20"/>
          <w:szCs w:val="20"/>
        </w:rPr>
        <w:t>metadat</w:t>
      </w:r>
      <w:proofErr w:type="spellEnd"/>
      <w:r w:rsidRPr="00BC4687">
        <w:rPr>
          <w:rFonts w:ascii="Tahoma" w:hAnsi="Tahoma" w:cs="Tahoma"/>
          <w:kern w:val="2"/>
          <w:sz w:val="20"/>
          <w:szCs w:val="20"/>
        </w:rPr>
        <w:t xml:space="preserve">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rsidR="00275F1C" w:rsidRPr="00BC4687" w:rsidRDefault="00275F1C" w:rsidP="001C22B9">
      <w:pPr>
        <w:pStyle w:val="Odstavecseseznamem"/>
        <w:numPr>
          <w:ilvl w:val="0"/>
          <w:numId w:val="38"/>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lastRenderedPageBreak/>
        <w:t>X</w:t>
      </w:r>
      <w:r w:rsidR="003337D2" w:rsidRPr="00BC4687">
        <w:rPr>
          <w:rFonts w:ascii="Tahoma" w:hAnsi="Tahoma" w:cs="Tahoma"/>
          <w:b/>
          <w:sz w:val="20"/>
          <w:szCs w:val="22"/>
        </w:rPr>
        <w:t>I</w:t>
      </w:r>
      <w:r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rsidR="00066D69" w:rsidRPr="00BC4687" w:rsidRDefault="00066D69" w:rsidP="001C22B9">
      <w:pPr>
        <w:numPr>
          <w:ilvl w:val="0"/>
          <w:numId w:val="37"/>
        </w:numPr>
        <w:tabs>
          <w:tab w:val="left" w:pos="0"/>
        </w:tabs>
        <w:spacing w:after="120" w:line="276" w:lineRule="auto"/>
        <w:ind w:left="284" w:hanging="284"/>
        <w:jc w:val="both"/>
        <w:rPr>
          <w:rFonts w:ascii="Tahoma" w:hAnsi="Tahoma" w:cs="Tahoma"/>
          <w:sz w:val="20"/>
          <w:szCs w:val="22"/>
        </w:rPr>
      </w:pPr>
      <w:bookmarkStart w:id="8" w:name="_Hlk81506872"/>
      <w:r w:rsidRPr="00BC4687">
        <w:rPr>
          <w:rFonts w:ascii="Tahoma" w:hAnsi="Tahoma" w:cs="Tahoma"/>
          <w:sz w:val="20"/>
          <w:szCs w:val="22"/>
        </w:rPr>
        <w:t>Tato smlouva zaniká:</w:t>
      </w:r>
    </w:p>
    <w:p w:rsidR="00066D69" w:rsidRPr="00BC4687"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rsidR="00CC34FD" w:rsidRPr="00BC4687" w:rsidRDefault="00066D69" w:rsidP="00CC34FD">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rsidR="00CC34FD" w:rsidRPr="00BC4687" w:rsidRDefault="001A260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rsidR="00CC34FD" w:rsidRPr="00BC4687" w:rsidRDefault="00CC34FD"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rsidR="008A15AE" w:rsidRPr="00BC4687"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opakované nedodání zboží ve stanovené době plnění</w:t>
      </w:r>
      <w:r w:rsidR="008A15AE" w:rsidRPr="00BC4687">
        <w:rPr>
          <w:rFonts w:ascii="Tahoma" w:hAnsi="Tahoma" w:cs="Tahoma"/>
          <w:sz w:val="20"/>
          <w:szCs w:val="22"/>
        </w:rPr>
        <w:t xml:space="preserve">, </w:t>
      </w:r>
    </w:p>
    <w:p w:rsidR="00511AD2" w:rsidRPr="00BC4687" w:rsidRDefault="00806968"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Pr="00BC4687" w:rsidRDefault="00511AD2">
      <w:pPr>
        <w:rPr>
          <w:rFonts w:ascii="Tahoma" w:hAnsi="Tahoma" w:cs="Tahoma"/>
          <w:sz w:val="20"/>
          <w:szCs w:val="22"/>
        </w:rPr>
      </w:pPr>
    </w:p>
    <w:p w:rsidR="00B2739B" w:rsidRPr="00BC4687" w:rsidRDefault="00B2739B" w:rsidP="001C22B9">
      <w:pPr>
        <w:numPr>
          <w:ilvl w:val="0"/>
          <w:numId w:val="37"/>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rsidR="00B2739B" w:rsidRPr="00BC4687"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rsidR="00B2739B" w:rsidRPr="00BC4687"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rsidR="00B2739B" w:rsidRPr="00BC4687" w:rsidRDefault="00B2739B" w:rsidP="001C22B9">
      <w:pPr>
        <w:numPr>
          <w:ilvl w:val="0"/>
          <w:numId w:val="37"/>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BC4687" w:rsidRDefault="00B2739B" w:rsidP="001C22B9">
      <w:pPr>
        <w:numPr>
          <w:ilvl w:val="0"/>
          <w:numId w:val="37"/>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rsidR="001C22B9" w:rsidRPr="00BC4687" w:rsidRDefault="001C22B9" w:rsidP="001C22B9">
      <w:pPr>
        <w:tabs>
          <w:tab w:val="left" w:pos="0"/>
        </w:tabs>
        <w:spacing w:after="120" w:line="276" w:lineRule="auto"/>
        <w:ind w:left="284"/>
        <w:jc w:val="both"/>
        <w:rPr>
          <w:rFonts w:ascii="Tahoma" w:hAnsi="Tahoma" w:cs="Tahoma"/>
          <w:sz w:val="20"/>
          <w:szCs w:val="22"/>
        </w:rPr>
      </w:pPr>
    </w:p>
    <w:bookmarkEnd w:id="8"/>
    <w:p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rsidR="003D07FB" w:rsidRPr="00BC4687" w:rsidRDefault="003D07FB" w:rsidP="001C22B9">
      <w:pPr>
        <w:numPr>
          <w:ilvl w:val="0"/>
          <w:numId w:val="27"/>
        </w:numPr>
        <w:spacing w:before="120" w:after="120" w:line="276" w:lineRule="auto"/>
        <w:ind w:left="284" w:hanging="284"/>
        <w:jc w:val="both"/>
        <w:rPr>
          <w:rFonts w:ascii="Tahoma" w:hAnsi="Tahoma" w:cs="Tahoma"/>
          <w:sz w:val="20"/>
          <w:szCs w:val="20"/>
        </w:rPr>
      </w:pPr>
      <w:bookmarkStart w:id="9"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23764F" w:rsidRPr="00BC4687" w:rsidRDefault="0023764F" w:rsidP="001C22B9">
      <w:pPr>
        <w:numPr>
          <w:ilvl w:val="0"/>
          <w:numId w:val="27"/>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BC4687" w:rsidRDefault="0023764F" w:rsidP="001C22B9">
      <w:pPr>
        <w:numPr>
          <w:ilvl w:val="0"/>
          <w:numId w:val="27"/>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rsidR="00384B6B" w:rsidRPr="00BC4687" w:rsidRDefault="00384B6B"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Pr="00BC4687" w:rsidRDefault="004979E1" w:rsidP="001C22B9">
      <w:pPr>
        <w:numPr>
          <w:ilvl w:val="0"/>
          <w:numId w:val="27"/>
        </w:numPr>
        <w:spacing w:after="120" w:line="276" w:lineRule="auto"/>
        <w:ind w:left="284" w:hanging="284"/>
        <w:jc w:val="both"/>
        <w:rPr>
          <w:rFonts w:ascii="Tahoma" w:hAnsi="Tahoma" w:cs="Tahoma"/>
          <w:sz w:val="20"/>
          <w:szCs w:val="22"/>
        </w:rPr>
      </w:pPr>
      <w:bookmarkStart w:id="10" w:name="_Hlk82415956"/>
      <w:bookmarkEnd w:id="9"/>
      <w:r w:rsidRPr="00BC4687">
        <w:rPr>
          <w:rFonts w:ascii="Tahoma" w:hAnsi="Tahoma" w:cs="Tahoma"/>
          <w:sz w:val="20"/>
          <w:szCs w:val="22"/>
        </w:rPr>
        <w:lastRenderedPageBreak/>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531A1D" w:rsidRPr="00BC4687" w:rsidRDefault="0004468F"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rsidR="00B34AF5" w:rsidRPr="00BC4687" w:rsidRDefault="00531A1D" w:rsidP="001C22B9">
      <w:pPr>
        <w:numPr>
          <w:ilvl w:val="0"/>
          <w:numId w:val="27"/>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r w:rsidR="00903FC5">
        <w:rPr>
          <w:rFonts w:ascii="Tahoma" w:hAnsi="Tahoma" w:cs="Tahoma"/>
          <w:sz w:val="20"/>
          <w:szCs w:val="22"/>
        </w:rPr>
        <w:t>.</w:t>
      </w:r>
    </w:p>
    <w:bookmarkEnd w:id="10"/>
    <w:p w:rsidR="004979E1" w:rsidRPr="00BC4687" w:rsidRDefault="004979E1" w:rsidP="001C22B9">
      <w:pPr>
        <w:numPr>
          <w:ilvl w:val="0"/>
          <w:numId w:val="27"/>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rsidR="004979E1" w:rsidRDefault="004979E1" w:rsidP="00956C2E">
      <w:pPr>
        <w:spacing w:line="276" w:lineRule="auto"/>
        <w:ind w:left="284"/>
        <w:jc w:val="both"/>
        <w:rPr>
          <w:rFonts w:ascii="Tahoma" w:hAnsi="Tahoma" w:cs="Tahoma"/>
          <w:sz w:val="20"/>
          <w:szCs w:val="22"/>
        </w:rPr>
      </w:pPr>
      <w:r w:rsidRPr="00BC4687">
        <w:rPr>
          <w:rFonts w:ascii="Tahoma" w:hAnsi="Tahoma" w:cs="Tahoma"/>
          <w:sz w:val="20"/>
          <w:szCs w:val="22"/>
        </w:rPr>
        <w:t xml:space="preserve">Příloha č. 1 </w:t>
      </w:r>
      <w:r w:rsidR="00956C2E">
        <w:rPr>
          <w:rFonts w:ascii="Tahoma" w:hAnsi="Tahoma" w:cs="Tahoma"/>
          <w:sz w:val="20"/>
          <w:szCs w:val="22"/>
        </w:rPr>
        <w:t>Specifikace předmětu smlouvy (</w:t>
      </w:r>
      <w:r w:rsidR="001A260E" w:rsidRPr="00BC4687">
        <w:rPr>
          <w:rFonts w:ascii="Tahoma" w:hAnsi="Tahoma" w:cs="Tahoma"/>
          <w:sz w:val="20"/>
          <w:szCs w:val="22"/>
        </w:rPr>
        <w:t>Cen</w:t>
      </w:r>
      <w:r w:rsidR="00903FC5">
        <w:rPr>
          <w:rFonts w:ascii="Tahoma" w:hAnsi="Tahoma" w:cs="Tahoma"/>
          <w:sz w:val="20"/>
          <w:szCs w:val="22"/>
        </w:rPr>
        <w:t>ová nabídka</w:t>
      </w:r>
      <w:r w:rsidR="00956C2E">
        <w:rPr>
          <w:rFonts w:ascii="Tahoma" w:hAnsi="Tahoma" w:cs="Tahoma"/>
          <w:sz w:val="20"/>
          <w:szCs w:val="22"/>
        </w:rPr>
        <w:t>)</w:t>
      </w:r>
    </w:p>
    <w:p w:rsidR="00BC4687" w:rsidRPr="00BC4687" w:rsidRDefault="00BC4687" w:rsidP="001C22B9">
      <w:pPr>
        <w:spacing w:line="276" w:lineRule="auto"/>
        <w:ind w:left="284" w:hanging="284"/>
        <w:jc w:val="both"/>
        <w:rPr>
          <w:rFonts w:ascii="Tahoma" w:hAnsi="Tahoma" w:cs="Tahoma"/>
          <w:sz w:val="20"/>
          <w:szCs w:val="22"/>
        </w:rPr>
      </w:pPr>
    </w:p>
    <w:p w:rsidR="00F514D6" w:rsidRDefault="00F514D6" w:rsidP="007C0279">
      <w:pPr>
        <w:spacing w:line="276" w:lineRule="auto"/>
        <w:ind w:left="425" w:firstLine="284"/>
        <w:jc w:val="both"/>
        <w:rPr>
          <w:rFonts w:ascii="Tahoma" w:hAnsi="Tahoma" w:cs="Tahoma"/>
          <w:sz w:val="20"/>
          <w:szCs w:val="22"/>
        </w:rPr>
      </w:pPr>
    </w:p>
    <w:p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BC4687" w:rsidTr="00D70880">
        <w:tc>
          <w:tcPr>
            <w:tcW w:w="4581" w:type="dxa"/>
          </w:tcPr>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r w:rsidR="008850C6">
              <w:rPr>
                <w:rFonts w:ascii="Tahoma" w:hAnsi="Tahoma" w:cs="Tahoma"/>
                <w:sz w:val="20"/>
                <w:szCs w:val="20"/>
              </w:rPr>
              <w:t xml:space="preserve"> 7.8.2023</w:t>
            </w:r>
          </w:p>
        </w:tc>
        <w:tc>
          <w:tcPr>
            <w:tcW w:w="4705" w:type="dxa"/>
          </w:tcPr>
          <w:p w:rsidR="003E7416" w:rsidRPr="00BC4687" w:rsidRDefault="003E7416" w:rsidP="00165B0A">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V</w:t>
            </w:r>
            <w:r w:rsidR="00165B0A">
              <w:rPr>
                <w:rFonts w:ascii="Tahoma" w:hAnsi="Tahoma" w:cs="Tahoma"/>
                <w:sz w:val="20"/>
                <w:szCs w:val="20"/>
              </w:rPr>
              <w:t xml:space="preserve">e Valašském Meziříčí </w:t>
            </w:r>
            <w:r w:rsidRPr="00BC4687">
              <w:rPr>
                <w:rFonts w:ascii="Tahoma" w:hAnsi="Tahoma" w:cs="Tahoma"/>
                <w:sz w:val="20"/>
                <w:szCs w:val="20"/>
              </w:rPr>
              <w:t>dne</w:t>
            </w:r>
            <w:r w:rsidR="00165B0A">
              <w:rPr>
                <w:rFonts w:ascii="Tahoma" w:hAnsi="Tahoma" w:cs="Tahoma"/>
                <w:sz w:val="20"/>
                <w:szCs w:val="20"/>
              </w:rPr>
              <w:t xml:space="preserve"> </w:t>
            </w:r>
            <w:proofErr w:type="gramStart"/>
            <w:r w:rsidR="001D618D">
              <w:rPr>
                <w:rFonts w:ascii="Tahoma" w:hAnsi="Tahoma" w:cs="Tahoma"/>
                <w:sz w:val="20"/>
                <w:szCs w:val="20"/>
              </w:rPr>
              <w:t>9.8.2023</w:t>
            </w:r>
            <w:proofErr w:type="gramEnd"/>
          </w:p>
        </w:tc>
      </w:tr>
      <w:tr w:rsidR="003E7416" w:rsidRPr="00BC4687" w:rsidTr="00D70880">
        <w:tc>
          <w:tcPr>
            <w:tcW w:w="4581" w:type="dxa"/>
          </w:tcPr>
          <w:p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r w:rsidR="00165B0A">
        <w:rPr>
          <w:rFonts w:ascii="Tahoma" w:hAnsi="Tahoma" w:cs="Tahoma"/>
          <w:sz w:val="20"/>
          <w:szCs w:val="20"/>
        </w:rPr>
        <w:t>Petr Daniš, jednatel</w:t>
      </w:r>
    </w:p>
    <w:p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rsidR="00A9686A" w:rsidRDefault="00A9686A">
      <w:pPr>
        <w:rPr>
          <w:rFonts w:ascii="Tahoma" w:hAnsi="Tahoma" w:cs="Tahoma"/>
          <w:b/>
          <w:iCs/>
          <w:sz w:val="20"/>
          <w:szCs w:val="22"/>
        </w:rPr>
      </w:pPr>
      <w:r>
        <w:rPr>
          <w:rFonts w:ascii="Tahoma" w:hAnsi="Tahoma" w:cs="Tahoma"/>
          <w:b/>
          <w:iCs/>
          <w:sz w:val="20"/>
          <w:szCs w:val="22"/>
        </w:rPr>
        <w:br w:type="page"/>
      </w:r>
    </w:p>
    <w:p w:rsidR="00165B0A" w:rsidRDefault="00165B0A">
      <w:pPr>
        <w:rPr>
          <w:rFonts w:ascii="Tahoma" w:hAnsi="Tahoma" w:cs="Tahoma"/>
          <w:b/>
          <w:iCs/>
          <w:sz w:val="20"/>
          <w:szCs w:val="22"/>
        </w:rPr>
        <w:sectPr w:rsidR="00165B0A" w:rsidSect="00BC4687">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p>
    <w:p w:rsidR="00301CC9" w:rsidRPr="00BC4687" w:rsidRDefault="00301CC9" w:rsidP="00301CC9">
      <w:pPr>
        <w:tabs>
          <w:tab w:val="left" w:pos="2520"/>
        </w:tabs>
        <w:spacing w:after="120" w:line="276" w:lineRule="auto"/>
        <w:ind w:left="425" w:hanging="425"/>
        <w:jc w:val="both"/>
        <w:rPr>
          <w:rFonts w:ascii="Tahoma" w:hAnsi="Tahoma" w:cs="Tahoma"/>
          <w:b/>
          <w:iCs/>
          <w:sz w:val="20"/>
          <w:szCs w:val="22"/>
          <w:u w:val="single"/>
        </w:rPr>
      </w:pPr>
      <w:r w:rsidRPr="00BC4687">
        <w:rPr>
          <w:rFonts w:ascii="Tahoma" w:hAnsi="Tahoma" w:cs="Tahoma"/>
          <w:b/>
          <w:iCs/>
          <w:sz w:val="20"/>
          <w:szCs w:val="22"/>
          <w:u w:val="single"/>
        </w:rPr>
        <w:lastRenderedPageBreak/>
        <w:t xml:space="preserve">Příloha č. 1 – Specifikace předmětu smlouvy </w:t>
      </w:r>
    </w:p>
    <w:p w:rsidR="00301CC9" w:rsidRPr="00BC4687" w:rsidRDefault="00301CC9" w:rsidP="00301CC9">
      <w:pPr>
        <w:spacing w:after="120" w:line="276" w:lineRule="auto"/>
        <w:ind w:left="425" w:hanging="425"/>
        <w:rPr>
          <w:rFonts w:ascii="Tahoma" w:hAnsi="Tahoma" w:cs="Tahoma"/>
          <w:b/>
          <w:iCs/>
          <w:sz w:val="20"/>
          <w:szCs w:val="22"/>
        </w:rPr>
      </w:pPr>
    </w:p>
    <w:p w:rsidR="00301CC9" w:rsidRDefault="00301CC9"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p>
    <w:p w:rsidR="0036132A" w:rsidRDefault="0036132A" w:rsidP="00613B31">
      <w:pPr>
        <w:spacing w:after="120" w:line="276" w:lineRule="auto"/>
        <w:rPr>
          <w:rFonts w:ascii="Tahoma" w:hAnsi="Tahoma" w:cs="Tahoma"/>
          <w:b/>
          <w:iCs/>
          <w:sz w:val="20"/>
          <w:szCs w:val="22"/>
        </w:rPr>
      </w:pPr>
      <w:bookmarkStart w:id="11" w:name="_GoBack"/>
      <w:bookmarkEnd w:id="11"/>
    </w:p>
    <w:p w:rsidR="0036132A" w:rsidRPr="00BC4687" w:rsidRDefault="0036132A" w:rsidP="00613B31">
      <w:pPr>
        <w:spacing w:after="120" w:line="276" w:lineRule="auto"/>
        <w:rPr>
          <w:rFonts w:ascii="Tahoma" w:hAnsi="Tahoma" w:cs="Tahoma"/>
          <w:b/>
          <w:iCs/>
          <w:sz w:val="20"/>
          <w:szCs w:val="22"/>
        </w:rPr>
      </w:pPr>
    </w:p>
    <w:sectPr w:rsidR="0036132A" w:rsidRPr="00BC4687" w:rsidSect="00165B0A">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73" w:rsidRDefault="000E4373">
      <w:r>
        <w:separator/>
      </w:r>
    </w:p>
    <w:p w:rsidR="000E4373" w:rsidRDefault="000E4373"/>
  </w:endnote>
  <w:endnote w:type="continuationSeparator" w:id="0">
    <w:p w:rsidR="000E4373" w:rsidRDefault="000E4373">
      <w:r>
        <w:continuationSeparator/>
      </w:r>
    </w:p>
    <w:p w:rsidR="000E4373" w:rsidRDefault="000E4373"/>
    <w:p w:rsidR="000E4373" w:rsidRDefault="000E4373">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F7" w:rsidRDefault="001D618D">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1D618D">
      <w:rPr>
        <w:rFonts w:ascii="Tahoma" w:hAnsi="Tahoma" w:cs="Tahoma"/>
        <w:b/>
        <w:noProof/>
        <w:sz w:val="18"/>
        <w:szCs w:val="18"/>
      </w:rPr>
      <w:t>9</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1D618D">
      <w:rPr>
        <w:rFonts w:ascii="Tahoma" w:hAnsi="Tahoma" w:cs="Tahoma"/>
        <w:b/>
        <w:noProof/>
        <w:sz w:val="18"/>
        <w:szCs w:val="18"/>
      </w:rPr>
      <w:t>9</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567718" w:rsidRPr="00567718" w:rsidRDefault="007A500E" w:rsidP="00567718">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567718" w:rsidRPr="00567718">
      <w:rPr>
        <w:rFonts w:ascii="Verdana" w:hAnsi="Verdana" w:cs="Tahoma"/>
        <w:bCs/>
        <w:color w:val="000000"/>
        <w:sz w:val="18"/>
        <w:szCs w:val="18"/>
        <w:shd w:val="clear" w:color="auto" w:fill="FFFFFF"/>
      </w:rPr>
      <w:t>OPA/Hal/2023/</w:t>
    </w:r>
    <w:r w:rsidR="00231678">
      <w:rPr>
        <w:rFonts w:ascii="Verdana" w:hAnsi="Verdana" w:cs="Tahoma"/>
        <w:bCs/>
        <w:color w:val="000000"/>
        <w:sz w:val="18"/>
        <w:szCs w:val="18"/>
        <w:shd w:val="clear" w:color="auto" w:fill="FFFFFF"/>
      </w:rPr>
      <w:t>2</w:t>
    </w:r>
    <w:r w:rsidR="00567718" w:rsidRPr="00567718">
      <w:rPr>
        <w:rFonts w:ascii="Verdana" w:hAnsi="Verdana" w:cs="Tahoma"/>
        <w:bCs/>
        <w:color w:val="000000"/>
        <w:sz w:val="18"/>
        <w:szCs w:val="18"/>
        <w:shd w:val="clear" w:color="auto" w:fill="FFFFFF"/>
      </w:rPr>
      <w:t>1/</w:t>
    </w:r>
    <w:r w:rsidR="00231678">
      <w:rPr>
        <w:rFonts w:ascii="Verdana" w:hAnsi="Verdana" w:cs="Tahoma"/>
        <w:bCs/>
        <w:color w:val="000000"/>
        <w:sz w:val="18"/>
        <w:szCs w:val="18"/>
        <w:shd w:val="clear" w:color="auto" w:fill="FFFFFF"/>
      </w:rPr>
      <w:t>odběrový systém-SNO</w:t>
    </w: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AF" w:rsidRDefault="005A6BAF">
    <w:pPr>
      <w:pStyle w:val="Zpat"/>
      <w:jc w:val="center"/>
    </w:pPr>
  </w:p>
  <w:p w:rsidR="005A6BAF" w:rsidRDefault="001D618D">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165B0A">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73" w:rsidRDefault="000E4373">
      <w:r>
        <w:separator/>
      </w:r>
    </w:p>
    <w:p w:rsidR="000E4373" w:rsidRDefault="000E4373"/>
  </w:footnote>
  <w:footnote w:type="continuationSeparator" w:id="0">
    <w:p w:rsidR="000E4373" w:rsidRDefault="000E4373">
      <w:r>
        <w:continuationSeparator/>
      </w:r>
    </w:p>
    <w:p w:rsidR="000E4373" w:rsidRDefault="000E43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738DD"/>
    <w:multiLevelType w:val="multilevel"/>
    <w:tmpl w:val="00000007"/>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9">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9">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3">
    <w:nsid w:val="36A51AE1"/>
    <w:multiLevelType w:val="singleLevel"/>
    <w:tmpl w:val="0405000F"/>
    <w:lvl w:ilvl="0">
      <w:start w:val="1"/>
      <w:numFmt w:val="decimal"/>
      <w:lvlText w:val="%1."/>
      <w:lvlJc w:val="left"/>
      <w:pPr>
        <w:tabs>
          <w:tab w:val="num" w:pos="720"/>
        </w:tabs>
        <w:ind w:left="720" w:hanging="360"/>
      </w:pPr>
    </w:lvl>
  </w:abstractNum>
  <w:abstractNum w:abstractNumId="24">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4">
    <w:nsid w:val="4D527AA0"/>
    <w:multiLevelType w:val="hybridMultilevel"/>
    <w:tmpl w:val="8E20F830"/>
    <w:lvl w:ilvl="0" w:tplc="F8AA3CC4">
      <w:start w:val="1"/>
      <w:numFmt w:val="lowerLetter"/>
      <w:lvlText w:val="%1)"/>
      <w:lvlJc w:val="left"/>
      <w:pPr>
        <w:tabs>
          <w:tab w:val="num" w:pos="1069"/>
        </w:tabs>
        <w:ind w:left="1069" w:hanging="360"/>
      </w:pPr>
      <w:rPr>
        <w:rFonts w:ascii="Tahoma" w:eastAsia="Times New Roman" w:hAnsi="Tahoma" w:cs="Tahoma"/>
        <w:b w:val="0"/>
        <w:i w:val="0"/>
        <w:sz w:val="20"/>
        <w:szCs w:val="1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5DEC6A91"/>
    <w:multiLevelType w:val="hybridMultilevel"/>
    <w:tmpl w:val="E6107508"/>
    <w:lvl w:ilvl="0" w:tplc="44FCD3B8">
      <w:start w:val="1"/>
      <w:numFmt w:val="bullet"/>
      <w:lvlText w:val=""/>
      <w:lvlJc w:val="left"/>
      <w:pPr>
        <w:ind w:left="1145" w:hanging="360"/>
      </w:pPr>
      <w:rPr>
        <w:rFonts w:ascii="Wingdings" w:hAnsi="Wingdings" w:hint="default"/>
        <w:color w:val="auto"/>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5">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9">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8BE6BB3"/>
    <w:multiLevelType w:val="hybridMultilevel"/>
    <w:tmpl w:val="667AD556"/>
    <w:lvl w:ilvl="0" w:tplc="BF5CCCD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nsid w:val="794236F7"/>
    <w:multiLevelType w:val="multilevel"/>
    <w:tmpl w:val="0000000C"/>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num w:numId="1">
    <w:abstractNumId w:val="22"/>
  </w:num>
  <w:num w:numId="2">
    <w:abstractNumId w:val="14"/>
  </w:num>
  <w:num w:numId="3">
    <w:abstractNumId w:val="44"/>
  </w:num>
  <w:num w:numId="4">
    <w:abstractNumId w:val="6"/>
  </w:num>
  <w:num w:numId="5">
    <w:abstractNumId w:val="16"/>
  </w:num>
  <w:num w:numId="6">
    <w:abstractNumId w:val="31"/>
  </w:num>
  <w:num w:numId="7">
    <w:abstractNumId w:val="34"/>
  </w:num>
  <w:num w:numId="8">
    <w:abstractNumId w:val="9"/>
  </w:num>
  <w:num w:numId="9">
    <w:abstractNumId w:val="21"/>
  </w:num>
  <w:num w:numId="10">
    <w:abstractNumId w:val="36"/>
  </w:num>
  <w:num w:numId="11">
    <w:abstractNumId w:val="19"/>
  </w:num>
  <w:num w:numId="12">
    <w:abstractNumId w:val="42"/>
  </w:num>
  <w:num w:numId="13">
    <w:abstractNumId w:val="47"/>
  </w:num>
  <w:num w:numId="14">
    <w:abstractNumId w:val="37"/>
  </w:num>
  <w:num w:numId="15">
    <w:abstractNumId w:val="46"/>
  </w:num>
  <w:num w:numId="16">
    <w:abstractNumId w:val="15"/>
  </w:num>
  <w:num w:numId="17">
    <w:abstractNumId w:val="30"/>
  </w:num>
  <w:num w:numId="18">
    <w:abstractNumId w:val="17"/>
  </w:num>
  <w:num w:numId="19">
    <w:abstractNumId w:val="20"/>
  </w:num>
  <w:num w:numId="20">
    <w:abstractNumId w:val="35"/>
  </w:num>
  <w:num w:numId="21">
    <w:abstractNumId w:val="0"/>
  </w:num>
  <w:num w:numId="22">
    <w:abstractNumId w:val="50"/>
  </w:num>
  <w:num w:numId="23">
    <w:abstractNumId w:val="7"/>
  </w:num>
  <w:num w:numId="24">
    <w:abstractNumId w:val="26"/>
  </w:num>
  <w:num w:numId="25">
    <w:abstractNumId w:val="13"/>
  </w:num>
  <w:num w:numId="26">
    <w:abstractNumId w:val="24"/>
  </w:num>
  <w:num w:numId="27">
    <w:abstractNumId w:val="45"/>
  </w:num>
  <w:num w:numId="28">
    <w:abstractNumId w:val="11"/>
  </w:num>
  <w:num w:numId="29">
    <w:abstractNumId w:val="48"/>
  </w:num>
  <w:num w:numId="30">
    <w:abstractNumId w:val="10"/>
  </w:num>
  <w:num w:numId="31">
    <w:abstractNumId w:val="12"/>
  </w:num>
  <w:num w:numId="32">
    <w:abstractNumId w:val="5"/>
  </w:num>
  <w:num w:numId="33">
    <w:abstractNumId w:val="4"/>
  </w:num>
  <w:num w:numId="34">
    <w:abstractNumId w:val="39"/>
  </w:num>
  <w:num w:numId="35">
    <w:abstractNumId w:val="23"/>
  </w:num>
  <w:num w:numId="36">
    <w:abstractNumId w:val="3"/>
  </w:num>
  <w:num w:numId="37">
    <w:abstractNumId w:val="25"/>
  </w:num>
  <w:num w:numId="38">
    <w:abstractNumId w:val="32"/>
  </w:num>
  <w:num w:numId="39">
    <w:abstractNumId w:val="4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1"/>
  </w:num>
  <w:num w:numId="44">
    <w:abstractNumId w:val="2"/>
  </w:num>
  <w:num w:numId="45">
    <w:abstractNumId w:val="29"/>
  </w:num>
  <w:num w:numId="46">
    <w:abstractNumId w:val="27"/>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8"/>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43"/>
  </w:num>
  <w:num w:numId="54">
    <w:abstractNumId w:val="33"/>
  </w:num>
  <w:num w:numId="55">
    <w:abstractNumId w:val="52"/>
  </w:num>
  <w:num w:numId="56">
    <w:abstractNumId w:val="38"/>
  </w:num>
  <w:num w:numId="57">
    <w:abstractNumId w:val="18"/>
  </w:num>
  <w:num w:numId="58">
    <w:abstractNumId w:val="8"/>
  </w:num>
  <w:num w:numId="59">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060B9"/>
    <w:rsid w:val="00011CFE"/>
    <w:rsid w:val="00015E20"/>
    <w:rsid w:val="00017452"/>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97BF4"/>
    <w:rsid w:val="000A26FC"/>
    <w:rsid w:val="000B3293"/>
    <w:rsid w:val="000B3603"/>
    <w:rsid w:val="000C3174"/>
    <w:rsid w:val="000C4D65"/>
    <w:rsid w:val="000C533E"/>
    <w:rsid w:val="000D162B"/>
    <w:rsid w:val="000D182D"/>
    <w:rsid w:val="000D694E"/>
    <w:rsid w:val="000E1DEB"/>
    <w:rsid w:val="000E22E3"/>
    <w:rsid w:val="000E4373"/>
    <w:rsid w:val="000E5A82"/>
    <w:rsid w:val="000E65AE"/>
    <w:rsid w:val="000F34B6"/>
    <w:rsid w:val="000F4834"/>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55009"/>
    <w:rsid w:val="00160D28"/>
    <w:rsid w:val="001621C2"/>
    <w:rsid w:val="00164947"/>
    <w:rsid w:val="00165B0A"/>
    <w:rsid w:val="001672C4"/>
    <w:rsid w:val="00167517"/>
    <w:rsid w:val="001704CD"/>
    <w:rsid w:val="0017120F"/>
    <w:rsid w:val="00174DB9"/>
    <w:rsid w:val="0018468B"/>
    <w:rsid w:val="00185765"/>
    <w:rsid w:val="0018604C"/>
    <w:rsid w:val="001920C4"/>
    <w:rsid w:val="0019224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618D"/>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24EB8"/>
    <w:rsid w:val="0023024F"/>
    <w:rsid w:val="00231334"/>
    <w:rsid w:val="00231678"/>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3812"/>
    <w:rsid w:val="002C6565"/>
    <w:rsid w:val="002D0B46"/>
    <w:rsid w:val="002D4BDB"/>
    <w:rsid w:val="002D624A"/>
    <w:rsid w:val="002D71DD"/>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5AAF"/>
    <w:rsid w:val="00337A26"/>
    <w:rsid w:val="00340EAC"/>
    <w:rsid w:val="003413DF"/>
    <w:rsid w:val="003436BC"/>
    <w:rsid w:val="003441F4"/>
    <w:rsid w:val="0034429F"/>
    <w:rsid w:val="0034438F"/>
    <w:rsid w:val="0034498A"/>
    <w:rsid w:val="0035051B"/>
    <w:rsid w:val="00350B77"/>
    <w:rsid w:val="00351FE6"/>
    <w:rsid w:val="00352218"/>
    <w:rsid w:val="0035756E"/>
    <w:rsid w:val="0036132A"/>
    <w:rsid w:val="00370920"/>
    <w:rsid w:val="00377951"/>
    <w:rsid w:val="00384B6B"/>
    <w:rsid w:val="00390A2D"/>
    <w:rsid w:val="00392100"/>
    <w:rsid w:val="00392D02"/>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6F0C"/>
    <w:rsid w:val="00487C11"/>
    <w:rsid w:val="004948B1"/>
    <w:rsid w:val="00495DA4"/>
    <w:rsid w:val="004979E1"/>
    <w:rsid w:val="004A05C6"/>
    <w:rsid w:val="004A3309"/>
    <w:rsid w:val="004A5D34"/>
    <w:rsid w:val="004A628A"/>
    <w:rsid w:val="004A7E89"/>
    <w:rsid w:val="004B1C50"/>
    <w:rsid w:val="004B316C"/>
    <w:rsid w:val="004B3347"/>
    <w:rsid w:val="004B4E16"/>
    <w:rsid w:val="004B505D"/>
    <w:rsid w:val="004B69E4"/>
    <w:rsid w:val="004B79F9"/>
    <w:rsid w:val="004C10D7"/>
    <w:rsid w:val="004C3D0F"/>
    <w:rsid w:val="004C3E58"/>
    <w:rsid w:val="004D2942"/>
    <w:rsid w:val="004D5FF7"/>
    <w:rsid w:val="004E7BF2"/>
    <w:rsid w:val="004F185C"/>
    <w:rsid w:val="004F38B1"/>
    <w:rsid w:val="004F63D7"/>
    <w:rsid w:val="004F7571"/>
    <w:rsid w:val="004F79F1"/>
    <w:rsid w:val="00500329"/>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67718"/>
    <w:rsid w:val="005706E1"/>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654B"/>
    <w:rsid w:val="005B717A"/>
    <w:rsid w:val="005C01DF"/>
    <w:rsid w:val="005C140B"/>
    <w:rsid w:val="005C3897"/>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33675"/>
    <w:rsid w:val="00635F00"/>
    <w:rsid w:val="00644C25"/>
    <w:rsid w:val="0064643F"/>
    <w:rsid w:val="00647326"/>
    <w:rsid w:val="00651800"/>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C6040"/>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5276"/>
    <w:rsid w:val="00846B5F"/>
    <w:rsid w:val="00847C6C"/>
    <w:rsid w:val="00855314"/>
    <w:rsid w:val="00856415"/>
    <w:rsid w:val="008568EE"/>
    <w:rsid w:val="008575C5"/>
    <w:rsid w:val="00861560"/>
    <w:rsid w:val="00861CA8"/>
    <w:rsid w:val="0086616C"/>
    <w:rsid w:val="008700C9"/>
    <w:rsid w:val="00871FE7"/>
    <w:rsid w:val="0087627D"/>
    <w:rsid w:val="00877895"/>
    <w:rsid w:val="008778D1"/>
    <w:rsid w:val="0088239F"/>
    <w:rsid w:val="008841DA"/>
    <w:rsid w:val="00884A75"/>
    <w:rsid w:val="008850C6"/>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03FC5"/>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2CA9"/>
    <w:rsid w:val="0095429E"/>
    <w:rsid w:val="00956C2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79CA"/>
    <w:rsid w:val="009D7FEE"/>
    <w:rsid w:val="009E01EC"/>
    <w:rsid w:val="009E0D35"/>
    <w:rsid w:val="009E2A6D"/>
    <w:rsid w:val="009E6E68"/>
    <w:rsid w:val="009F3E8A"/>
    <w:rsid w:val="009F7CD0"/>
    <w:rsid w:val="00A0086F"/>
    <w:rsid w:val="00A03883"/>
    <w:rsid w:val="00A06AD7"/>
    <w:rsid w:val="00A076BF"/>
    <w:rsid w:val="00A07AF4"/>
    <w:rsid w:val="00A15D7E"/>
    <w:rsid w:val="00A202A0"/>
    <w:rsid w:val="00A20AF9"/>
    <w:rsid w:val="00A219A2"/>
    <w:rsid w:val="00A22C93"/>
    <w:rsid w:val="00A26274"/>
    <w:rsid w:val="00A26A50"/>
    <w:rsid w:val="00A3335D"/>
    <w:rsid w:val="00A33DD0"/>
    <w:rsid w:val="00A350FA"/>
    <w:rsid w:val="00A35581"/>
    <w:rsid w:val="00A36E8B"/>
    <w:rsid w:val="00A458B5"/>
    <w:rsid w:val="00A50351"/>
    <w:rsid w:val="00A50DD2"/>
    <w:rsid w:val="00A612B8"/>
    <w:rsid w:val="00A620D5"/>
    <w:rsid w:val="00A6487B"/>
    <w:rsid w:val="00A67DB2"/>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5375"/>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425CA"/>
    <w:rsid w:val="00D4485F"/>
    <w:rsid w:val="00D45212"/>
    <w:rsid w:val="00D468B6"/>
    <w:rsid w:val="00D46DC9"/>
    <w:rsid w:val="00D47735"/>
    <w:rsid w:val="00D54FE9"/>
    <w:rsid w:val="00D55AF4"/>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405EC"/>
    <w:rsid w:val="00E41E89"/>
    <w:rsid w:val="00E42A4E"/>
    <w:rsid w:val="00E47289"/>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6687"/>
    <w:rsid w:val="00FA7693"/>
    <w:rsid w:val="00FB3D20"/>
    <w:rsid w:val="00FB3FDF"/>
    <w:rsid w:val="00FB47DA"/>
    <w:rsid w:val="00FB4B32"/>
    <w:rsid w:val="00FB5EC9"/>
    <w:rsid w:val="00FB6F76"/>
    <w:rsid w:val="00FC1FE9"/>
    <w:rsid w:val="00FC472D"/>
    <w:rsid w:val="00FC4FDC"/>
    <w:rsid w:val="00FC57A4"/>
    <w:rsid w:val="00FC6010"/>
    <w:rsid w:val="00FD3356"/>
    <w:rsid w:val="00FD61D4"/>
    <w:rsid w:val="00FE75AC"/>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501237134">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51463049">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1310569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649868860">
      <w:bodyDiv w:val="1"/>
      <w:marLeft w:val="0"/>
      <w:marRight w:val="0"/>
      <w:marTop w:val="0"/>
      <w:marBottom w:val="0"/>
      <w:divBdr>
        <w:top w:val="none" w:sz="0" w:space="0" w:color="auto"/>
        <w:left w:val="none" w:sz="0" w:space="0" w:color="auto"/>
        <w:bottom w:val="none" w:sz="0" w:space="0" w:color="auto"/>
        <w:right w:val="none" w:sz="0" w:space="0" w:color="auto"/>
      </w:divBdr>
    </w:div>
    <w:div w:id="1781802627">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uct@snopa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765B-F96C-4E58-8AC1-DB23D2C0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2594</Words>
  <Characters>15311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Mrkvová Renáta</cp:lastModifiedBy>
  <cp:revision>4</cp:revision>
  <cp:lastPrinted>2023-06-09T09:39:00Z</cp:lastPrinted>
  <dcterms:created xsi:type="dcterms:W3CDTF">2023-08-09T09:58:00Z</dcterms:created>
  <dcterms:modified xsi:type="dcterms:W3CDTF">2023-08-16T10:20:00Z</dcterms:modified>
</cp:coreProperties>
</file>