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98" w:rsidRPr="00165898" w:rsidRDefault="00165898" w:rsidP="00165898">
      <w:pPr>
        <w:tabs>
          <w:tab w:val="left" w:pos="2520"/>
        </w:tabs>
        <w:spacing w:before="120" w:after="0" w:line="240" w:lineRule="auto"/>
        <w:jc w:val="both"/>
        <w:rPr>
          <w:rFonts w:ascii="Tahoma" w:eastAsia="Times New Roman" w:hAnsi="Tahoma" w:cs="Tahoma"/>
          <w:b/>
          <w:iCs/>
          <w:szCs w:val="24"/>
          <w:lang w:eastAsia="cs-CZ"/>
        </w:rPr>
      </w:pPr>
    </w:p>
    <w:p w:rsidR="00165898" w:rsidRPr="00165898" w:rsidRDefault="00165898" w:rsidP="00165898">
      <w:pPr>
        <w:spacing w:after="0" w:line="240" w:lineRule="auto"/>
        <w:rPr>
          <w:rFonts w:ascii="Tahoma" w:eastAsia="Times New Roman" w:hAnsi="Tahoma" w:cs="Tahoma"/>
          <w:b/>
          <w:iCs/>
          <w:szCs w:val="24"/>
          <w:lang w:eastAsia="cs-CZ"/>
        </w:rPr>
      </w:pPr>
      <w:r w:rsidRPr="00165898">
        <w:rPr>
          <w:rFonts w:ascii="Tahoma" w:eastAsia="Times New Roman" w:hAnsi="Tahoma" w:cs="Tahoma"/>
          <w:b/>
          <w:iCs/>
          <w:szCs w:val="24"/>
          <w:lang w:eastAsia="cs-CZ"/>
        </w:rPr>
        <w:t xml:space="preserve">Příloha </w:t>
      </w:r>
      <w:proofErr w:type="gramStart"/>
      <w:r w:rsidRPr="00165898">
        <w:rPr>
          <w:rFonts w:ascii="Tahoma" w:eastAsia="Times New Roman" w:hAnsi="Tahoma" w:cs="Tahoma"/>
          <w:b/>
          <w:iCs/>
          <w:szCs w:val="24"/>
          <w:lang w:eastAsia="cs-CZ"/>
        </w:rPr>
        <w:t>č.1 – Technická</w:t>
      </w:r>
      <w:proofErr w:type="gramEnd"/>
      <w:r w:rsidRPr="00165898">
        <w:rPr>
          <w:rFonts w:ascii="Tahoma" w:eastAsia="Times New Roman" w:hAnsi="Tahoma" w:cs="Tahoma"/>
          <w:b/>
          <w:iCs/>
          <w:szCs w:val="24"/>
          <w:lang w:eastAsia="cs-CZ"/>
        </w:rPr>
        <w:t xml:space="preserve"> specifikace a popis zboží</w:t>
      </w:r>
    </w:p>
    <w:p w:rsidR="00165898" w:rsidRPr="00165898" w:rsidRDefault="00165898" w:rsidP="00165898">
      <w:pPr>
        <w:spacing w:after="0" w:line="240" w:lineRule="auto"/>
        <w:rPr>
          <w:rFonts w:ascii="Tahoma" w:eastAsia="Times New Roman" w:hAnsi="Tahoma" w:cs="Tahoma"/>
          <w:b/>
          <w:iCs/>
          <w:szCs w:val="24"/>
          <w:lang w:eastAsia="cs-CZ"/>
        </w:rPr>
      </w:pP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6589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1B6DF8D" wp14:editId="6FAB14FD">
            <wp:simplePos x="0" y="0"/>
            <wp:positionH relativeFrom="column">
              <wp:posOffset>4253230</wp:posOffset>
            </wp:positionH>
            <wp:positionV relativeFrom="paragraph">
              <wp:posOffset>-594995</wp:posOffset>
            </wp:positionV>
            <wp:extent cx="1588135" cy="8477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658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NeuMoDx</w:t>
      </w:r>
      <w:r w:rsidRPr="00165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cs-CZ"/>
        </w:rPr>
        <w:t>TM</w:t>
      </w:r>
      <w:proofErr w:type="spellEnd"/>
      <w:r w:rsidRPr="001658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96  - specifikace přístroje</w:t>
      </w:r>
      <w:r w:rsidRPr="001658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1658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Velkokapacitní plně automatický systém integrující izolaci nukleových kyselin a </w:t>
      </w:r>
      <w:proofErr w:type="spellStart"/>
      <w:r w:rsidRPr="00165898">
        <w:rPr>
          <w:rFonts w:ascii="Times New Roman" w:eastAsia="Times New Roman" w:hAnsi="Times New Roman" w:cs="Calibri"/>
          <w:sz w:val="24"/>
          <w:szCs w:val="24"/>
          <w:lang w:eastAsia="cs-CZ"/>
        </w:rPr>
        <w:t>real-time</w:t>
      </w:r>
      <w:proofErr w:type="spellEnd"/>
      <w:r w:rsidRPr="00165898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PCR s vyhodnocením od firmy </w:t>
      </w:r>
      <w:proofErr w:type="spellStart"/>
      <w:r w:rsidRPr="00165898">
        <w:rPr>
          <w:rFonts w:ascii="Times New Roman" w:eastAsia="Times New Roman" w:hAnsi="Times New Roman" w:cs="Calibri"/>
          <w:sz w:val="24"/>
          <w:szCs w:val="24"/>
          <w:lang w:eastAsia="cs-CZ"/>
        </w:rPr>
        <w:t>NeuMoDx</w:t>
      </w:r>
      <w:proofErr w:type="spellEnd"/>
      <w:r w:rsidRPr="00165898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, </w:t>
      </w:r>
      <w:proofErr w:type="spellStart"/>
      <w:r w:rsidRPr="00165898">
        <w:rPr>
          <w:rFonts w:ascii="Times New Roman" w:eastAsia="Times New Roman" w:hAnsi="Times New Roman" w:cs="Calibri"/>
          <w:sz w:val="24"/>
          <w:szCs w:val="24"/>
          <w:lang w:eastAsia="cs-CZ"/>
        </w:rPr>
        <w:t>Michgan</w:t>
      </w:r>
      <w:proofErr w:type="spellEnd"/>
      <w:r w:rsidRPr="00165898">
        <w:rPr>
          <w:rFonts w:ascii="Times New Roman" w:eastAsia="Times New Roman" w:hAnsi="Times New Roman" w:cs="Calibri"/>
          <w:sz w:val="24"/>
          <w:szCs w:val="24"/>
          <w:lang w:eastAsia="cs-CZ"/>
        </w:rPr>
        <w:t>, USA (ISO13485:2016).</w:t>
      </w: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 xml:space="preserve"> </w:t>
      </w:r>
      <w:r w:rsidRPr="00165898">
        <w:rPr>
          <w:rFonts w:ascii="Times New Roman" w:eastAsia="Times New Roman" w:hAnsi="Times New Roman" w:cs="Calibri"/>
          <w:b/>
          <w:noProof/>
          <w:sz w:val="24"/>
          <w:szCs w:val="24"/>
          <w:lang w:eastAsia="cs-CZ"/>
        </w:rPr>
        <w:drawing>
          <wp:inline distT="0" distB="0" distL="0" distR="0" wp14:anchorId="115115EA" wp14:editId="6EC269FA">
            <wp:extent cx="2918460" cy="2194560"/>
            <wp:effectExtent l="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898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 xml:space="preserve"> </w:t>
      </w: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Rozměry přístroje</w:t>
      </w:r>
    </w:p>
    <w:p w:rsidR="00165898" w:rsidRPr="00165898" w:rsidRDefault="00165898" w:rsidP="00165898">
      <w:pPr>
        <w:numPr>
          <w:ilvl w:val="0"/>
          <w:numId w:val="1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137 x 109 x 109 (ší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ka x hloubka x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v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ý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š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ka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v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 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cm)</w:t>
      </w:r>
    </w:p>
    <w:p w:rsidR="00165898" w:rsidRPr="00165898" w:rsidRDefault="00165898" w:rsidP="00165898">
      <w:pPr>
        <w:numPr>
          <w:ilvl w:val="0"/>
          <w:numId w:val="1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hmotnost p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stroje: 272 kg</w:t>
      </w:r>
    </w:p>
    <w:p w:rsidR="00165898" w:rsidRPr="00165898" w:rsidRDefault="00165898" w:rsidP="00165898">
      <w:pPr>
        <w:numPr>
          <w:ilvl w:val="0"/>
          <w:numId w:val="1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lze umístit na laboratorní st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l </w:t>
      </w: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Provozní podmínky</w:t>
      </w:r>
    </w:p>
    <w:p w:rsidR="00165898" w:rsidRPr="00165898" w:rsidRDefault="00165898" w:rsidP="00165898">
      <w:pPr>
        <w:numPr>
          <w:ilvl w:val="0"/>
          <w:numId w:val="1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provozní teplota 18-28°C</w:t>
      </w:r>
    </w:p>
    <w:p w:rsidR="00165898" w:rsidRPr="00165898" w:rsidRDefault="00165898" w:rsidP="00165898">
      <w:pPr>
        <w:numPr>
          <w:ilvl w:val="0"/>
          <w:numId w:val="1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vlhkost 20-60%</w:t>
      </w:r>
    </w:p>
    <w:p w:rsidR="00165898" w:rsidRPr="00165898" w:rsidRDefault="00165898" w:rsidP="00165898">
      <w:pPr>
        <w:numPr>
          <w:ilvl w:val="0"/>
          <w:numId w:val="1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max. nadmo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sk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v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ý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š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ka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: 2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 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000 </w:t>
      </w:r>
      <w:proofErr w:type="spellStart"/>
      <w:proofErr w:type="gram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m.n.</w:t>
      </w:r>
      <w:proofErr w:type="gram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m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.</w:t>
      </w:r>
    </w:p>
    <w:p w:rsidR="00165898" w:rsidRPr="00165898" w:rsidRDefault="00165898" w:rsidP="00165898">
      <w:pPr>
        <w:numPr>
          <w:ilvl w:val="0"/>
          <w:numId w:val="1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hlu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nost: 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val="en-US" w:eastAsia="hi-IN" w:bidi="hi-IN"/>
        </w:rPr>
        <w:t>&lt;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65 dB</w:t>
      </w: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Specifikace napájení elektrické sítě 230 V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maximální vstupní výkon: 1 920 W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vstupní napětí: 230 VAC +/- 10%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maximální proud: 8 A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frekvence: 50 Hz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instala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kategorie II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stupeň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zne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i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t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2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stupeň ochrany IP 00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p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stroj je dod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v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n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v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etn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z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lo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ho zdroje</w:t>
      </w: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Parametry optických kanálů: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5 optických kanál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</w:p>
    <w:p w:rsidR="00165898" w:rsidRPr="00165898" w:rsidRDefault="00165898" w:rsidP="00165898">
      <w:pPr>
        <w:numPr>
          <w:ilvl w:val="1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Excitace 470, 530, 585, 625 a 680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nm</w:t>
      </w:r>
      <w:proofErr w:type="spellEnd"/>
    </w:p>
    <w:p w:rsidR="00165898" w:rsidRPr="00165898" w:rsidRDefault="00165898" w:rsidP="00165898">
      <w:pPr>
        <w:numPr>
          <w:ilvl w:val="1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Emise 510, 555, 610, 660 a 715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nm</w:t>
      </w:r>
      <w:proofErr w:type="spellEnd"/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Obecná charakteristika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pipetovací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systém od renomované firmy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Hamilton</w:t>
      </w:r>
      <w:proofErr w:type="spellEnd"/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izolace nukleových kyselin za pou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it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magnetick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ch partikul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PCR v reálném 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ase v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 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mikroobjemech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a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odd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len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ch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pozic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ch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automatické vyhodnocení výsledk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ů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lastRenderedPageBreak/>
        <w:t>mo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nost propojen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s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 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LIS 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intuitivní ovládání pomocí dotykového displeje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a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6 hod v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 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chodu bez zásahu operátora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plnoautomat s kontinuálním vládáním vzork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i reagenci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b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hem b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hu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p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stroje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otev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syst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m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umo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proofErr w:type="spell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ň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uje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automatick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zpracov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vlastn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ch (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home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-made, in house) test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–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sondy a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primery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 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kombinaci s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 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NeuMoDx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kazetami s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 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master mixem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systém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umo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ž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ň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uje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kontinu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ln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vkl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d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rozd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ln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ch typ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vzork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bez nutnosti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batchovat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–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true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random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access</w:t>
      </w:r>
      <w:proofErr w:type="spellEnd"/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systém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umo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ž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ň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uje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voln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kombinovat analyzovan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parametry 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–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reakce prob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haj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nez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visle na sob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–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lze kombinovat CE IVD testy s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 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LDT (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lab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developed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test)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kvalitativní i kvantitativní vyhodnocování test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v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etn</w:t>
      </w:r>
      <w:proofErr w:type="spell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multiplex anal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z (a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5 c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lov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ch sekvenc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analyzovan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ch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sou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asn</w:t>
      </w:r>
      <w:proofErr w:type="spell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)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informace o 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pr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b</w:t>
      </w:r>
      <w:proofErr w:type="spellEnd"/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hu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reakc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a doba do skon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en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b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ě</w:t>
      </w:r>
      <w:proofErr w:type="spellStart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hu</w:t>
      </w:r>
      <w:proofErr w:type="spellEnd"/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zobrazeny na obrazovce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kontinuální uvolňování výsledk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–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prvn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 v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sledek 60 min od za</w:t>
      </w:r>
      <w:r w:rsidRPr="00165898">
        <w:rPr>
          <w:rFonts w:ascii="MS Gothic" w:eastAsia="MS Gothic" w:hAnsi="MS Gothic" w:cs="MS Gothic" w:hint="eastAsia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SimSun" w:hint="eastAsia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tku běhu pro DNA, 80 min pro RNA analýzy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mo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nost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statimov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ho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vy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š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et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vzorku 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–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lze nastavit prioritn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zpracov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vybran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ch vzork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minimální odpad spot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ebn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ho materi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lu a tekutin d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ky vyu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it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technologie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mikrofluidn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ch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objem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ekonomické a ekologické zpracování – pouze 3 špi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ky na 1 vzorek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reak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kazety spole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pro 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š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echny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typy test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–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maxim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ln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jednoduchost obsluhy pro oper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tora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minimální riziko kontaminace - reagen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kazety uzav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eny foli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, posun ramene mimo plochu s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 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reagenciemi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mo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nost ponech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reagenci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v p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stroji (28 dn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))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dlouhá expira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doba reagenci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- skladov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reagenci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p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i pokojov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teplot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(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val="en-US" w:eastAsia="hi-IN" w:bidi="hi-IN"/>
        </w:rPr>
        <w:t>&gt;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1 rok)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systém vyu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patentovan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ý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typ such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chemie </w:t>
      </w:r>
      <w:proofErr w:type="spellStart"/>
      <w:proofErr w:type="gram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NeuDry</w:t>
      </w:r>
      <w:proofErr w:type="spellEnd"/>
      <w:proofErr w:type="gram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–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proofErr w:type="gram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nejde</w:t>
      </w:r>
      <w:proofErr w:type="gram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o klasick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lyofiliz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ty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, ale o speci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ln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zp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sob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su</w:t>
      </w:r>
      <w:proofErr w:type="spell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š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mastermixu</w:t>
      </w:r>
      <w:proofErr w:type="spellEnd"/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reagencie skladované v pokojové teplotě bez nutnosti chlazení 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i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uskladn</w:t>
      </w:r>
      <w:proofErr w:type="spell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v -20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°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C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flexibilita v pou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it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prim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rn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ch zkumavek (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pr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m</w:t>
      </w:r>
      <w:proofErr w:type="spell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r 11-18 mm,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ý</w:t>
      </w:r>
      <w:proofErr w:type="spell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š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ka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60-120 mm, 1,5 ml zkumavky)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na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t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vzork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a reagenci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pomoc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arov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ho k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ó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du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pro zadávání test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lze vyu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t dotykovou obrazovku i kl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vesnici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snadná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dohledatelnost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a zpětné zobrazení výsledk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,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v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etn</w:t>
      </w:r>
      <w:proofErr w:type="spellEnd"/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Ct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hodnot a k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ř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ivek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lastRenderedPageBreak/>
        <w:t xml:space="preserve">výsledky lze vytisknout 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i 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 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pdf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exportovat report pro vzorek, pro b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ě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h, pro vybran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č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asov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é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obdob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í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výsledkové listy lze upravovat dle po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ž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adavk</w:t>
      </w:r>
      <w:r w:rsidRPr="00165898">
        <w:rPr>
          <w:rFonts w:ascii="MS Gothic" w:eastAsia="MS Gothic" w:hAnsi="MS Gothic" w:cs="MS Gothic" w:hint="eastAsia"/>
          <w:color w:val="000000"/>
          <w:kern w:val="2"/>
          <w:sz w:val="24"/>
          <w:szCs w:val="21"/>
          <w:lang w:eastAsia="hi-IN" w:bidi="hi-IN"/>
        </w:rPr>
        <w:t>ů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oper</w:t>
      </w:r>
      <w:r w:rsidRPr="00165898">
        <w:rPr>
          <w:rFonts w:ascii="SimSun" w:eastAsia="SimSun" w:hAnsi="SimSun" w:cs="SimSun" w:hint="eastAsia"/>
          <w:color w:val="000000"/>
          <w:kern w:val="2"/>
          <w:sz w:val="24"/>
          <w:szCs w:val="21"/>
          <w:lang w:eastAsia="hi-IN" w:bidi="hi-IN"/>
        </w:rPr>
        <w:t>á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tora</w:t>
      </w:r>
    </w:p>
    <w:p w:rsidR="00165898" w:rsidRPr="00165898" w:rsidRDefault="00165898" w:rsidP="00165898">
      <w:pPr>
        <w:widowControl w:val="0"/>
        <w:suppressAutoHyphens/>
        <w:spacing w:after="0" w:line="240" w:lineRule="auto"/>
        <w:ind w:left="720"/>
        <w:contextualSpacing/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</w:pP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Portfolio CE IVD </w:t>
      </w:r>
      <w:proofErr w:type="spellStart"/>
      <w:r w:rsidRPr="001658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assayí</w:t>
      </w:r>
      <w:proofErr w:type="spellEnd"/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Chlamydia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trachomatis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>+</w:t>
      </w:r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Neisseria</w:t>
      </w:r>
      <w:proofErr w:type="spellEnd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Calibri"/>
          <w:color w:val="000000"/>
          <w:kern w:val="2"/>
          <w:sz w:val="24"/>
          <w:szCs w:val="21"/>
          <w:lang w:eastAsia="hi-IN" w:bidi="hi-IN"/>
        </w:rPr>
        <w:t>Gonnorhoeae</w:t>
      </w:r>
      <w:proofErr w:type="spellEnd"/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HBV kvantitativně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HCV kvantitativně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CMV kvantitativně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EBV kvantitativně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Trichomonas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vaginalis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</w:t>
      </w:r>
      <w:r w:rsidRPr="00165898">
        <w:rPr>
          <w:rFonts w:ascii="SimSun" w:eastAsia="SimSun" w:hAnsi="SimSun" w:cs="Calibri"/>
          <w:kern w:val="2"/>
          <w:sz w:val="24"/>
          <w:szCs w:val="21"/>
          <w:lang w:eastAsia="hi-IN" w:bidi="hi-IN"/>
        </w:rPr>
        <w:t xml:space="preserve">+ </w:t>
      </w: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Mycoplasma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</w:t>
      </w: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genitalium</w:t>
      </w:r>
      <w:proofErr w:type="spellEnd"/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SARS COV-2 (COVID-19)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HIV </w:t>
      </w: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quant</w:t>
      </w:r>
      <w:proofErr w:type="spellEnd"/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Streptococcus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skupiny B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Streptococcus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skupiny A</w:t>
      </w:r>
    </w:p>
    <w:p w:rsidR="00165898" w:rsidRPr="00165898" w:rsidRDefault="00165898" w:rsidP="00165898">
      <w:pPr>
        <w:numPr>
          <w:ilvl w:val="0"/>
          <w:numId w:val="2"/>
        </w:numPr>
        <w:spacing w:after="160" w:line="256" w:lineRule="auto"/>
        <w:contextualSpacing/>
        <w:rPr>
          <w:rFonts w:ascii="SimSun" w:eastAsia="SimSun" w:hAnsi="SimSun" w:cs="Mangal"/>
          <w:kern w:val="2"/>
          <w:sz w:val="24"/>
          <w:szCs w:val="21"/>
          <w:lang w:eastAsia="hi-IN" w:bidi="hi-IN"/>
        </w:rPr>
      </w:pPr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LDT – </w:t>
      </w: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home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made </w:t>
      </w:r>
      <w:proofErr w:type="spellStart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>assaye</w:t>
      </w:r>
      <w:proofErr w:type="spellEnd"/>
      <w:r w:rsidRPr="00165898">
        <w:rPr>
          <w:rFonts w:ascii="SimSun" w:eastAsia="SimSun" w:hAnsi="SimSun" w:cs="Mangal"/>
          <w:kern w:val="2"/>
          <w:sz w:val="24"/>
          <w:szCs w:val="21"/>
          <w:lang w:eastAsia="hi-IN" w:bidi="hi-IN"/>
        </w:rPr>
        <w:t xml:space="preserve"> DNA i RNA kvalitativně i kvantitativně</w:t>
      </w: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5898" w:rsidRPr="00165898" w:rsidRDefault="00165898" w:rsidP="0016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kontinuity laboratorních procesů, aplikační a servisní podpory doporučujeme dodávku diagnostik a přístroje od jednoho dodavatele. </w:t>
      </w:r>
    </w:p>
    <w:p w:rsidR="00165898" w:rsidRPr="00165898" w:rsidRDefault="00165898" w:rsidP="00165898">
      <w:pPr>
        <w:spacing w:after="0" w:line="240" w:lineRule="auto"/>
        <w:rPr>
          <w:rFonts w:ascii="Tahoma" w:eastAsia="Times New Roman" w:hAnsi="Tahoma" w:cs="Tahoma"/>
          <w:b/>
          <w:iCs/>
          <w:szCs w:val="24"/>
          <w:lang w:eastAsia="cs-CZ"/>
        </w:rPr>
      </w:pPr>
    </w:p>
    <w:p w:rsidR="009E2654" w:rsidRDefault="009E2654">
      <w:bookmarkStart w:id="0" w:name="_GoBack"/>
      <w:bookmarkEnd w:id="0"/>
    </w:p>
    <w:sectPr w:rsidR="009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2C3A"/>
    <w:multiLevelType w:val="hybridMultilevel"/>
    <w:tmpl w:val="C13CA996"/>
    <w:lvl w:ilvl="0" w:tplc="52723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EC4"/>
    <w:multiLevelType w:val="hybridMultilevel"/>
    <w:tmpl w:val="1152EE8C"/>
    <w:lvl w:ilvl="0" w:tplc="7180A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98"/>
    <w:rsid w:val="00165898"/>
    <w:rsid w:val="00837713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1</cp:revision>
  <dcterms:created xsi:type="dcterms:W3CDTF">2023-08-15T10:51:00Z</dcterms:created>
  <dcterms:modified xsi:type="dcterms:W3CDTF">2023-08-15T10:53:00Z</dcterms:modified>
</cp:coreProperties>
</file>