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609CB" w:rsidRPr="009B7FF5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F5" w:rsidRPr="009B7FF5" w:rsidRDefault="009B7FF5" w:rsidP="009B7FF5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609CB" w:rsidRPr="009B7FF5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4705" w:right="28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Smlouva o smlouvě budoucí o připojení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na napěťové hladině NN</w:t>
      </w:r>
    </w:p>
    <w:p w:rsidR="008609CB" w:rsidRDefault="008609CB">
      <w:pPr>
        <w:widowControl w:val="0"/>
        <w:autoSpaceDE w:val="0"/>
        <w:autoSpaceDN w:val="0"/>
        <w:adjustRightInd w:val="0"/>
        <w:spacing w:after="0" w:line="240" w:lineRule="auto"/>
        <w:ind w:left="4705" w:right="28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236"/>
      </w:tblGrid>
      <w:tr w:rsidR="008609CB" w:rsidRPr="009B7FF5">
        <w:trPr>
          <w:trHeight w:hRule="exact" w:val="1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9B7FF5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170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FF5">
              <w:rPr>
                <w:noProof/>
              </w:rPr>
              <w:pict>
                <v:roundrect id="_x0000_s1026" style="position:absolute;left:0;text-align:left;margin-left:1.4pt;margin-top:1.45pt;width:308.95pt;height:53.85pt;z-index:1;mso-wrap-distance-left:0;mso-wrap-distance-top:0;mso-wrap-distance-right:0;mso-wrap-distance-bottom:9.99947mm;mso-position-horizontal-relative:page;mso-position-vertical-relative:page" arcsize="10923f" strokecolor="#bebebe" strokeweight=".99994mm">
                  <v:fill opacity="0"/>
                  <w10:wrap anchorx="page" anchory="page"/>
                </v:roundrect>
              </w:pict>
            </w:r>
            <w:r w:rsidR="00E11FE5" w:rsidRPr="009B7FF5">
              <w:rPr>
                <w:rFonts w:ascii="Arial" w:hAnsi="Arial" w:cs="Arial"/>
                <w:b/>
                <w:bCs/>
                <w:sz w:val="20"/>
                <w:szCs w:val="20"/>
              </w:rPr>
              <w:t>Číslo smlouvy</w:t>
            </w:r>
            <w:r w:rsidR="00E11FE5" w:rsidRPr="009B7FF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8832302971</w:t>
            </w:r>
          </w:p>
          <w:p w:rsidR="008609CB" w:rsidRPr="009B7FF5" w:rsidRDefault="00E11FE5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56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FF5">
              <w:rPr>
                <w:rFonts w:ascii="Arial" w:hAnsi="Arial" w:cs="Arial"/>
                <w:b/>
                <w:bCs/>
                <w:sz w:val="20"/>
                <w:szCs w:val="20"/>
              </w:rPr>
              <w:t>Číslo SPP</w:t>
            </w:r>
            <w:r w:rsidRPr="009B7FF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S- 153466</w:t>
            </w:r>
          </w:p>
          <w:p w:rsidR="008609CB" w:rsidRPr="009B7FF5" w:rsidRDefault="00E11FE5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56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FF5">
              <w:rPr>
                <w:rFonts w:ascii="Arial" w:hAnsi="Arial" w:cs="Arial"/>
                <w:b/>
                <w:bCs/>
                <w:sz w:val="20"/>
                <w:szCs w:val="20"/>
              </w:rPr>
              <w:t>Číslo Žádosti</w:t>
            </w:r>
            <w:r w:rsidRPr="009B7FF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25193995</w:t>
            </w:r>
          </w:p>
        </w:tc>
      </w:tr>
    </w:tbl>
    <w:p w:rsidR="008609CB" w:rsidRDefault="00860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Provozovatel distribuční soustavy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(na straně jedné): PREdistribuce, a.s.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Svornosti 3199/19a, Praha 5. PSČ 150 00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zapsaný v OR Městského soudu v Praze, spisová značka B 10158 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pro doručování: Praha 10, Na Hroudě 1492/4, PSČ 100 05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Bc. Josefem Forejtem, vedoucím oddělení Projektová příprava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273 76 516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DIČ: CZ 273 76 516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ČSOB, a.s.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 17494043/0300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pověřené k jednání ve věcech plnění smlouvy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osoba pověřená přípravou):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Milena Benešová, oddělení Projektová příprava, tel: 267052623, email: milena.benesova@predistribuce.cz 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623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datové schránky: vgsfsr3 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"PREdi"</w:t>
      </w:r>
    </w:p>
    <w:p w:rsidR="008609CB" w:rsidRDefault="008609CB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Arial" w:hAnsi="Arial" w:cs="Arial"/>
          <w:sz w:val="20"/>
          <w:szCs w:val="20"/>
        </w:rPr>
      </w:pPr>
    </w:p>
    <w:p w:rsidR="008609CB" w:rsidRDefault="008609CB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Arial" w:hAnsi="Arial" w:cs="Arial"/>
          <w:sz w:val="20"/>
          <w:szCs w:val="20"/>
        </w:rPr>
      </w:pP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Žadatel (na straně druhé): </w:t>
      </w:r>
      <w:bookmarkStart w:id="0" w:name="_GoBack"/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ČR - Národ</w:t>
      </w:r>
      <w:r w:rsidR="009B7FF5">
        <w:rPr>
          <w:rFonts w:ascii="Arial" w:hAnsi="Arial" w:cs="Arial"/>
          <w:b/>
          <w:bCs/>
          <w:sz w:val="20"/>
          <w:szCs w:val="20"/>
        </w:rPr>
        <w:t>ní úřad pro kybernetickou a inf</w:t>
      </w:r>
      <w:r>
        <w:rPr>
          <w:rFonts w:ascii="Arial" w:hAnsi="Arial" w:cs="Arial"/>
          <w:b/>
          <w:bCs/>
          <w:sz w:val="20"/>
          <w:szCs w:val="20"/>
        </w:rPr>
        <w:t>ormační bezpečnost</w:t>
      </w:r>
      <w:bookmarkEnd w:id="0"/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Mučednická 1125/31</w:t>
      </w:r>
      <w:r>
        <w:rPr>
          <w:rFonts w:ascii="Arial" w:hAnsi="Arial" w:cs="Arial"/>
          <w:sz w:val="20"/>
          <w:szCs w:val="20"/>
        </w:rPr>
        <w:br/>
        <w:t>616 00  Brno - Žabovřesky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zapsaný v 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Ing. Lukáš Kintr, ředitel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058 00 226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DIČ: CZ 058 00 226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č.ú.: </w:t>
      </w: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"Žadatel"</w:t>
      </w:r>
    </w:p>
    <w:p w:rsidR="008609CB" w:rsidRDefault="00860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9CB" w:rsidRDefault="00E11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níže uvedeného dne, měsíce a roku tuto</w:t>
      </w:r>
    </w:p>
    <w:p w:rsidR="008609CB" w:rsidRDefault="00E11FE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SMLOUVU O SMLOUVĚ BUDOUCÍ O PŘIPOJENÍ </w:t>
      </w:r>
      <w:r>
        <w:rPr>
          <w:rFonts w:ascii="Arial" w:hAnsi="Arial" w:cs="Arial"/>
          <w:sz w:val="20"/>
          <w:szCs w:val="20"/>
        </w:rPr>
        <w:t>(dále jen „Smlouva“)</w:t>
      </w:r>
    </w:p>
    <w:p w:rsidR="008609CB" w:rsidRDefault="00E11FE5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zák. č. 458/2000 Sb., energetický zákon (dále jen „Zákon“), a jeho prováděcích právních předpisů (dále jen „příslušné prováděcí předpisy“), jak následuje:</w:t>
      </w:r>
    </w:p>
    <w:p w:rsidR="008609CB" w:rsidRDefault="00E11FE5">
      <w:pPr>
        <w:tabs>
          <w:tab w:val="left" w:pos="340"/>
        </w:tabs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Předmět smlouvy</w:t>
      </w:r>
    </w:p>
    <w:p w:rsidR="008609CB" w:rsidRDefault="00E11FE5">
      <w:pPr>
        <w:tabs>
          <w:tab w:val="left" w:pos="283"/>
        </w:tabs>
        <w:autoSpaceDE w:val="0"/>
        <w:autoSpaceDN w:val="0"/>
        <w:adjustRightInd w:val="0"/>
        <w:spacing w:before="170" w:after="0" w:line="259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za níže dohodnutých podmínek:</w:t>
      </w:r>
    </w:p>
    <w:p w:rsidR="008609CB" w:rsidRDefault="00E11FE5">
      <w:pPr>
        <w:autoSpaceDE w:val="0"/>
        <w:autoSpaceDN w:val="0"/>
        <w:adjustRightInd w:val="0"/>
        <w:spacing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závazek Žadatele a PREdi uzavřít v budoucnu smlouvu o připojení zařízení Žadatele specifikovaného v čl. 3. této smlouvy k distribuční soustavě PREdi.</w:t>
      </w:r>
    </w:p>
    <w:p w:rsidR="008609CB" w:rsidRDefault="00E11FE5">
      <w:pPr>
        <w:autoSpaceDE w:val="0"/>
        <w:autoSpaceDN w:val="0"/>
        <w:adjustRightInd w:val="0"/>
        <w:spacing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závazek PREdi provést v kvalitě a způsobem stanoveným v této Smlouvě potřebná opatření v distribuční soustavě PREdi, která umožní připojení odběrného elektrického zařízení Žadatele.</w:t>
      </w:r>
    </w:p>
    <w:p w:rsidR="008609CB" w:rsidRDefault="00E11FE5">
      <w:pPr>
        <w:autoSpaceDE w:val="0"/>
        <w:autoSpaceDN w:val="0"/>
        <w:adjustRightInd w:val="0"/>
        <w:spacing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závazek Žadatele uhradit zálohu na podíl na oprávněných nákladech v souladu s čl. 6. Smlouvy.</w:t>
      </w:r>
    </w:p>
    <w:p w:rsidR="008609CB" w:rsidRDefault="008609CB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609CB" w:rsidRDefault="00E11FE5">
      <w:pPr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Podmínky připojení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Podmínky a způsob provedení potřebných opatření v distribuční soustavě PREdi v souvislosti s plněním této Smlouvy se řídí Zákonem, příslušnými prováděcími předpisy a Pravidly provozování distribuční soustavy schválenými Energetickým regulačním úřadem (dále jen "PPDS").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PREdi a Žadatel se zavazují uzavřít spolu po splnění této Smlouvy Smlouvu o připojení, jejímž předmětem bude připojení zařízení Žadatele k distribuční soustavě PREdi v kvalitě a způsobem podle Zákona, příslušných prováděcích předpisů a PPDS a zároveň závazek Žadatele uhradit PREdi podíl na nákladech spojených s připojením odběrného </w:t>
      </w:r>
      <w:r>
        <w:rPr>
          <w:rFonts w:ascii="Arial" w:hAnsi="Arial" w:cs="Arial"/>
          <w:sz w:val="20"/>
          <w:szCs w:val="20"/>
        </w:rPr>
        <w:lastRenderedPageBreak/>
        <w:t>zařízení k distribuční soustavě a se zajištěním požadovaného rezervovaného příkonu dle této Smlouvy. Smlouva o připojení na energetické dílo dle této Smlouvy bude uzavřena po zprovoznění energetického díla uvedeného v čl. 3. této Smlouvy ve lhůtě 30 dní od doručení výzvy kterékoli ze smluvních stran.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609CB" w:rsidRPr="009B7FF5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F5" w:rsidRPr="009B7FF5" w:rsidRDefault="009B7FF5" w:rsidP="009B7FF5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609CB" w:rsidRPr="009B7FF5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Způsob připojení dle této Smlouvy bude proveden jako standardní a umožní zajistit pro Žadatele v místě připojení dle této Smlouvy standardní kvalitu dodávky elektřiny stanovenou příslušným prováděcím předpisem. 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Místo a způsob připojení zařízení Žadatele jsou blíže specifikovány v článku 3. a Příloze č. 1 této Smlouvy. </w:t>
      </w:r>
    </w:p>
    <w:p w:rsidR="008609CB" w:rsidRDefault="00E11FE5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Specifikace místa a způsobu připojení zařízení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Místo připojení zařízení Žadatele k distribuční soustavě PREdi je následující: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připojení: Paťanka 218/3, Praha 6 - Dejvice  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Napěťová úroveň:NN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Rezervovaný příkon ve výši jmenovité hodnoty hlavního jističe před elektroměrem: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3 fázové připojení:160 A 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Stávající příkon ve výši jmenovité hodnoty hlavního jističe před elektroměrem: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3 fázové připojení:80 A 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Hranice vlastnictví: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Zařízení Žadatele začíná na horních svorkách pojistek v přípojkové kabelové skříni 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Distribuční soustava PREdi končí na dolních svorkách pojistek v přípojkové kabelové skříni 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rozhraní jsou zároveň předávacími místy pro dodávku elektřiny.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PREdi se zavazuje provést ve své distribuční soustavě za účelem připojení zařízení Žadatele v místě připojení dle této Smlouvy opatření, která spočívají v projektové přípravě a ve vybudování: Ve stávající TS 2975 se vymění rozvaděč NN RD 1000/8 za RD 1000/10. Z volné pozice se napojí nový kabel NN AYKY-OT 3x240+120 mm2 až do nové SD 622 č.p. 218, kde nahradí stávající SP5. Trasa nového kabelu povede v souběhu se stávajícím kabelem AYKY 3x120+70 mm2 TS 2975 – RIS 144/1790. Ten bude v rámci stavby přílože nového kabelu také vyměněn za kabel stejného typu, přes novou SD 622 do nové SS102-OT č.p. 1808. Veškeré stávající zasmyčkované skříně se vymístí do oplocení, kde se osadí SS102-OT   (dále jen "energetické dílo"). Schéma způsobu připojení je specifikováno v Příloze č. 1. této Smlouvy.</w:t>
      </w:r>
    </w:p>
    <w:p w:rsidR="008609CB" w:rsidRDefault="00E11FE5">
      <w:pPr>
        <w:autoSpaceDE w:val="0"/>
        <w:autoSpaceDN w:val="0"/>
        <w:adjustRightInd w:val="0"/>
        <w:spacing w:after="0" w:line="259" w:lineRule="atLeast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 se zavazuje zejména: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zajistit na základě žádosti Žadatele a pravomocného územního rozhodnutí popř. územního souhlasu nebo společného povolení poskytnutého Žadatelem v souladu s čl. 4 odst. 1 této Smlouvy vypracování projektové dokumentace místa připojení, a to ve stupni prováděcí dokumentace. Dále PREdi zajistí pro realizaci místa připojení dle této Smlouvy uzavření smluv o zřízení věcného břemene (dále jen „</w:t>
      </w:r>
      <w:r>
        <w:rPr>
          <w:rFonts w:ascii="Arial" w:hAnsi="Arial" w:cs="Arial"/>
          <w:b/>
          <w:bCs/>
          <w:sz w:val="20"/>
          <w:szCs w:val="20"/>
        </w:rPr>
        <w:t>Konečná smlouva</w:t>
      </w:r>
      <w:r>
        <w:rPr>
          <w:rFonts w:ascii="Arial" w:hAnsi="Arial" w:cs="Arial"/>
          <w:sz w:val="20"/>
          <w:szCs w:val="20"/>
        </w:rPr>
        <w:t>“), anebo budoucích smluv o zřízení věcného břemene (dále jen „</w:t>
      </w:r>
      <w:r>
        <w:rPr>
          <w:rFonts w:ascii="Arial" w:hAnsi="Arial" w:cs="Arial"/>
          <w:b/>
          <w:bCs/>
          <w:sz w:val="20"/>
          <w:szCs w:val="20"/>
        </w:rPr>
        <w:t>Smlouva o smlouvě budoucí</w:t>
      </w:r>
      <w:r>
        <w:rPr>
          <w:rFonts w:ascii="Arial" w:hAnsi="Arial" w:cs="Arial"/>
          <w:sz w:val="20"/>
          <w:szCs w:val="20"/>
        </w:rPr>
        <w:t xml:space="preserve">“) na umístění energetického díla. Závazky PREdi, uvedené v tomto bodě, budou splněny </w:t>
      </w:r>
      <w:r>
        <w:rPr>
          <w:rFonts w:ascii="Arial" w:hAnsi="Arial" w:cs="Arial"/>
          <w:b/>
          <w:bCs/>
          <w:sz w:val="20"/>
          <w:szCs w:val="20"/>
        </w:rPr>
        <w:t>do 12 měsíců od převzetí pravomocného Rozhodnutí o povolení stavby dle odst 4.1</w:t>
      </w:r>
      <w:r>
        <w:rPr>
          <w:rFonts w:ascii="Arial" w:hAnsi="Arial" w:cs="Arial"/>
          <w:sz w:val="20"/>
          <w:szCs w:val="20"/>
        </w:rPr>
        <w:t>. Za porušení této Smlouvy nepovažují smluvní strany situaci, kdy z důvodů nezávislých na vůli PREdi a bez jejího zavinění nebude s vlastníky nemovitostí dotčených stavbou energetického díla uzavřena Konečná smlouva nebo Smlouva o smlouvě budoucí nebo vydán jiný právní titul, který by opravňoval PREdi ke vstupu na nemovitost za účelem realizace místa připojení. V takovém případě se lhůta prodlužuje do dne uzavření v tomto odstavci uvedených smluv nebo vydání jiného právního titulu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vyzvat písemně Žadatele do 10 dnů od termínu dle odst. 3.2.1 k převzetí schválené projektové dokumentace k zajištění stavební připravenosti.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Stavební připraveností pro pokládku kabelového vedení se rozumí předání volné trasy na stavebním pozemku Žadatele (polohopisné a výškopisné zaměření, osazení obrubníků) včetně dosypání terénu na nulovou úroveň a založení chrániček pro kabely pod budoucí komunikace a vjezdy, zajištění dopravní obslužnosti při výstavbě, dále výstavba pilířků pro osazení rozvodných skříní nebo příprava pro jejich osazení do obvodové zdi budovy, vše v souladu s projektovou dokumentací.</w:t>
      </w:r>
    </w:p>
    <w:p w:rsidR="008609CB" w:rsidRDefault="008609CB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sz w:val="20"/>
          <w:szCs w:val="20"/>
        </w:rPr>
      </w:pPr>
    </w:p>
    <w:p w:rsidR="008609CB" w:rsidRDefault="00E11FE5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Stavební připraveností pro osazení kompaktní betonové TS se rozumí předání určeného volného terénu na stavebním pozemku Žadatele (polohopisné a výškopisné vyměření) pro vybudování základové jámy pod TS a zajištění zpevněné příjezdové komunikace na pozemcích Žadatele pro zavezení kompaktní TS. V případě navážky vyšší než 1 m (v místě umístění TS) předloží Žadatel zkoušku hutnění provedenou metodou dynamické penetrace.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  <w:t xml:space="preserve">zajistit realizaci a zprovoznění energetického díla v termínu </w:t>
      </w:r>
      <w:r>
        <w:rPr>
          <w:rFonts w:ascii="Arial" w:hAnsi="Arial" w:cs="Arial"/>
          <w:b/>
          <w:bCs/>
          <w:sz w:val="20"/>
          <w:szCs w:val="20"/>
        </w:rPr>
        <w:t xml:space="preserve">do 12 měsíců </w:t>
      </w:r>
      <w:r>
        <w:rPr>
          <w:rFonts w:ascii="Arial" w:hAnsi="Arial" w:cs="Arial"/>
          <w:sz w:val="20"/>
          <w:szCs w:val="20"/>
        </w:rPr>
        <w:t xml:space="preserve">ode dne předání a převzetí staveniště po dokončení stavební připravenosti Žadatele dle odst. 3.2.2. Termín realizace a zprovoznění může být prodloužen o dobu nepříznivých klimatických podmínek, které neumožnily provádění prací v souladu s technologickými předpisy. </w:t>
      </w:r>
    </w:p>
    <w:p w:rsidR="008609CB" w:rsidRDefault="00E11FE5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Povinnosti Žadatele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se zavazuje zejména: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>
        <w:rPr>
          <w:rFonts w:ascii="Arial" w:hAnsi="Arial" w:cs="Arial"/>
          <w:sz w:val="20"/>
          <w:szCs w:val="20"/>
        </w:rPr>
        <w:tab/>
        <w:t xml:space="preserve">Předat PREdi ověřenou kopii pravomocného územního rozhodnutí, popř. územního souhlasu nebo společného povolení nebo stavebního povolení v souladu se zákonem č. 183/2006 Sb., stavebním zákonem (dále jen „Rozhodnutí o povolení stavby“) včetně situace potvrzené stavebním úřadem na realizaci svého záměru zahrnujícího i energetické dílo v termínu do 12 měsíců od podpisu této Smlouvy. Pokud se Žadatel dostane do prodlení s 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609CB" w:rsidRPr="009B7FF5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F5" w:rsidRPr="009B7FF5" w:rsidRDefault="009B7FF5" w:rsidP="009B7FF5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609CB" w:rsidRPr="009B7FF5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předložením Rozhodnutí o povolení stavby, prodlouží se o dobu prodlení automaticky termín uvedený v odst. 3.2.1. Žadatel se rovněž zavazuje uzavřít s PREdi dohodu o převodu práv a povinností vztahujících se k energetickému dílu z Rozhodnutí o povolení stavby, a to nejpozději do termínu uvedeného v odstavci 3.2.1 této Smlouvy.</w:t>
      </w:r>
    </w:p>
    <w:p w:rsidR="008609CB" w:rsidRDefault="00E11FE5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Uzavřít s PREdi Konečnou smlouvu na umístění energetického díla v dotčené nemovité věci ve vlastnictví Žadatele do termínu uvedeného v odst. 3.2.1. Pokud není splnění této povinnosti objektivně možné, uzavřít s PREdi v tomto termínu Smlouvu o smlouvě budoucí.</w:t>
      </w:r>
    </w:p>
    <w:p w:rsidR="008609CB" w:rsidRDefault="00E11FE5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Rozsah věcného břemene pro účely Konečné smlouvy bude vyznačen v příslušném geometrickém plánu, který bude její nedílnou součástí a bude vyhotoven na náklady PREdi. Pokud po zápisu věcného břemene do katastru nemovitostí na základě Konečné smlouvy dojde z důvodů na straně Žadatele ke změně umístění energetického díla, Žadatel se zavazuje uzavřít s PREdi novou Konečnou smlouvu dle skutečného umístění energetického díla. Smluvní strany si poskytnou vzájemnou součinnost.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Poskytnout PREdi na vyžádání potřebná vyjádření z dokumentace pro územní řízení za účelem vypracování prováděcí projektové dokumentace energetického díla.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Převzít prováděcí projektovou dokumentaci od PREdi, zajistit stavební připravenost v souladu se schválenou prováděcí projektovou dokumentací na energetické dílo a předat připravené staveniště PREdi nejpozději do 1 roku od předání projektové dokumentace. Stavební připravenost je definována v odst. 3.2.2.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Písemně oznámit 3 měsíce předem na e-mail adresu zdena.kudzbelova@pre.cz předpokládaný termín dokončení stavební připravenosti.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Pokud byla uzavřena Smlouva o smlouvě budoucí v souladu s odst. 4.2. této Smlouvy, uzavřít na základě výzvy PREdi Konečnou smlouvu, a to po dokončení energetického díla a jeho geodetickém a geometrickém zaměření. Podklady pro uzavření smlouvy Žadatel předá na výzvu PREdi.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Pokud Žadatel zajišťuje vydání kolaudačního souhlasu nebo kolaudačního rozhodnutí na celý soubor staveb, jejichž součástí je energetické dílo, zajistí, aby PREdi byla v kolaudačním souhlasu nebo kolaudačním rozhodnutí uvedena jako stavebník energetického díla a tedy i vlastník zařízení uvedeného v odst. 5.1, a to takto: PREdistribuce, a.s., se sídlem Praha 5, Svornosti 3199/19a, PSČ150 00.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Pokud je Žadatel povinnou osobou ke zveřejnění Smlouvy v registru smluv dle zákona č. 340/2015 Sb., Žadatel se zavazuje, že neprodleně po uzavření Smlouvy provede zaslání této Smlouvy správci registru smluv k uveřejnění prostřednictvím registru smluv. Žadatel se dále zavazuje, že při vyplňování formuláře metadat této Smlouvy uvede také adresu datové schránky PREdi a číslo této smlouvy PREdi.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V případě, že Žadatel nesplní povinnost uveřejnění Smlouvy prostřednictvím registru smluv ani do 15 dnů ode dne uzavření této Smlouvy, pak je PREdi oprávněna Smlouvu zaslat správci registru smluv sama. </w:t>
      </w:r>
    </w:p>
    <w:p w:rsidR="008609CB" w:rsidRDefault="00E11FE5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Vlastnická a další práva</w:t>
      </w:r>
    </w:p>
    <w:p w:rsidR="008609CB" w:rsidRDefault="00E11FE5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PREdi je investorem a bude vlastnit kabelové vedení, přípojkové skříně, dělící skříň a nový NN rozváděč  v TS 2975.</w:t>
      </w:r>
    </w:p>
    <w:p w:rsidR="008609CB" w:rsidRDefault="00E11FE5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Vybudováním energetického díla vznikne PREdi podle Zákona ve veřejném zájmu právo vstupovat oprávněnými osobami bez časového omezení na/do nemovitosti Žadatele či třetích osob v souvislosti se zřizováním, obnovou a provozováním v nich umístěného zařízení distribuční soustavy a Žadatel nebude oprávněn toto právo omezit způsobem, který poškozuje veřejný zájem. Způsob zajištění přístupu a podmínky provozování a údržby zařízení distribuční soustavy PREdi umístěné na/v nemovitosti Žadatele či třetích osob jsou specifikovány v Zákoně.</w:t>
      </w:r>
    </w:p>
    <w:p w:rsidR="008609CB" w:rsidRDefault="00E11FE5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Podíl Žadatele na nákladech PREdi, fakturace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Žadatel je povinen uhradit PREdi podíl na oprávněných nákladech spojených s připojením zařízení do distribuční soustavy a se zajištěním požadovaného rezervovaného příkonu ve výši stanovené v souladu s příslušným ustanovením vyhlášky ERÚ č. 16/2016 Sb., o podmínkách připojení k elektrizační soustavě v platném znění. Výše podílu Žadatele se vypočte jako součin  rezervovaného příkonu a částky za jednotku příkonu uvedené v příloze předmětné vyhlášky.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 Žadatele: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160A x 630,- Kč/A  - 80A x 630,- Kč/A= 50.400,- Kč</w:t>
      </w:r>
    </w:p>
    <w:p w:rsidR="008609CB" w:rsidRDefault="00E11FE5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  <w:t xml:space="preserve">Žadatel je povinen na základě této Smlouvy uhradit PREdi v souladu s ustanovením příslušné vyhlášky ERÚ zálohu na podíl na oprávněných nákladech ve výši 50% z hodnoty podílu, tj. </w:t>
      </w:r>
      <w:r>
        <w:rPr>
          <w:rFonts w:ascii="Arial" w:hAnsi="Arial" w:cs="Arial"/>
          <w:b/>
          <w:bCs/>
          <w:sz w:val="20"/>
          <w:szCs w:val="20"/>
        </w:rPr>
        <w:t>25.200 Kč</w:t>
      </w:r>
      <w:r>
        <w:rPr>
          <w:rFonts w:ascii="Arial" w:hAnsi="Arial" w:cs="Arial"/>
          <w:sz w:val="20"/>
          <w:szCs w:val="20"/>
        </w:rPr>
        <w:t xml:space="preserve">. Záloha bude uhrazena do 30 dnů ode dne uzavření této Smlouvy. </w:t>
      </w:r>
      <w:r>
        <w:rPr>
          <w:rFonts w:ascii="Arial" w:hAnsi="Arial" w:cs="Arial"/>
          <w:b/>
          <w:bCs/>
          <w:sz w:val="20"/>
          <w:szCs w:val="20"/>
        </w:rPr>
        <w:t xml:space="preserve">Všechny platby budou Žadatelem uhrazeny na účet č. 17494043/0300, v.s. 8832302971. </w:t>
      </w:r>
      <w:r>
        <w:rPr>
          <w:rFonts w:ascii="Arial" w:hAnsi="Arial" w:cs="Arial"/>
          <w:sz w:val="20"/>
          <w:szCs w:val="20"/>
        </w:rPr>
        <w:t xml:space="preserve">Zbývající část podílu ve výši </w:t>
      </w:r>
      <w:r>
        <w:rPr>
          <w:rFonts w:ascii="Arial" w:hAnsi="Arial" w:cs="Arial"/>
          <w:b/>
          <w:bCs/>
          <w:sz w:val="20"/>
          <w:szCs w:val="20"/>
        </w:rPr>
        <w:t xml:space="preserve">25.200 Kč </w:t>
      </w:r>
      <w:r>
        <w:rPr>
          <w:rFonts w:ascii="Arial" w:hAnsi="Arial" w:cs="Arial"/>
          <w:sz w:val="20"/>
          <w:szCs w:val="20"/>
        </w:rPr>
        <w:t>bude Žadatelem uhrazena k termínu uzavření Smlouvy o připojení dle odst. 2.2 této Smlouvy.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609CB" w:rsidRPr="009B7FF5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F5" w:rsidRPr="009B7FF5" w:rsidRDefault="009B7FF5" w:rsidP="009B7FF5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609CB" w:rsidRPr="009B7FF5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Výše podílu Žadatele dle této Smlouvy může být změněna v souladu s ustanovením čl. 6.1 této Smlouvy v případě, že dojde v průběhu realizace připojení ke změně rezervovaného příkonu. O změně rezervovaného příkonu a výše podílu Žadatele uzavřou smluvní strany Dodatek k této Smlouvě.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Neuhrazení zálohy na podíl na oprávněných nákladech Žadatelem v termínu uvedeném v odst. 6.2 a ani v dodatečné přiměřené lhůtě poskytnuté mu PREdi je důvodem odstoupení od smlouvy dle odst. 7.2 Smlouvy.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Smluvní strany se dohodly, že dojde-li z důvodů na straně Žadatele ke změně způsobu připojení zařízení Žadatele a/nebo ke změně umístění energetického díla dle odst. 3.1 a 3.2, zavazuje se Žadatel uzavřít s PREdi dodatek k této Smlouvě a uhradit PREdi vícenáklady, které tím PREdi vzniknou v souvislosti s přípravou a realizací energetického díla.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Smluvní strany se dohodly, že je PREdi oprávněna jednostranně započíst náklady, které v souvislosti s realizací Smlouvy do okamžiku odstoupení vynaložila, proti uhrazené záloze dle odst. 6.2. </w:t>
      </w:r>
    </w:p>
    <w:p w:rsidR="008609CB" w:rsidRDefault="00E11FE5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Další ujednání</w:t>
      </w:r>
    </w:p>
    <w:p w:rsidR="008609CB" w:rsidRDefault="00E11FE5">
      <w:pPr>
        <w:keepLines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 případě, že nedojde k uzavření Konečné smlouvy dle čl. 4.2 a 4.3 a Žadatel provede převod nemovité věci Žadatele dotčené Smlouvou o budoucí smlouvě, pak se Žadatel zavazuje ve smlouvě o převodu převést závazek zřízení věcného břemene na nového vlastníka. Před provedením převodu, případně před rozdělením objektu na bytové či nebytové jednotky, je Žadatel povinen PREdi na takovou změnu upozornit a vyzvat ji k uzavření Konečné smlouvy, a to bez zbytečného odkladu tak, aby bylo uzavření smlouvy a podání návrhu na vklad technicky možné. Za nedodržení některé z výše uvedených povinností uhradí Žadatel smluvní pokutu ve výši znaleckého ocenění věcného břemene. Zaplacením smluvní pokuty není dotčeno právo PREdi na náhradu případně vzniklé škody.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Kterákoliv ze smluvních stran může od Smlouvy odstoupit, jestliže dojde k prodlení s plněním smluvních povinností druhé smluvní strany. V písemném odstoupení od Smlouvy musí odstupující smluvní strana uvést konkrétní důvod odstoupení od smlouvy. Účinky odstoupení nastávají dnem doručení písemného oznámení o odstoupení od smlouvy druhé smluvní straně. V pochybnostech se má za to, že odstoupení od smlouvy bylo doručeno třetím dnem po odeslání.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Pokud dojde k odstoupení od této Smlouvy, má smluvní strana, která odstoupení od Smlouvy nezavinila, právo požadovat po druhé smluvní straně úhradu již prokazatelně vynaložených nákladů a to i způsobem uvedeným v odst. 6.6, případně náhradu škody dle platných právních předpisů.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Dojde-li dohodou smluvních stran ke zrušení Smlouvy, má smluvní strana, která již vynaložila náklady na splnění svého závazku, nárok na jejich úhradu nebo vrácení.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Každá smluvní strana odpovídá za škodu způsobenou druhé smluvní straně porušením povinnosti vyplývající z této Smlouvy.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Povinnosti k náhradě se škůdce zprostí, prokáže-li, že mu ve splnění povinnosti ze Smlouvy dočasně nebo trvale zabránila mimořádná překážka vzniklá nezávisle na jeho vůli, jako například válka, teroristické akce, blokáda, sabotáž, požár velkého rozsahu, živelná pohroma, rozhodnutí státních orgánů s dopadem na plnění dle této Smlouvy či stavy nouze dle Zákona. Překážka vzniklá ze škůdcových osobních poměrů nebo vzniklá v době, kdy byl škůdce s plněním smluvené povinnosti v prodlení, ho však povinnosti k náhradě nezprostí.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Strana dotčená výše uvedenou překážkou je povinna o těchto okolnostech druhou stranu neprodleně písemně informovat. Na požádání předloží smluvní strana druhé smluvní straně důvěryhodný důkaz o takové skutečnosti.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Pokud se smluvní strany nedohodnou jinak, pokračují po vzniku výše uvedené překážky v plnění svých závazků podle Smlouvy, dokud je to rozumné a v dané době technicky možné.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Žadatel na sebe bere nebezpečí změny okolností ve smyslu § 1765 zákona č. 89/2012 Sb., občanského zákoníku.</w:t>
      </w:r>
    </w:p>
    <w:p w:rsidR="008609CB" w:rsidRDefault="008609CB">
      <w:pPr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609CB" w:rsidRDefault="00E11FE5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Závěrečná ustanovení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Tato Smlouva nabývá platnosti a účinnosti dnem jejího podpisu oběma smluvními stranami a je uzavřena do doby jejího splnění.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Pokud tato Smlouva podléhá registraci dle zákona č. 340/2015 Sb., pak nabývá platnosti okamžikem jejího podpisu poslední Smluvní stranou a účinnosti dnem jejího uveřejnění v registru smluv.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  <w:t xml:space="preserve">Vztahuje-li se na druhou smluvní stranu ochrana osobních údajů dle zvláštních právních předpisů, pak pro účely plnění této smlouvy je společnost PREdistribuce, a.s., správcem osobních údajů druhé smluvní strany a osobní údaje takto získané zpracovává za účelem uzavření a plnění této smlouvy a pro účely oprávněných zájmů správce. Poskytnutí kontaktních osobních údajů druhé smluvní strany je pro uzavření této smlouvy nezbytné a tyto osobní údaje budou zpracovávány za účelem plnění zákonných povinností distributora elektřiny daných především zákonem č. 458/2000 Sb., energetický zákon, ve znění pozdějších předpisů a vyhláškou č. 16/2016 Sb., o podmínkách připojení k elektrizační soustavě, ve znění pozdějších předpisů. Veškeré podrobnosti o zpracování osobních údajů, včetně specifik zpracování osobních údajů členů statutárních orgánů, zaměstnanců příp. dalších osob zastupujících 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609CB" w:rsidRPr="009B7FF5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F5" w:rsidRPr="009B7FF5" w:rsidRDefault="009B7FF5" w:rsidP="009B7FF5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609CB" w:rsidRPr="009B7FF5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druhou smluvní stranu a práv, které subjekty údajů v souvislosti se zpracováním svých osobních údajů mají, jsou uvedeny v dokumentech: „Zásady ochrany osobních údajů“ a „Zpracování osobních údajů kontaktních osob obchodního partnera“, se kterými byla druhá smluvní strana před podpisem této smlouvy seznámena a které jsou dostupné na webových stránkách správce.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Pro účely této Smlouvy jsou používány odborné pojmy a terminologie v souladu se Zákonem a jeho prováděcími a souvisejícími předpisy.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Tuto Smlouvu lze měnit pouze písemnými dodatky, číslovanými vzestupně a podepsanými oběma smluvními stranami.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Tato Smlouva je vyhotovena ve dvou (2) stejnopisech, z nichž každý má platnost originálu. Žadatel obdrží jeden (1) stejnopis, PREdi obdrží jeden (1) stejnopis.</w:t>
      </w:r>
    </w:p>
    <w:p w:rsidR="008609CB" w:rsidRDefault="00E11FE5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Smluvní strany potvrzují, že si Smlouvu před podpisem přečetly, její ustanovení jsou jim jasná a vyjadřují jejich svobodnou vůli.</w:t>
      </w:r>
    </w:p>
    <w:p w:rsidR="008609CB" w:rsidRDefault="00E11FE5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Nedílnou součástí této Smlouvy jsou její přílohy specifikující obsah Smlouvy:</w:t>
      </w:r>
    </w:p>
    <w:p w:rsidR="008609CB" w:rsidRDefault="00E11FE5">
      <w:pPr>
        <w:keepNext/>
        <w:widowControl w:val="0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č. 1: Schéma způsobu připojení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66"/>
        <w:gridCol w:w="5103"/>
      </w:tblGrid>
      <w:tr w:rsidR="008609CB" w:rsidRPr="009B7FF5">
        <w:trPr>
          <w:trHeight w:val="22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8609CB" w:rsidRPr="009B7FF5" w:rsidRDefault="00E1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 w:rsidRPr="009B7FF5">
              <w:rPr>
                <w:rFonts w:ascii="Arial" w:hAnsi="Arial" w:cs="Arial"/>
                <w:sz w:val="20"/>
                <w:szCs w:val="20"/>
              </w:rPr>
              <w:t xml:space="preserve">V Praze dne </w:t>
            </w:r>
            <w:r w:rsidR="009B7FF5" w:rsidRPr="009B7FF5">
              <w:rPr>
                <w:rFonts w:ascii="Arial" w:hAnsi="Arial" w:cs="Arial"/>
                <w:sz w:val="20"/>
                <w:szCs w:val="20"/>
              </w:rPr>
              <w:t>20.7.2023</w:t>
            </w:r>
          </w:p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8609CB" w:rsidRPr="009B7FF5" w:rsidRDefault="00E1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 w:rsidRPr="009B7FF5">
              <w:rPr>
                <w:rFonts w:ascii="Arial" w:hAnsi="Arial" w:cs="Arial"/>
                <w:sz w:val="20"/>
                <w:szCs w:val="20"/>
              </w:rPr>
              <w:t>PREdi</w:t>
            </w:r>
          </w:p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8609CB" w:rsidRPr="009B7FF5" w:rsidRDefault="00E1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FF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  <w:p w:rsidR="008609CB" w:rsidRPr="009B7FF5" w:rsidRDefault="00E1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FF5">
              <w:rPr>
                <w:rFonts w:ascii="Arial" w:hAnsi="Arial" w:cs="Arial"/>
                <w:sz w:val="20"/>
                <w:szCs w:val="20"/>
              </w:rPr>
              <w:t>Ing. Bc. Josef Forejt</w:t>
            </w:r>
          </w:p>
          <w:p w:rsidR="008609CB" w:rsidRPr="009B7FF5" w:rsidRDefault="00E1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FF5">
              <w:rPr>
                <w:rFonts w:ascii="Arial" w:hAnsi="Arial" w:cs="Arial"/>
                <w:sz w:val="20"/>
                <w:szCs w:val="20"/>
              </w:rPr>
              <w:t>vedoucí oddělení Projektová příprava</w:t>
            </w:r>
          </w:p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8609CB" w:rsidRPr="009B7FF5" w:rsidRDefault="00E1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 w:rsidRPr="009B7FF5">
              <w:rPr>
                <w:rFonts w:ascii="Arial" w:hAnsi="Arial" w:cs="Arial"/>
                <w:sz w:val="20"/>
                <w:szCs w:val="20"/>
              </w:rPr>
              <w:t>V Praze dne</w:t>
            </w:r>
            <w:r w:rsidR="009B7FF5" w:rsidRPr="009B7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8609CB" w:rsidRPr="009B7FF5" w:rsidRDefault="00E1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 w:rsidRPr="009B7FF5">
              <w:rPr>
                <w:rFonts w:ascii="Arial" w:hAnsi="Arial" w:cs="Arial"/>
                <w:sz w:val="20"/>
                <w:szCs w:val="20"/>
              </w:rPr>
              <w:t>Žadatel</w:t>
            </w:r>
          </w:p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8609CB" w:rsidRPr="009B7FF5" w:rsidRDefault="00E1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FF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  <w:p w:rsidR="008609CB" w:rsidRPr="009B7FF5" w:rsidRDefault="00E1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FF5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9B7FF5" w:rsidRPr="009B7FF5">
              <w:rPr>
                <w:rFonts w:ascii="Arial" w:hAnsi="Arial" w:cs="Arial"/>
                <w:sz w:val="20"/>
                <w:szCs w:val="20"/>
              </w:rPr>
              <w:t>Tomáš Krejčí</w:t>
            </w:r>
          </w:p>
          <w:p w:rsidR="008609CB" w:rsidRPr="009B7FF5" w:rsidRDefault="009B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FF5">
              <w:rPr>
                <w:rFonts w:ascii="Arial" w:hAnsi="Arial" w:cs="Arial"/>
                <w:sz w:val="20"/>
                <w:szCs w:val="20"/>
              </w:rPr>
              <w:t>náměstek</w:t>
            </w:r>
          </w:p>
          <w:p w:rsidR="008609CB" w:rsidRPr="009B7FF5" w:rsidRDefault="0086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CB" w:rsidRDefault="008609CB"/>
    <w:sectPr w:rsidR="008609CB">
      <w:pgSz w:w="11905" w:h="16837"/>
      <w:pgMar w:top="566" w:right="566" w:bottom="1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bordersDoNotSurroundHeader/>
  <w:bordersDoNotSurroundFooter/>
  <w:doNotTrackMoves/>
  <w:defaultTabStop w:val="28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E5"/>
    <w:rsid w:val="00810041"/>
    <w:rsid w:val="008609CB"/>
    <w:rsid w:val="009B7FF5"/>
    <w:rsid w:val="00E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8CFD3B"/>
  <w14:defaultImageDpi w14:val="0"/>
  <w15:docId w15:val="{4084C1A5-D760-4FBE-8DAA-520C49D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2717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Milena</dc:creator>
  <cp:keywords/>
  <dc:description/>
  <cp:lastModifiedBy>Benešová Milena</cp:lastModifiedBy>
  <cp:revision>4</cp:revision>
  <dcterms:created xsi:type="dcterms:W3CDTF">2023-08-15T05:03:00Z</dcterms:created>
  <dcterms:modified xsi:type="dcterms:W3CDTF">2023-08-15T05:14:00Z</dcterms:modified>
</cp:coreProperties>
</file>