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B91D87">
        <w:rPr>
          <w:rFonts w:ascii="Garamond" w:hAnsi="Garamond"/>
          <w:b w:val="0"/>
          <w:sz w:val="20"/>
          <w:u w:val="none"/>
        </w:rPr>
        <w:t>3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5F3DD3" w:rsidRDefault="002A5F07" w:rsidP="005F3DD3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5F3DD3" w:rsidRPr="005F3DD3" w:rsidRDefault="005F3DD3" w:rsidP="005F3DD3">
      <w:pPr>
        <w:pStyle w:val="Zkladntext"/>
        <w:spacing w:line="360" w:lineRule="auto"/>
        <w:rPr>
          <w:rFonts w:ascii="Garamond" w:hAnsi="Garamond"/>
          <w:b w:val="0"/>
          <w:sz w:val="22"/>
          <w:u w:val="none"/>
        </w:rPr>
      </w:pPr>
      <w:r w:rsidRPr="005F3DD3">
        <w:rPr>
          <w:rFonts w:ascii="Garamond" w:hAnsi="Garamond"/>
          <w:b w:val="0"/>
          <w:sz w:val="22"/>
          <w:u w:val="none"/>
        </w:rPr>
        <w:t>K níže uvedeným licencím bude poskytnut</w:t>
      </w:r>
      <w:r>
        <w:rPr>
          <w:rFonts w:ascii="Garamond" w:hAnsi="Garamond"/>
          <w:b w:val="0"/>
          <w:sz w:val="22"/>
          <w:u w:val="none"/>
        </w:rPr>
        <w:t xml:space="preserve"> přístup k </w:t>
      </w:r>
      <w:r w:rsidRPr="005F3DD3">
        <w:rPr>
          <w:rFonts w:ascii="Garamond" w:hAnsi="Garamond"/>
          <w:b w:val="0"/>
          <w:sz w:val="22"/>
          <w:u w:val="none"/>
        </w:rPr>
        <w:t>upgrade a technická podpora za těchto podmínek:</w:t>
      </w:r>
    </w:p>
    <w:p w:rsidR="007548A5" w:rsidRPr="00D23F71" w:rsidRDefault="007548A5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</w:p>
    <w:p w:rsidR="0068705E" w:rsidRDefault="006B2A50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>SolidCAM Research 64790</w:t>
      </w:r>
      <w:r w:rsidR="00903975">
        <w:rPr>
          <w:rFonts w:ascii="Garamond" w:hAnsi="Garamond"/>
          <w:b w:val="0"/>
          <w:sz w:val="22"/>
          <w:szCs w:val="22"/>
          <w:u w:val="none"/>
        </w:rPr>
        <w:t xml:space="preserve">, </w:t>
      </w:r>
      <w:r w:rsidR="00903975" w:rsidRPr="00903975">
        <w:rPr>
          <w:rFonts w:ascii="Garamond" w:hAnsi="Garamond"/>
          <w:b w:val="0"/>
          <w:sz w:val="22"/>
          <w:szCs w:val="22"/>
          <w:u w:val="none"/>
        </w:rPr>
        <w:t>údržba do 31.12. 2016</w:t>
      </w:r>
    </w:p>
    <w:p w:rsidR="006B2A50" w:rsidRPr="006B2A50" w:rsidRDefault="0068705E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(Přístup k upgrade a technické podpoře)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>Kč</w:t>
      </w: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Ú</w:t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držba SolidCAM 2 osé frézování (vč. AFRM, 4/5 indexace a C-osa) 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3 045,00</w:t>
      </w: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Ú</w:t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držba SolidCAM 4 osé frézování 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1 050,00</w:t>
      </w: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Ú</w:t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držba SolidCAM 3 osé frézování 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4 200,00</w:t>
      </w: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U</w:t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držba SolidCAM 5 osé frézování 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4 200,00</w:t>
      </w: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Ú</w:t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držba SolidCAM Simulace stroje 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1 050,00</w:t>
      </w: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Ú</w:t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držba SolidCAM 2D iMachining 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2 100,00</w:t>
      </w:r>
    </w:p>
    <w:p w:rsidR="006B2A50" w:rsidRPr="006B2A50" w:rsidRDefault="006B2A50" w:rsidP="006B2A50">
      <w:pPr>
        <w:pStyle w:val="Zkladntext"/>
        <w:rPr>
          <w:rFonts w:ascii="Garamond" w:hAnsi="Garamond"/>
          <w:sz w:val="22"/>
          <w:szCs w:val="22"/>
          <w:u w:val="none"/>
        </w:rPr>
      </w:pPr>
      <w:r w:rsidRPr="006B2A50">
        <w:rPr>
          <w:rFonts w:ascii="Garamond" w:hAnsi="Garamond"/>
          <w:sz w:val="22"/>
          <w:szCs w:val="22"/>
          <w:u w:val="none"/>
        </w:rPr>
        <w:t xml:space="preserve">Celkem za SolidCAM Research 64790, údržba do 31.12. 2016 </w:t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Pr="006B2A50">
        <w:rPr>
          <w:rFonts w:ascii="Garamond" w:hAnsi="Garamond"/>
          <w:sz w:val="22"/>
          <w:szCs w:val="22"/>
          <w:u w:val="none"/>
        </w:rPr>
        <w:t xml:space="preserve">15 645,00 </w:t>
      </w: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8705E" w:rsidRDefault="006B2A50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>SolidCAM EDU 50, 41055,</w:t>
      </w:r>
      <w:r>
        <w:rPr>
          <w:rFonts w:ascii="Garamond" w:hAnsi="Garamond"/>
          <w:b w:val="0"/>
          <w:sz w:val="22"/>
          <w:szCs w:val="22"/>
          <w:u w:val="none"/>
        </w:rPr>
        <w:t xml:space="preserve"> </w:t>
      </w: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údržba </w:t>
      </w:r>
      <w:r>
        <w:rPr>
          <w:rFonts w:ascii="Garamond" w:hAnsi="Garamond"/>
          <w:b w:val="0"/>
          <w:sz w:val="22"/>
          <w:szCs w:val="22"/>
          <w:u w:val="none"/>
        </w:rPr>
        <w:t>do 31.12.2016</w:t>
      </w:r>
    </w:p>
    <w:p w:rsidR="006B2A50" w:rsidRPr="006B2A50" w:rsidRDefault="0068705E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(Přístup k upgrade a technické podpoře)</w:t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>Kč</w:t>
      </w: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SolidCAM Edu Edition Network - 50 users, </w:t>
      </w:r>
      <w:r>
        <w:rPr>
          <w:rFonts w:ascii="Garamond" w:hAnsi="Garamond"/>
          <w:b w:val="0"/>
          <w:sz w:val="22"/>
          <w:szCs w:val="22"/>
          <w:u w:val="none"/>
        </w:rPr>
        <w:t>údržba</w:t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>10 500,00</w:t>
      </w: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sz w:val="22"/>
          <w:szCs w:val="22"/>
          <w:u w:val="none"/>
        </w:rPr>
        <w:t>Celkem za SolidCAM EDU 50, 41055,</w:t>
      </w:r>
      <w:r w:rsidR="004F39C3">
        <w:rPr>
          <w:rFonts w:ascii="Garamond" w:hAnsi="Garamond"/>
          <w:sz w:val="22"/>
          <w:szCs w:val="22"/>
          <w:u w:val="none"/>
        </w:rPr>
        <w:t xml:space="preserve"> </w:t>
      </w:r>
      <w:r w:rsidRPr="006B2A50">
        <w:rPr>
          <w:rFonts w:ascii="Garamond" w:hAnsi="Garamond"/>
          <w:sz w:val="22"/>
          <w:szCs w:val="22"/>
          <w:u w:val="none"/>
        </w:rPr>
        <w:t>údržba do 31.12.2016</w:t>
      </w:r>
      <w:r w:rsidRPr="006B2A50">
        <w:rPr>
          <w:rFonts w:ascii="Garamond" w:hAnsi="Garamond"/>
          <w:sz w:val="22"/>
          <w:szCs w:val="22"/>
          <w:u w:val="none"/>
        </w:rPr>
        <w:tab/>
      </w:r>
      <w:r w:rsidRPr="006B2A50">
        <w:rPr>
          <w:rFonts w:ascii="Garamond" w:hAnsi="Garamond"/>
          <w:sz w:val="22"/>
          <w:szCs w:val="22"/>
          <w:u w:val="none"/>
        </w:rPr>
        <w:tab/>
      </w:r>
      <w:r w:rsidRPr="006B2A50">
        <w:rPr>
          <w:rFonts w:ascii="Garamond" w:hAnsi="Garamond"/>
          <w:sz w:val="22"/>
          <w:szCs w:val="22"/>
          <w:u w:val="none"/>
        </w:rPr>
        <w:tab/>
        <w:t>10 500,00</w:t>
      </w: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 </w:t>
      </w: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8705E" w:rsidRDefault="006B2A50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>SolidWorks Univers</w:t>
      </w:r>
      <w:r w:rsidR="004F39C3">
        <w:rPr>
          <w:rFonts w:ascii="Garamond" w:hAnsi="Garamond"/>
          <w:b w:val="0"/>
          <w:sz w:val="22"/>
          <w:szCs w:val="22"/>
          <w:u w:val="none"/>
        </w:rPr>
        <w:t>ity</w:t>
      </w: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 Research , </w:t>
      </w:r>
      <w:r>
        <w:rPr>
          <w:rFonts w:ascii="Garamond" w:hAnsi="Garamond"/>
          <w:b w:val="0"/>
          <w:sz w:val="22"/>
          <w:szCs w:val="22"/>
          <w:u w:val="none"/>
        </w:rPr>
        <w:t>údržba do 31.12.2016</w:t>
      </w:r>
    </w:p>
    <w:p w:rsidR="006B2A50" w:rsidRPr="006B2A50" w:rsidRDefault="0068705E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(Přístup k upgrade a technické podpoře)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</w:r>
      <w:r w:rsidR="006B2A50">
        <w:rPr>
          <w:rFonts w:ascii="Garamond" w:hAnsi="Garamond"/>
          <w:b w:val="0"/>
          <w:sz w:val="22"/>
          <w:szCs w:val="22"/>
          <w:u w:val="none"/>
        </w:rPr>
        <w:tab/>
        <w:t>Kč</w:t>
      </w: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Reinstallation Fee (Without Backdating per seat) - University Research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>6 755,00</w:t>
      </w: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>SolidWorks Univers</w:t>
      </w:r>
      <w:r w:rsidR="004F39C3">
        <w:rPr>
          <w:rFonts w:ascii="Garamond" w:hAnsi="Garamond"/>
          <w:b w:val="0"/>
          <w:sz w:val="22"/>
          <w:szCs w:val="22"/>
          <w:u w:val="none"/>
        </w:rPr>
        <w:t>ity</w:t>
      </w: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 Research , </w:t>
      </w:r>
      <w:r>
        <w:rPr>
          <w:rFonts w:ascii="Garamond" w:hAnsi="Garamond"/>
          <w:b w:val="0"/>
          <w:sz w:val="22"/>
          <w:szCs w:val="22"/>
          <w:u w:val="none"/>
        </w:rPr>
        <w:t>údržba do 31.12.2016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>9 268,00</w:t>
      </w:r>
    </w:p>
    <w:p w:rsidR="006B2A50" w:rsidRPr="006B2A50" w:rsidRDefault="006B2A50" w:rsidP="006B2A50">
      <w:pPr>
        <w:pStyle w:val="Zkladntext"/>
        <w:rPr>
          <w:rFonts w:ascii="Garamond" w:hAnsi="Garamond"/>
          <w:sz w:val="22"/>
          <w:szCs w:val="22"/>
          <w:u w:val="none"/>
        </w:rPr>
      </w:pPr>
      <w:r w:rsidRPr="006B2A50">
        <w:rPr>
          <w:rFonts w:ascii="Garamond" w:hAnsi="Garamond"/>
          <w:sz w:val="22"/>
          <w:szCs w:val="22"/>
          <w:u w:val="none"/>
        </w:rPr>
        <w:t>Celkem za SolidWorks Univers</w:t>
      </w:r>
      <w:r w:rsidR="004F39C3">
        <w:rPr>
          <w:rFonts w:ascii="Garamond" w:hAnsi="Garamond"/>
          <w:sz w:val="22"/>
          <w:szCs w:val="22"/>
          <w:u w:val="none"/>
        </w:rPr>
        <w:t>ity</w:t>
      </w:r>
      <w:r w:rsidRPr="006B2A50">
        <w:rPr>
          <w:rFonts w:ascii="Garamond" w:hAnsi="Garamond"/>
          <w:sz w:val="22"/>
          <w:szCs w:val="22"/>
          <w:u w:val="none"/>
        </w:rPr>
        <w:t xml:space="preserve"> Research , údržba do 31.12.2016</w:t>
      </w:r>
      <w:r w:rsidRPr="006B2A50">
        <w:rPr>
          <w:rFonts w:ascii="Garamond" w:hAnsi="Garamond"/>
          <w:sz w:val="22"/>
          <w:szCs w:val="22"/>
          <w:u w:val="none"/>
        </w:rPr>
        <w:tab/>
      </w:r>
      <w:r>
        <w:rPr>
          <w:rFonts w:ascii="Garamond" w:hAnsi="Garamond"/>
          <w:sz w:val="22"/>
          <w:szCs w:val="22"/>
          <w:u w:val="none"/>
        </w:rPr>
        <w:tab/>
      </w:r>
      <w:r w:rsidRPr="006B2A50">
        <w:rPr>
          <w:rFonts w:ascii="Garamond" w:hAnsi="Garamond"/>
          <w:sz w:val="22"/>
          <w:szCs w:val="22"/>
          <w:u w:val="none"/>
        </w:rPr>
        <w:t xml:space="preserve">16 023,00 </w:t>
      </w:r>
    </w:p>
    <w:p w:rsid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03975" w:rsidRDefault="00903975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</w:p>
    <w:p w:rsidR="0068705E" w:rsidRDefault="006B2A50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SolidWorks PREMIUM EDU 200, </w:t>
      </w:r>
      <w:r w:rsidR="00903975">
        <w:rPr>
          <w:rFonts w:ascii="Garamond" w:hAnsi="Garamond"/>
          <w:b w:val="0"/>
          <w:sz w:val="22"/>
          <w:szCs w:val="22"/>
          <w:u w:val="none"/>
        </w:rPr>
        <w:t>údržba do 31.12.2016</w:t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</w:p>
    <w:p w:rsidR="006B2A50" w:rsidRPr="006B2A50" w:rsidRDefault="0068705E" w:rsidP="006B2A50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(Přístup k upgrade a technické podpoře)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  <w:t>Kč</w:t>
      </w:r>
    </w:p>
    <w:p w:rsidR="00903975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SOLIDWORKS EDU Edition Reinstallation Fee (per school/ per order) </w:t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>8 998,00</w:t>
      </w:r>
    </w:p>
    <w:p w:rsidR="00903975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SOLIDWORKS EDU Edition NETWORK - Campus - 200 users </w:t>
      </w:r>
    </w:p>
    <w:p w:rsidR="006B2A50" w:rsidRPr="006B2A50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údržba do 31.12.2016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6B2A50" w:rsidRPr="006B2A50">
        <w:rPr>
          <w:rFonts w:ascii="Garamond" w:hAnsi="Garamond"/>
          <w:b w:val="0"/>
          <w:sz w:val="22"/>
          <w:szCs w:val="22"/>
          <w:u w:val="none"/>
        </w:rPr>
        <w:t>12 922,00</w:t>
      </w:r>
    </w:p>
    <w:p w:rsidR="006B2A50" w:rsidRDefault="006B2A50" w:rsidP="00903975">
      <w:pPr>
        <w:pStyle w:val="Zkladntext"/>
        <w:pBdr>
          <w:bottom w:val="single" w:sz="4" w:space="1" w:color="auto"/>
        </w:pBdr>
        <w:rPr>
          <w:rFonts w:ascii="Garamond" w:hAnsi="Garamond"/>
          <w:sz w:val="22"/>
          <w:szCs w:val="22"/>
          <w:u w:val="none"/>
        </w:rPr>
      </w:pPr>
      <w:r w:rsidRPr="00903975">
        <w:rPr>
          <w:rFonts w:ascii="Garamond" w:hAnsi="Garamond"/>
          <w:sz w:val="22"/>
          <w:szCs w:val="22"/>
          <w:u w:val="none"/>
        </w:rPr>
        <w:t xml:space="preserve">Celkem za SolidWorks PREMIUM EDU 200, údržba </w:t>
      </w:r>
      <w:r w:rsidR="00903975" w:rsidRPr="00903975">
        <w:rPr>
          <w:rFonts w:ascii="Garamond" w:hAnsi="Garamond"/>
          <w:sz w:val="22"/>
          <w:szCs w:val="22"/>
          <w:u w:val="none"/>
        </w:rPr>
        <w:t>do 31.12.2016</w:t>
      </w:r>
      <w:r w:rsidR="00903975" w:rsidRPr="00903975">
        <w:rPr>
          <w:rFonts w:ascii="Garamond" w:hAnsi="Garamond"/>
          <w:sz w:val="22"/>
          <w:szCs w:val="22"/>
          <w:u w:val="none"/>
        </w:rPr>
        <w:tab/>
      </w:r>
      <w:r w:rsidR="00903975" w:rsidRPr="00903975">
        <w:rPr>
          <w:rFonts w:ascii="Garamond" w:hAnsi="Garamond"/>
          <w:sz w:val="22"/>
          <w:szCs w:val="22"/>
          <w:u w:val="none"/>
        </w:rPr>
        <w:tab/>
      </w:r>
      <w:r w:rsidRPr="00903975">
        <w:rPr>
          <w:rFonts w:ascii="Garamond" w:hAnsi="Garamond"/>
          <w:sz w:val="22"/>
          <w:szCs w:val="22"/>
          <w:u w:val="none"/>
        </w:rPr>
        <w:t xml:space="preserve">21 920,00 </w:t>
      </w:r>
    </w:p>
    <w:p w:rsidR="00903975" w:rsidRPr="00903975" w:rsidRDefault="00903975" w:rsidP="00903975">
      <w:pPr>
        <w:pStyle w:val="Zkladntext"/>
        <w:pBdr>
          <w:bottom w:val="single" w:sz="4" w:space="1" w:color="auto"/>
        </w:pBdr>
        <w:rPr>
          <w:rFonts w:ascii="Garamond" w:hAnsi="Garamond"/>
          <w:sz w:val="22"/>
          <w:szCs w:val="22"/>
          <w:u w:val="none"/>
        </w:rPr>
      </w:pPr>
    </w:p>
    <w:p w:rsidR="00903975" w:rsidRDefault="00903975" w:rsidP="00903975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</w:p>
    <w:p w:rsidR="00903975" w:rsidRPr="006B2A50" w:rsidRDefault="00903975" w:rsidP="00903975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                                                                                                                                Kč</w:t>
      </w:r>
    </w:p>
    <w:p w:rsidR="00903975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903975" w:rsidRPr="00903975" w:rsidRDefault="006B2A50" w:rsidP="00903975">
      <w:pPr>
        <w:pStyle w:val="Zkladntext"/>
        <w:rPr>
          <w:rFonts w:ascii="Garamond" w:hAnsi="Garamond"/>
          <w:sz w:val="22"/>
          <w:szCs w:val="22"/>
          <w:u w:val="none"/>
        </w:rPr>
      </w:pPr>
      <w:r w:rsidRPr="00903975">
        <w:rPr>
          <w:rFonts w:ascii="Garamond" w:hAnsi="Garamond"/>
          <w:sz w:val="22"/>
          <w:szCs w:val="22"/>
          <w:u w:val="none"/>
        </w:rPr>
        <w:t>Cena celkem bez DPH</w:t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>
        <w:rPr>
          <w:rFonts w:ascii="Garamond" w:hAnsi="Garamond"/>
          <w:sz w:val="22"/>
          <w:szCs w:val="22"/>
          <w:u w:val="none"/>
        </w:rPr>
        <w:tab/>
      </w:r>
      <w:r w:rsidR="00903975" w:rsidRPr="00903975">
        <w:rPr>
          <w:rFonts w:ascii="Garamond" w:hAnsi="Garamond"/>
          <w:sz w:val="22"/>
          <w:szCs w:val="22"/>
          <w:u w:val="none"/>
        </w:rPr>
        <w:t>64 088,00</w:t>
      </w: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>Celkem DPH</w:t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>13 458,48</w:t>
      </w:r>
    </w:p>
    <w:p w:rsidR="00903975" w:rsidRDefault="00903975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6B2A50" w:rsidRPr="006B2A50" w:rsidRDefault="006B2A50" w:rsidP="006B2A50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6B2A50">
        <w:rPr>
          <w:rFonts w:ascii="Garamond" w:hAnsi="Garamond"/>
          <w:b w:val="0"/>
          <w:sz w:val="22"/>
          <w:szCs w:val="22"/>
          <w:u w:val="none"/>
        </w:rPr>
        <w:t xml:space="preserve">Cena celkem s DPH </w:t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="00903975">
        <w:rPr>
          <w:rFonts w:ascii="Garamond" w:hAnsi="Garamond"/>
          <w:b w:val="0"/>
          <w:sz w:val="22"/>
          <w:szCs w:val="22"/>
          <w:u w:val="none"/>
        </w:rPr>
        <w:tab/>
      </w:r>
      <w:r w:rsidRPr="006B2A50">
        <w:rPr>
          <w:rFonts w:ascii="Garamond" w:hAnsi="Garamond"/>
          <w:b w:val="0"/>
          <w:sz w:val="22"/>
          <w:szCs w:val="22"/>
          <w:u w:val="none"/>
        </w:rPr>
        <w:t>77 546,48 CZK</w:t>
      </w:r>
    </w:p>
    <w:sectPr w:rsidR="006B2A50" w:rsidRPr="006B2A50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3A" w:rsidRDefault="004B483A" w:rsidP="005620A5">
      <w:pPr>
        <w:spacing w:after="0" w:line="240" w:lineRule="auto"/>
      </w:pPr>
      <w:r>
        <w:separator/>
      </w:r>
    </w:p>
  </w:endnote>
  <w:endnote w:type="continuationSeparator" w:id="0">
    <w:p w:rsidR="004B483A" w:rsidRDefault="004B483A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3A" w:rsidRDefault="004B483A" w:rsidP="005620A5">
      <w:pPr>
        <w:spacing w:after="0" w:line="240" w:lineRule="auto"/>
      </w:pPr>
      <w:r>
        <w:separator/>
      </w:r>
    </w:p>
  </w:footnote>
  <w:footnote w:type="continuationSeparator" w:id="0">
    <w:p w:rsidR="004B483A" w:rsidRDefault="004B483A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A5F07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11868"/>
    <w:rsid w:val="004A4CC5"/>
    <w:rsid w:val="004B483A"/>
    <w:rsid w:val="004B5B13"/>
    <w:rsid w:val="004F023F"/>
    <w:rsid w:val="004F39C3"/>
    <w:rsid w:val="005620A5"/>
    <w:rsid w:val="005F3DD3"/>
    <w:rsid w:val="00651A78"/>
    <w:rsid w:val="00672C42"/>
    <w:rsid w:val="006856D4"/>
    <w:rsid w:val="0068705E"/>
    <w:rsid w:val="006B2A50"/>
    <w:rsid w:val="006C27B1"/>
    <w:rsid w:val="006F445F"/>
    <w:rsid w:val="007178E3"/>
    <w:rsid w:val="007448AE"/>
    <w:rsid w:val="007548A5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903975"/>
    <w:rsid w:val="00906B09"/>
    <w:rsid w:val="009457FB"/>
    <w:rsid w:val="00954BBB"/>
    <w:rsid w:val="009670A2"/>
    <w:rsid w:val="009707D4"/>
    <w:rsid w:val="009C394B"/>
    <w:rsid w:val="00A141BE"/>
    <w:rsid w:val="00A944B0"/>
    <w:rsid w:val="00B20534"/>
    <w:rsid w:val="00B91D87"/>
    <w:rsid w:val="00B93154"/>
    <w:rsid w:val="00BB7F4F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032B3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A0C17"/>
    <w:rsid w:val="00EA2795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2016-07-25T09:47:00Z</dcterms:created>
  <dcterms:modified xsi:type="dcterms:W3CDTF">2016-07-25T09:47:00Z</dcterms:modified>
</cp:coreProperties>
</file>