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2D573B36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524997" w:rsidRPr="00524997">
        <w:rPr>
          <w:rFonts w:eastAsia="Times New Roman"/>
          <w:lang w:eastAsia="cs-CZ"/>
        </w:rPr>
        <w:t>KK02282/2023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5A802F1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74385F">
        <w:rPr>
          <w:rFonts w:eastAsia="Times New Roman"/>
          <w:lang w:eastAsia="cs-CZ"/>
        </w:rPr>
        <w:t>Zastoupený:</w:t>
      </w:r>
      <w:r w:rsidRPr="0074385F">
        <w:rPr>
          <w:rFonts w:eastAsia="Times New Roman"/>
          <w:lang w:eastAsia="cs-CZ"/>
        </w:rPr>
        <w:tab/>
      </w:r>
      <w:r w:rsidRPr="0074385F">
        <w:rPr>
          <w:rFonts w:eastAsia="Times New Roman"/>
          <w:lang w:eastAsia="cs-CZ"/>
        </w:rPr>
        <w:tab/>
      </w:r>
      <w:r w:rsidR="0074385F" w:rsidRPr="0074385F">
        <w:rPr>
          <w:rFonts w:eastAsia="Times New Roman"/>
          <w:lang w:eastAsia="cs-CZ"/>
        </w:rPr>
        <w:t>Ing. Petrem Kulhánkem, hejtmanem Karlovarského kraje</w:t>
      </w:r>
    </w:p>
    <w:p w14:paraId="765BC0C8" w14:textId="4BD05E1D" w:rsidR="00CC11A9" w:rsidRPr="005178F2" w:rsidRDefault="00CC11A9" w:rsidP="00484994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484994">
        <w:rPr>
          <w:rFonts w:eastAsia="Times New Roman"/>
          <w:lang w:eastAsia="cs-CZ"/>
        </w:rPr>
        <w:tab/>
      </w:r>
      <w:proofErr w:type="spellStart"/>
      <w:r w:rsidR="00484994">
        <w:rPr>
          <w:color w:val="000000"/>
        </w:rPr>
        <w:t>xxx</w:t>
      </w:r>
      <w:proofErr w:type="spellEnd"/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733F3BE2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</w:r>
      <w:r w:rsidR="0074385F">
        <w:rPr>
          <w:rFonts w:eastAsia="Times New Roman"/>
          <w:lang w:eastAsia="cs-CZ"/>
        </w:rPr>
        <w:t>o</w:t>
      </w:r>
      <w:r w:rsidRPr="0096502F">
        <w:rPr>
          <w:rFonts w:eastAsia="Times New Roman"/>
          <w:lang w:eastAsia="cs-CZ"/>
        </w:rPr>
        <w:t>dbor</w:t>
      </w:r>
      <w:r w:rsidR="0074385F">
        <w:rPr>
          <w:rFonts w:eastAsia="Times New Roman"/>
          <w:lang w:eastAsia="cs-CZ"/>
        </w:rPr>
        <w:t xml:space="preserve"> zdravotnictví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7096AA41" w:rsidR="00CC11A9" w:rsidRPr="0074385F" w:rsidRDefault="0074385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74385F">
        <w:rPr>
          <w:rFonts w:eastAsia="Times New Roman"/>
          <w:b/>
          <w:bCs/>
          <w:lang w:eastAsia="cs-CZ"/>
        </w:rPr>
        <w:t>Horská služba, o.p.s.</w:t>
      </w:r>
    </w:p>
    <w:p w14:paraId="7152572C" w14:textId="1BC14ACE" w:rsidR="00CC11A9" w:rsidRPr="0074385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74385F">
        <w:rPr>
          <w:rFonts w:eastAsia="Times New Roman"/>
          <w:bCs/>
          <w:lang w:eastAsia="cs-CZ"/>
        </w:rPr>
        <w:t>Adresa sídla:</w:t>
      </w:r>
      <w:r w:rsidRPr="0074385F">
        <w:rPr>
          <w:rFonts w:eastAsia="Times New Roman"/>
          <w:bCs/>
          <w:lang w:eastAsia="cs-CZ"/>
        </w:rPr>
        <w:tab/>
      </w:r>
      <w:r w:rsidR="0074385F" w:rsidRPr="0074385F">
        <w:rPr>
          <w:rFonts w:eastAsia="Times New Roman"/>
          <w:bCs/>
          <w:lang w:eastAsia="cs-CZ"/>
        </w:rPr>
        <w:t>č.p. 260, 543 51 Špindlerův Mlýn</w:t>
      </w:r>
    </w:p>
    <w:p w14:paraId="7EE718E2" w14:textId="1CC4420C" w:rsidR="00CC11A9" w:rsidRPr="0074385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74385F">
        <w:rPr>
          <w:rFonts w:eastAsia="Times New Roman"/>
          <w:bCs/>
          <w:lang w:eastAsia="cs-CZ"/>
        </w:rPr>
        <w:t>Identifikační číslo:</w:t>
      </w:r>
      <w:r w:rsidRPr="0074385F">
        <w:rPr>
          <w:rFonts w:eastAsia="Times New Roman"/>
          <w:bCs/>
          <w:lang w:eastAsia="cs-CZ"/>
        </w:rPr>
        <w:tab/>
      </w:r>
      <w:r w:rsidR="0074385F" w:rsidRPr="0074385F">
        <w:rPr>
          <w:rFonts w:eastAsia="Times New Roman"/>
          <w:bCs/>
          <w:lang w:eastAsia="cs-CZ"/>
        </w:rPr>
        <w:t>27467759</w:t>
      </w:r>
    </w:p>
    <w:p w14:paraId="02B29782" w14:textId="4693EA2B" w:rsidR="00CC11A9" w:rsidRPr="0074385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74385F">
        <w:rPr>
          <w:rFonts w:eastAsia="Times New Roman"/>
          <w:bCs/>
          <w:lang w:eastAsia="cs-CZ"/>
        </w:rPr>
        <w:t>DIČ:</w:t>
      </w:r>
      <w:r w:rsidRPr="0074385F">
        <w:rPr>
          <w:rFonts w:eastAsia="Times New Roman"/>
          <w:bCs/>
          <w:lang w:eastAsia="cs-CZ"/>
        </w:rPr>
        <w:tab/>
      </w:r>
      <w:r w:rsidR="0074385F" w:rsidRPr="0074385F">
        <w:rPr>
          <w:rFonts w:eastAsia="Times New Roman"/>
          <w:bCs/>
          <w:lang w:eastAsia="cs-CZ"/>
        </w:rPr>
        <w:t>CZ27467759</w:t>
      </w:r>
    </w:p>
    <w:p w14:paraId="5B9FA43D" w14:textId="55178DEF" w:rsidR="00CC11A9" w:rsidRPr="0074385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74385F">
        <w:rPr>
          <w:rFonts w:eastAsia="Times New Roman"/>
          <w:lang w:eastAsia="cs-CZ"/>
        </w:rPr>
        <w:t>Zastoupený:</w:t>
      </w:r>
      <w:r w:rsidRPr="0074385F">
        <w:rPr>
          <w:rFonts w:eastAsia="Times New Roman"/>
          <w:lang w:eastAsia="cs-CZ"/>
        </w:rPr>
        <w:tab/>
      </w:r>
      <w:r w:rsidR="0074385F" w:rsidRPr="0074385F">
        <w:rPr>
          <w:rFonts w:eastAsia="Times New Roman"/>
          <w:lang w:eastAsia="cs-CZ"/>
        </w:rPr>
        <w:t>René Mašínem, ředitelem</w:t>
      </w:r>
    </w:p>
    <w:p w14:paraId="6026A4C8" w14:textId="67E69A57" w:rsidR="00CC11A9" w:rsidRPr="0074385F" w:rsidRDefault="00CC11A9" w:rsidP="00484994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74385F">
        <w:rPr>
          <w:rFonts w:eastAsia="Times New Roman"/>
          <w:lang w:eastAsia="cs-CZ"/>
        </w:rPr>
        <w:t>Bankovní spojení:</w:t>
      </w:r>
      <w:r w:rsidR="0074385F" w:rsidRPr="0074385F">
        <w:rPr>
          <w:rFonts w:eastAsia="Times New Roman"/>
          <w:lang w:eastAsia="cs-CZ"/>
        </w:rPr>
        <w:tab/>
      </w:r>
      <w:proofErr w:type="spellStart"/>
      <w:r w:rsidR="00484994">
        <w:rPr>
          <w:rFonts w:eastAsia="Times New Roman"/>
          <w:lang w:eastAsia="cs-CZ"/>
        </w:rPr>
        <w:t>xxx</w:t>
      </w:r>
      <w:proofErr w:type="spellEnd"/>
    </w:p>
    <w:p w14:paraId="458C6585" w14:textId="643665A1" w:rsidR="00CC11A9" w:rsidRPr="0074385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74385F">
        <w:rPr>
          <w:rFonts w:eastAsia="Times New Roman"/>
          <w:lang w:eastAsia="cs-CZ"/>
        </w:rPr>
        <w:t>E-mail:</w:t>
      </w:r>
      <w:r w:rsidRPr="0074385F">
        <w:rPr>
          <w:rFonts w:eastAsia="Times New Roman"/>
          <w:lang w:eastAsia="cs-CZ"/>
        </w:rPr>
        <w:tab/>
      </w:r>
      <w:r w:rsidRPr="0074385F">
        <w:rPr>
          <w:rFonts w:eastAsia="Times New Roman"/>
          <w:lang w:eastAsia="cs-CZ"/>
        </w:rPr>
        <w:tab/>
      </w:r>
      <w:r w:rsidRPr="0074385F">
        <w:rPr>
          <w:rFonts w:eastAsia="Times New Roman"/>
          <w:lang w:eastAsia="cs-CZ"/>
        </w:rPr>
        <w:tab/>
      </w:r>
      <w:r w:rsidR="0074385F" w:rsidRPr="0074385F">
        <w:rPr>
          <w:rFonts w:eastAsia="Times New Roman"/>
          <w:lang w:eastAsia="cs-CZ"/>
        </w:rPr>
        <w:t>hspra@hascr.cz</w:t>
      </w:r>
    </w:p>
    <w:p w14:paraId="361F897E" w14:textId="27F758BA" w:rsidR="00560154" w:rsidRPr="0074385F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74385F">
        <w:rPr>
          <w:rFonts w:eastAsia="Times New Roman"/>
          <w:lang w:eastAsia="cs-CZ"/>
        </w:rPr>
        <w:t>Datová schránka:</w:t>
      </w:r>
      <w:r w:rsidRPr="0074385F">
        <w:rPr>
          <w:rFonts w:eastAsia="Times New Roman"/>
          <w:lang w:eastAsia="cs-CZ"/>
        </w:rPr>
        <w:tab/>
      </w:r>
      <w:r w:rsidR="0074385F" w:rsidRPr="0074385F">
        <w:rPr>
          <w:rFonts w:eastAsia="Times New Roman"/>
          <w:lang w:eastAsia="cs-CZ"/>
        </w:rPr>
        <w:t>u4zgr6q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3070D502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2B7E0514" w14:textId="2CE3AB7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77777777" w:rsidR="00CC11A9" w:rsidRPr="0096502F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258EEB20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7E9E92F8" w14:textId="77777777" w:rsidR="00F8238C" w:rsidRPr="00F40594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0A7EA4">
      <w:pPr>
        <w:pStyle w:val="Normlnweb"/>
        <w:numPr>
          <w:ilvl w:val="0"/>
          <w:numId w:val="3"/>
        </w:numPr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7FAD2E13" w:rsidR="00CC11A9" w:rsidRPr="000A7EA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0A7EA4" w:rsidRPr="000A7EA4">
        <w:rPr>
          <w:sz w:val="22"/>
          <w:szCs w:val="22"/>
        </w:rPr>
        <w:t>2023</w:t>
      </w:r>
    </w:p>
    <w:p w14:paraId="041A388D" w14:textId="11800A0B" w:rsidR="00CC11A9" w:rsidRPr="000A7EA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A7EA4">
        <w:rPr>
          <w:sz w:val="22"/>
          <w:szCs w:val="22"/>
        </w:rPr>
        <w:t>Dotace se poskytuje ve výši:</w:t>
      </w:r>
      <w:r w:rsidRPr="000A7EA4">
        <w:rPr>
          <w:sz w:val="22"/>
          <w:szCs w:val="22"/>
        </w:rPr>
        <w:tab/>
      </w:r>
      <w:r w:rsidRPr="000A7EA4">
        <w:rPr>
          <w:sz w:val="22"/>
          <w:szCs w:val="22"/>
        </w:rPr>
        <w:tab/>
      </w:r>
      <w:r w:rsidRPr="000A7EA4">
        <w:rPr>
          <w:sz w:val="22"/>
          <w:szCs w:val="22"/>
        </w:rPr>
        <w:tab/>
      </w:r>
      <w:r w:rsidRPr="000A7EA4">
        <w:rPr>
          <w:sz w:val="22"/>
          <w:szCs w:val="22"/>
        </w:rPr>
        <w:tab/>
      </w:r>
      <w:r w:rsidR="000A7EA4" w:rsidRPr="000A7EA4">
        <w:rPr>
          <w:sz w:val="22"/>
          <w:szCs w:val="22"/>
        </w:rPr>
        <w:t xml:space="preserve">200.000,00 </w:t>
      </w:r>
      <w:r w:rsidRPr="000A7EA4">
        <w:rPr>
          <w:sz w:val="22"/>
          <w:szCs w:val="22"/>
        </w:rPr>
        <w:t>Kč</w:t>
      </w:r>
    </w:p>
    <w:p w14:paraId="7CF831B7" w14:textId="7E90C3F5" w:rsidR="00CC11A9" w:rsidRPr="000A7EA4" w:rsidRDefault="00CC11A9" w:rsidP="000A7EA4">
      <w:pPr>
        <w:pStyle w:val="Normlnweb"/>
        <w:tabs>
          <w:tab w:val="left" w:pos="5670"/>
        </w:tabs>
        <w:ind w:left="426"/>
        <w:rPr>
          <w:sz w:val="22"/>
          <w:szCs w:val="22"/>
        </w:rPr>
      </w:pPr>
      <w:r w:rsidRPr="000A7EA4">
        <w:rPr>
          <w:sz w:val="22"/>
          <w:szCs w:val="22"/>
        </w:rPr>
        <w:tab/>
        <w:t>(</w:t>
      </w:r>
      <w:r w:rsidR="005C4E9D" w:rsidRPr="000A7EA4">
        <w:rPr>
          <w:sz w:val="22"/>
          <w:szCs w:val="22"/>
        </w:rPr>
        <w:t>s</w:t>
      </w:r>
      <w:r w:rsidRPr="000A7EA4">
        <w:rPr>
          <w:sz w:val="22"/>
          <w:szCs w:val="22"/>
        </w:rPr>
        <w:t xml:space="preserve">lovy: </w:t>
      </w:r>
      <w:r w:rsidR="000A7EA4" w:rsidRPr="000A7EA4">
        <w:rPr>
          <w:sz w:val="22"/>
          <w:szCs w:val="22"/>
        </w:rPr>
        <w:t>dvě stě tisíc</w:t>
      </w:r>
      <w:r w:rsidRPr="000A7EA4">
        <w:rPr>
          <w:sz w:val="22"/>
          <w:szCs w:val="22"/>
        </w:rPr>
        <w:t xml:space="preserve"> korun českých)</w:t>
      </w:r>
    </w:p>
    <w:p w14:paraId="58983808" w14:textId="2C015207" w:rsidR="00CC11A9" w:rsidRPr="000A7EA4" w:rsidRDefault="00CC11A9" w:rsidP="000A7EA4">
      <w:pPr>
        <w:pStyle w:val="Normlnweb"/>
        <w:tabs>
          <w:tab w:val="left" w:pos="5670"/>
        </w:tabs>
        <w:ind w:left="5670" w:hanging="5244"/>
        <w:rPr>
          <w:b/>
          <w:bCs/>
          <w:sz w:val="22"/>
          <w:szCs w:val="22"/>
        </w:rPr>
      </w:pPr>
      <w:r w:rsidRPr="000A7EA4">
        <w:rPr>
          <w:sz w:val="22"/>
          <w:szCs w:val="22"/>
        </w:rPr>
        <w:t>Dotace se poskytuje na účel:</w:t>
      </w:r>
      <w:r w:rsidRPr="000A7EA4">
        <w:rPr>
          <w:sz w:val="22"/>
          <w:szCs w:val="22"/>
        </w:rPr>
        <w:tab/>
      </w:r>
      <w:r w:rsidR="000A7EA4" w:rsidRPr="000A7EA4">
        <w:rPr>
          <w:sz w:val="22"/>
          <w:szCs w:val="22"/>
        </w:rPr>
        <w:t>obnova a doplnění zdravotnického a dalšího vybavení Horské služby ČR, oblast Krušné Hory</w:t>
      </w:r>
    </w:p>
    <w:p w14:paraId="62AA832A" w14:textId="1864D341" w:rsidR="00CC11A9" w:rsidRPr="000A7EA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A7EA4">
        <w:rPr>
          <w:sz w:val="22"/>
          <w:szCs w:val="22"/>
        </w:rPr>
        <w:t>Platba dotace bude opatřena variabilním symbolem:</w:t>
      </w:r>
      <w:r w:rsidRPr="000A7EA4">
        <w:rPr>
          <w:sz w:val="22"/>
          <w:szCs w:val="22"/>
        </w:rPr>
        <w:tab/>
      </w:r>
      <w:proofErr w:type="spellStart"/>
      <w:r w:rsidR="00484994">
        <w:rPr>
          <w:sz w:val="22"/>
          <w:szCs w:val="22"/>
        </w:rPr>
        <w:t>xxx</w:t>
      </w:r>
      <w:proofErr w:type="spellEnd"/>
    </w:p>
    <w:p w14:paraId="4276D08D" w14:textId="77777777" w:rsidR="00CF660D" w:rsidRPr="000A7EA4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4C8629AA" w14:textId="77777777" w:rsidR="00484994" w:rsidRDefault="00484994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6F0922BA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bookmarkStart w:id="0" w:name="_GoBack"/>
      <w:bookmarkEnd w:id="0"/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395025B6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9C4702">
        <w:rPr>
          <w:rFonts w:eastAsia="Arial Unicode MS"/>
          <w:lang w:eastAsia="cs-CZ"/>
        </w:rPr>
        <w:t xml:space="preserve">zpravidla </w:t>
      </w:r>
      <w:r w:rsidRPr="0096502F">
        <w:rPr>
          <w:rFonts w:eastAsia="Arial Unicode MS"/>
          <w:lang w:eastAsia="cs-CZ"/>
        </w:rPr>
        <w:t xml:space="preserve">do </w:t>
      </w:r>
      <w:r w:rsidR="00B2348D">
        <w:rPr>
          <w:rFonts w:eastAsia="Arial Unicode MS"/>
          <w:lang w:eastAsia="cs-CZ"/>
        </w:rPr>
        <w:t>2</w:t>
      </w:r>
      <w:r w:rsidR="00063C82" w:rsidRPr="000A7EA4">
        <w:rPr>
          <w:rFonts w:eastAsia="Arial Unicode MS"/>
          <w:lang w:eastAsia="cs-CZ"/>
        </w:rPr>
        <w:t>0</w:t>
      </w:r>
      <w:r w:rsidR="00063C82" w:rsidRPr="00524997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 uzavření smlouvy</w:t>
      </w:r>
      <w:r w:rsidR="005075F5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</w:t>
      </w:r>
      <w:r w:rsidR="00BF512D" w:rsidRPr="0096502F">
        <w:rPr>
          <w:rFonts w:eastAsia="Arial Unicode MS"/>
          <w:lang w:eastAsia="cs-CZ"/>
        </w:rPr>
        <w:t>čl. II.</w:t>
      </w:r>
      <w:r w:rsidR="00BF512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A63AADF" w14:textId="77777777" w:rsidR="000A7EA4" w:rsidRDefault="000A7EA4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18067282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3B3EF285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 xml:space="preserve">Příjemce je povinen vyčerpat poskytnuté finanční prostředky nejpozději </w:t>
      </w:r>
      <w:r w:rsidRPr="000A045A">
        <w:rPr>
          <w:rFonts w:eastAsia="Arial Unicode MS"/>
          <w:b/>
          <w:lang w:eastAsia="cs-CZ"/>
        </w:rPr>
        <w:t>do </w:t>
      </w:r>
      <w:r w:rsidR="000A045A" w:rsidRPr="000A045A">
        <w:rPr>
          <w:rFonts w:eastAsia="Arial Unicode MS"/>
          <w:b/>
          <w:lang w:eastAsia="cs-CZ"/>
        </w:rPr>
        <w:t>31.12.2023</w:t>
      </w:r>
      <w:r w:rsidR="000A045A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15248F68" w:rsidR="00D733D2" w:rsidRPr="000A045A" w:rsidRDefault="000A045A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0A045A">
        <w:rPr>
          <w:rFonts w:eastAsia="Times New Roman"/>
          <w:bCs/>
          <w:lang w:eastAsia="cs-CZ"/>
        </w:rPr>
        <w:t>Dotace je neinvestičního charakteru a příjemce je povinen ji použít výhradně k úhradě výdajů na nákup:</w:t>
      </w:r>
    </w:p>
    <w:p w14:paraId="369E41BA" w14:textId="4F7467FA" w:rsidR="000A045A" w:rsidRPr="000A045A" w:rsidRDefault="000A045A" w:rsidP="000A045A">
      <w:pPr>
        <w:pStyle w:val="Odstavecseseznamem"/>
        <w:numPr>
          <w:ilvl w:val="0"/>
          <w:numId w:val="40"/>
        </w:numPr>
        <w:spacing w:after="0" w:line="240" w:lineRule="auto"/>
        <w:rPr>
          <w:rFonts w:eastAsia="Arial Unicode MS"/>
          <w:lang w:eastAsia="cs-CZ"/>
        </w:rPr>
      </w:pPr>
      <w:r w:rsidRPr="000A045A">
        <w:rPr>
          <w:rFonts w:eastAsia="Times New Roman"/>
          <w:bCs/>
          <w:lang w:eastAsia="cs-CZ"/>
        </w:rPr>
        <w:t>6 ks baterií AED Lifepak 1000</w:t>
      </w:r>
    </w:p>
    <w:p w14:paraId="3FC5B212" w14:textId="2F08AEFC" w:rsidR="000A045A" w:rsidRPr="000A045A" w:rsidRDefault="000A045A" w:rsidP="000A045A">
      <w:pPr>
        <w:pStyle w:val="Odstavecseseznamem"/>
        <w:numPr>
          <w:ilvl w:val="0"/>
          <w:numId w:val="40"/>
        </w:numPr>
        <w:spacing w:after="0" w:line="240" w:lineRule="auto"/>
        <w:rPr>
          <w:rFonts w:eastAsia="Arial Unicode MS"/>
          <w:lang w:eastAsia="cs-CZ"/>
        </w:rPr>
      </w:pPr>
      <w:r w:rsidRPr="000A045A">
        <w:rPr>
          <w:rFonts w:eastAsia="Times New Roman"/>
          <w:bCs/>
          <w:lang w:eastAsia="cs-CZ"/>
        </w:rPr>
        <w:t>3 ks helem se zástavbou pro leteckého záchranáře</w:t>
      </w:r>
    </w:p>
    <w:p w14:paraId="7B2DBB68" w14:textId="247B7806" w:rsidR="000A045A" w:rsidRPr="000A045A" w:rsidRDefault="000A045A" w:rsidP="000A045A">
      <w:pPr>
        <w:pStyle w:val="Odstavecseseznamem"/>
        <w:numPr>
          <w:ilvl w:val="0"/>
          <w:numId w:val="40"/>
        </w:numPr>
        <w:spacing w:after="0" w:line="240" w:lineRule="auto"/>
        <w:rPr>
          <w:rFonts w:eastAsia="Arial Unicode MS"/>
          <w:lang w:eastAsia="cs-CZ"/>
        </w:rPr>
      </w:pPr>
      <w:r w:rsidRPr="000A045A">
        <w:rPr>
          <w:rFonts w:eastAsia="Arial Unicode MS"/>
          <w:lang w:eastAsia="cs-CZ"/>
        </w:rPr>
        <w:t>spotřebního zdravotnického materiálu.</w:t>
      </w:r>
    </w:p>
    <w:p w14:paraId="4A723364" w14:textId="77777777" w:rsidR="000A045A" w:rsidRDefault="000A045A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857805C" w14:textId="2FB83FBE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7690B7F2" w14:textId="77777777" w:rsidR="008F0B23" w:rsidRPr="0096502F" w:rsidRDefault="008F0B23" w:rsidP="003D6BBB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38101D71" w:rsidR="00517DCD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výhradně k účelu uvedenému v článku II. smlouvy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</w:t>
      </w:r>
      <w:r w:rsidRPr="000A045A">
        <w:rPr>
          <w:rFonts w:eastAsia="Arial Unicode MS"/>
          <w:lang w:eastAsia="cs-CZ"/>
        </w:rPr>
        <w:t>dary, pohoštění, mzdy pracovníků nebo funkcionářů příjemce či</w:t>
      </w:r>
      <w:r w:rsidR="00CF660D" w:rsidRPr="000A045A">
        <w:rPr>
          <w:rFonts w:eastAsia="Arial Unicode MS"/>
          <w:lang w:eastAsia="cs-CZ"/>
        </w:rPr>
        <w:t> </w:t>
      </w:r>
      <w:r w:rsidRPr="000A045A">
        <w:rPr>
          <w:rFonts w:eastAsia="Arial Unicode MS"/>
          <w:lang w:eastAsia="cs-CZ"/>
        </w:rPr>
        <w:t xml:space="preserve">příjemce samotného, </w:t>
      </w:r>
      <w:r w:rsidR="00033EEB" w:rsidRPr="000A045A">
        <w:rPr>
          <w:rFonts w:eastAsia="Arial Unicode MS"/>
          <w:lang w:eastAsia="cs-CZ"/>
        </w:rPr>
        <w:t>poštovné</w:t>
      </w:r>
      <w:r w:rsidR="00C75871" w:rsidRPr="000A045A">
        <w:rPr>
          <w:rFonts w:eastAsia="Arial Unicode MS"/>
          <w:lang w:eastAsia="cs-CZ"/>
        </w:rPr>
        <w:t xml:space="preserve"> a balné</w:t>
      </w:r>
      <w:r w:rsidR="00033EEB" w:rsidRPr="000A045A">
        <w:rPr>
          <w:rFonts w:eastAsia="Arial Unicode MS"/>
          <w:lang w:eastAsia="cs-CZ"/>
        </w:rPr>
        <w:t xml:space="preserve">, </w:t>
      </w:r>
      <w:r w:rsidRPr="000A045A">
        <w:rPr>
          <w:rFonts w:eastAsia="Arial Unicode MS"/>
          <w:lang w:eastAsia="cs-CZ"/>
        </w:rPr>
        <w:t>penále, úroky z úvěrů, náhrady škod, pojistné, pokuty, úhrady dluhu apod</w:t>
      </w:r>
      <w:r w:rsidRPr="0096502F">
        <w:rPr>
          <w:rFonts w:eastAsia="Arial Unicode MS"/>
          <w:lang w:eastAsia="cs-CZ"/>
        </w:rPr>
        <w:t>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E7771EF" w:rsidR="008F0B23" w:rsidRPr="0096502F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0A045A" w:rsidRPr="000A045A">
        <w:rPr>
          <w:rFonts w:eastAsia="Arial Unicode MS"/>
          <w:b/>
          <w:lang w:eastAsia="cs-CZ"/>
        </w:rPr>
        <w:t>15.02.2024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0A045A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4DE66F42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</w:t>
      </w:r>
      <w:r w:rsidR="00EE5F78">
        <w:rPr>
          <w:lang w:eastAsia="cs-CZ"/>
        </w:rPr>
        <w:t>.</w:t>
      </w:r>
      <w:r w:rsidR="004F3493" w:rsidRPr="00A22E47">
        <w:rPr>
          <w:lang w:eastAsia="cs-CZ"/>
        </w:rPr>
        <w:t xml:space="preserve">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0201FB96" w14:textId="3A99AA48" w:rsidR="005A3162" w:rsidRPr="00A22E47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dokumentaci o propagaci </w:t>
      </w:r>
      <w:r w:rsidR="00EB02D6">
        <w:rPr>
          <w:rFonts w:eastAsia="Arial Unicode MS"/>
          <w:lang w:eastAsia="cs-CZ"/>
        </w:rPr>
        <w:t>poskytovatele dotace</w:t>
      </w:r>
      <w:r w:rsidR="00303E56">
        <w:rPr>
          <w:rFonts w:eastAsia="Arial Unicode MS"/>
          <w:lang w:eastAsia="cs-CZ"/>
        </w:rPr>
        <w:t xml:space="preserve"> </w:t>
      </w:r>
      <w:r w:rsidR="00303E56" w:rsidRPr="00F40594">
        <w:t>(např. audio/video záznam, fotografie, materiály)</w:t>
      </w:r>
      <w:r w:rsidR="00EB02D6" w:rsidRPr="00EB02D6">
        <w:rPr>
          <w:rFonts w:eastAsia="Arial Unicode MS"/>
          <w:lang w:val="de-DE" w:eastAsia="cs-CZ"/>
        </w:rPr>
        <w:t>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22AE89B4" w14:textId="61B94733" w:rsidR="00972169" w:rsidRPr="008C1ECA" w:rsidRDefault="00972169" w:rsidP="008C1ECA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8C1ECA">
        <w:rPr>
          <w:rFonts w:eastAsia="Arial Unicode MS"/>
          <w:lang w:eastAsia="cs-CZ"/>
        </w:rPr>
        <w:t xml:space="preserve">další </w:t>
      </w:r>
      <w:r w:rsidR="004F5509" w:rsidRPr="008C1ECA">
        <w:rPr>
          <w:rFonts w:eastAsia="Arial Unicode MS"/>
          <w:lang w:eastAsia="cs-CZ"/>
        </w:rPr>
        <w:t>přílohy</w:t>
      </w:r>
      <w:r w:rsidR="008C1ECA" w:rsidRPr="008C1ECA">
        <w:rPr>
          <w:rFonts w:eastAsia="Arial Unicode MS"/>
          <w:lang w:eastAsia="cs-CZ"/>
        </w:rPr>
        <w:t xml:space="preserve"> stanovené ve vzoru finančního vypořádání.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55BA4DC5" w:rsidR="00476C23" w:rsidRPr="00476C23" w:rsidRDefault="008F0B23" w:rsidP="008C1ECA">
      <w:pPr>
        <w:numPr>
          <w:ilvl w:val="0"/>
          <w:numId w:val="42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AF07DC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FB6890">
        <w:rPr>
          <w:rFonts w:eastAsia="Arial Unicode MS"/>
          <w:lang w:eastAsia="cs-CZ"/>
        </w:rPr>
        <w:t xml:space="preserve">. </w:t>
      </w:r>
      <w:r w:rsidR="00FB6890" w:rsidRPr="008C1ECA">
        <w:rPr>
          <w:rFonts w:eastAsia="Arial Unicode MS"/>
          <w:lang w:eastAsia="cs-CZ"/>
        </w:rPr>
        <w:t>P</w:t>
      </w:r>
      <w:r w:rsidR="00476C23" w:rsidRPr="008C1ECA">
        <w:rPr>
          <w:rFonts w:eastAsia="Arial Unicode MS"/>
          <w:lang w:eastAsia="cs-CZ"/>
        </w:rPr>
        <w:t xml:space="preserve">ovinnost publicity je splněna, pokud příjemce úspěšně provede alespoň jednu zvolenou formu propagace. </w:t>
      </w:r>
      <w:r w:rsidR="00476C23" w:rsidRPr="00476C23">
        <w:rPr>
          <w:rFonts w:eastAsia="Arial Unicode MS"/>
          <w:lang w:eastAsia="cs-CZ"/>
        </w:rPr>
        <w:t xml:space="preserve">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342652F7" w:rsidR="00476C23" w:rsidRPr="00F40594" w:rsidRDefault="00476C23" w:rsidP="008C1ECA">
      <w:pPr>
        <w:numPr>
          <w:ilvl w:val="0"/>
          <w:numId w:val="42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8C1ECA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2A060652" w14:textId="48A6F19A" w:rsidR="008F0B23" w:rsidRPr="0096502F" w:rsidRDefault="00190D24" w:rsidP="008C1ECA">
      <w:pPr>
        <w:numPr>
          <w:ilvl w:val="0"/>
          <w:numId w:val="42"/>
        </w:numPr>
        <w:spacing w:after="0" w:line="240" w:lineRule="auto"/>
        <w:rPr>
          <w:rFonts w:eastAsia="Arial Unicode MS"/>
          <w:lang w:eastAsia="cs-CZ"/>
        </w:rPr>
      </w:pPr>
      <w:r>
        <w:t>Pokud</w:t>
      </w:r>
      <w:r w:rsidR="008F0B23" w:rsidRPr="0096502F">
        <w:t xml:space="preserve"> má </w:t>
      </w:r>
      <w:r>
        <w:t xml:space="preserve">příjemce </w:t>
      </w:r>
      <w:r w:rsidR="008F0B23" w:rsidRPr="0096502F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501B75BB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5BDD">
        <w:rPr>
          <w:rFonts w:eastAsia="Arial Unicode MS"/>
          <w:lang w:eastAsia="cs-CZ"/>
        </w:rPr>
        <w:t>7</w:t>
      </w:r>
      <w:r w:rsidR="00A94054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</w:t>
      </w:r>
      <w:r w:rsidR="008C1ECA">
        <w:rPr>
          <w:rFonts w:eastAsia="Arial Unicode MS"/>
          <w:lang w:eastAsia="cs-CZ"/>
        </w:rPr>
        <w:br/>
      </w:r>
      <w:r w:rsidRPr="00A22E47">
        <w:rPr>
          <w:rFonts w:eastAsia="Arial Unicode MS"/>
          <w:lang w:eastAsia="cs-CZ"/>
        </w:rPr>
        <w:t>čl. II</w:t>
      </w:r>
      <w:r w:rsidR="00A94054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5B3BCD1" w:rsidR="008F0B23" w:rsidRPr="0096502F" w:rsidRDefault="008F0B23" w:rsidP="008C1E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>termín pro vyčerpání poskytnutých finančních prostředků uvedený v čl. IV</w:t>
      </w:r>
      <w:r w:rsidR="008211C7">
        <w:rPr>
          <w:rFonts w:eastAsia="Arial Unicode MS"/>
          <w:lang w:eastAsia="cs-CZ"/>
        </w:rPr>
        <w:t>.</w:t>
      </w:r>
      <w:r w:rsidR="00686ECC">
        <w:rPr>
          <w:rFonts w:eastAsia="Arial Unicode MS"/>
          <w:lang w:eastAsia="cs-CZ"/>
        </w:rPr>
        <w:t xml:space="preserve"> odst. 1</w:t>
      </w:r>
      <w:r w:rsidRPr="0096502F">
        <w:rPr>
          <w:rFonts w:eastAsia="Arial Unicode MS"/>
          <w:lang w:eastAsia="cs-CZ"/>
        </w:rPr>
        <w:t xml:space="preserve"> do </w:t>
      </w:r>
      <w:r w:rsidR="008C1ECA" w:rsidRPr="008C1ECA">
        <w:rPr>
          <w:rFonts w:eastAsia="Arial Unicode MS"/>
          <w:lang w:eastAsia="cs-CZ"/>
        </w:rPr>
        <w:t>20</w:t>
      </w:r>
      <w:r w:rsidRPr="008C1ECA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4335E2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8C1E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8C1E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8C1E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8C1ECA">
        <w:rPr>
          <w:rFonts w:eastAsia="Arial Unicode MS"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</w:t>
      </w:r>
      <w:r w:rsidRPr="0096502F">
        <w:rPr>
          <w:rFonts w:eastAsia="Arial Unicode MS"/>
          <w:lang w:eastAsia="cs-CZ"/>
        </w:rPr>
        <w:lastRenderedPageBreak/>
        <w:t xml:space="preserve">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96502F" w:rsidRDefault="008F0B23" w:rsidP="008C1E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59B31E2A" w14:textId="77777777" w:rsidR="008C1ECA" w:rsidRDefault="008C1ECA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</w:p>
    <w:p w14:paraId="0B257D4E" w14:textId="3B5F7FB5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8358B2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3733B0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>,</w:t>
      </w:r>
      <w:r w:rsidR="003733B0">
        <w:rPr>
          <w:rFonts w:eastAsia="Times New Roman"/>
          <w:bCs/>
          <w:lang w:eastAsia="cs-CZ"/>
        </w:rPr>
        <w:t xml:space="preserve"> 10</w:t>
      </w:r>
      <w:r w:rsidR="00AA4091">
        <w:rPr>
          <w:rFonts w:eastAsia="Times New Roman"/>
          <w:bCs/>
          <w:lang w:eastAsia="cs-CZ"/>
        </w:rPr>
        <w:t>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C3A089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184E2C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184E2C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63D8B">
        <w:rPr>
          <w:rFonts w:eastAsia="Times New Roman"/>
          <w:bCs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84E2C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300DA463" w:rsidR="008C1ECA" w:rsidRDefault="008C1ECA">
      <w:pPr>
        <w:spacing w:after="0" w:line="240" w:lineRule="auto"/>
        <w:jc w:val="left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lastRenderedPageBreak/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D2FE01B" w14:textId="54E2DE5C" w:rsidR="008F0B23" w:rsidRDefault="008F0B23" w:rsidP="003D6B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</w:t>
      </w:r>
      <w:r w:rsidR="00D52737">
        <w:rPr>
          <w:rFonts w:eastAsia="Times New Roman"/>
          <w:bCs/>
          <w:lang w:eastAsia="cs-CZ"/>
        </w:rPr>
        <w:t xml:space="preserve"> </w:t>
      </w:r>
      <w:r w:rsidRPr="0096502F">
        <w:rPr>
          <w:rFonts w:eastAsia="Times New Roman"/>
          <w:bCs/>
          <w:lang w:eastAsia="cs-CZ"/>
        </w:rPr>
        <w:t>352/2013 na straně 1 (dále jen „Nařízení komise“).</w:t>
      </w:r>
    </w:p>
    <w:p w14:paraId="10B54D72" w14:textId="77777777" w:rsidR="00F40594" w:rsidRPr="0096502F" w:rsidRDefault="00F40594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0DC9C5AC" w14:textId="77777777" w:rsidR="008F0B23" w:rsidRPr="0096502F" w:rsidRDefault="008F0B23" w:rsidP="003D6BBB">
      <w:pPr>
        <w:pStyle w:val="Odstavecseseznamem"/>
        <w:numPr>
          <w:ilvl w:val="0"/>
          <w:numId w:val="25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obdržel v předchozích 3 fiskálních letech od data účinnosti této smlouvy podporu de minimis a celková výše podpory de minimis, kterou tak </w:t>
      </w:r>
      <w:r w:rsidR="002B67D8">
        <w:t>s poskytovanou dotací přijme</w:t>
      </w:r>
      <w:r w:rsidRPr="0096502F">
        <w:t>, nepřesáhne 200.000 EUR.</w:t>
      </w:r>
    </w:p>
    <w:p w14:paraId="7110E9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30E699EB" w14:textId="77777777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>Kurz pro přepočet částky do CZK je stanovený Evropskou centrální bankou zveřejňovaný na webových stránkách ECB ke dni podpisu smlouvy.</w:t>
      </w:r>
    </w:p>
    <w:p w14:paraId="19AB9F9E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681742AB" w14:textId="0C07C030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dle smlouvy se zavazuje vrátit poskytovateli bez zbytečného odkladu poskytnutou podporu včetně úroků podle </w:t>
      </w:r>
      <w:r w:rsidRPr="0096502F">
        <w:rPr>
          <w:iCs/>
        </w:rPr>
        <w:t>Nařízení komise</w:t>
      </w:r>
      <w:r w:rsidRPr="0096502F">
        <w:t xml:space="preserve"> v případě, že se jeho prohlášení uvedené </w:t>
      </w:r>
      <w:r w:rsidR="008721B5" w:rsidRPr="0096502F">
        <w:t>v odstavci</w:t>
      </w:r>
      <w:r w:rsidRPr="0096502F">
        <w:t xml:space="preserve"> 1 tohoto článku prokáže jako nepravdivé, či pokud Komise (ES) rozhodne podle přímo aplikovatelného právního předpisu</w:t>
      </w:r>
      <w:r w:rsidRPr="0096502F">
        <w:rPr>
          <w:rStyle w:val="Znakapoznpodarou"/>
        </w:rPr>
        <w:footnoteReference w:id="1"/>
      </w:r>
      <w:r w:rsidRPr="0096502F">
        <w:t xml:space="preserve"> buď o vrácení podpory, prozatímním navrácení podpory nebo</w:t>
      </w:r>
      <w:r>
        <w:t> </w:t>
      </w:r>
      <w:r w:rsidRPr="0096502F">
        <w:t>o</w:t>
      </w:r>
      <w:r>
        <w:t> </w:t>
      </w:r>
      <w:r w:rsidRPr="0096502F">
        <w:t>pozastavení podpory.</w:t>
      </w:r>
    </w:p>
    <w:p w14:paraId="1641798B" w14:textId="77777777" w:rsidR="008C1ECA" w:rsidRDefault="008C1ECA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B8E1ED3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55F02653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77777777" w:rsidR="008F0B23" w:rsidRPr="00D46EC0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D46EC0">
        <w:rPr>
          <w:rFonts w:eastAsia="Times New Roman"/>
          <w:lang w:eastAsia="cs-CZ"/>
        </w:rPr>
        <w:t>ve 3 vyhotoveních, z nichž 2 obdrží poskytovatel a 1 příjemce.</w:t>
      </w:r>
    </w:p>
    <w:p w14:paraId="0082694B" w14:textId="77777777" w:rsidR="008F0B23" w:rsidRPr="00D46EC0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62FCCB02" w14:textId="77777777" w:rsidR="00D46EC0" w:rsidRDefault="00D46EC0" w:rsidP="00D46EC0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57E64E31" w14:textId="10749174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51C4AB88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lastRenderedPageBreak/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odst. 2 písm. a) zákona č. 129/2000 Sb., o krajích (krajské zřízení)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předpisů, Rada Karlovarského kraje usnesením č. RK </w:t>
      </w:r>
      <w:r w:rsidR="00524997" w:rsidRPr="00524997">
        <w:rPr>
          <w:rFonts w:eastAsia="Times New Roman"/>
          <w:lang w:eastAsia="cs-CZ"/>
        </w:rPr>
        <w:t>852/07/2023</w:t>
      </w:r>
      <w:r w:rsidR="00D46EC0" w:rsidRPr="00524997">
        <w:rPr>
          <w:rFonts w:eastAsia="Times New Roman"/>
          <w:lang w:eastAsia="cs-CZ"/>
        </w:rPr>
        <w:t xml:space="preserve"> </w:t>
      </w:r>
      <w:r w:rsidRPr="00524997">
        <w:rPr>
          <w:rFonts w:eastAsia="Times New Roman"/>
          <w:lang w:eastAsia="cs-CZ"/>
        </w:rPr>
        <w:t xml:space="preserve">ze dne </w:t>
      </w:r>
      <w:r w:rsidR="00524997" w:rsidRPr="00524997">
        <w:rPr>
          <w:rFonts w:eastAsia="Times New Roman"/>
          <w:lang w:eastAsia="cs-CZ"/>
        </w:rPr>
        <w:t>10</w:t>
      </w:r>
      <w:r w:rsidR="00D46EC0" w:rsidRPr="00524997">
        <w:rPr>
          <w:rFonts w:eastAsia="Times New Roman"/>
          <w:lang w:eastAsia="cs-CZ"/>
        </w:rPr>
        <w:t>.</w:t>
      </w:r>
      <w:r w:rsidR="00524997" w:rsidRPr="00524997">
        <w:rPr>
          <w:rFonts w:eastAsia="Times New Roman"/>
          <w:lang w:eastAsia="cs-CZ"/>
        </w:rPr>
        <w:t>07</w:t>
      </w:r>
      <w:r w:rsidR="00D46EC0" w:rsidRPr="00524997">
        <w:rPr>
          <w:rFonts w:eastAsia="Times New Roman"/>
          <w:lang w:eastAsia="cs-CZ"/>
        </w:rPr>
        <w:t>.2023</w:t>
      </w:r>
      <w:r w:rsidRPr="0096502F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D46EC0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D46EC0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31154D51" w:rsidR="008F0B23" w:rsidRPr="00D46EC0" w:rsidRDefault="00D46EC0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Ing. Petr Kulhánek</w:t>
            </w:r>
          </w:p>
          <w:p w14:paraId="1943E722" w14:textId="14149BB6" w:rsidR="00D46EC0" w:rsidRPr="00D46EC0" w:rsidRDefault="00D46EC0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hejtman Karlovarského kraje</w:t>
            </w:r>
          </w:p>
          <w:p w14:paraId="5D6E577E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D46EC0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D46EC0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CF32FC3" w:rsidR="008F0B23" w:rsidRPr="00D46EC0" w:rsidRDefault="00D46EC0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René Mašín</w:t>
            </w:r>
          </w:p>
          <w:p w14:paraId="187C5962" w14:textId="2F611BFB" w:rsidR="00D46EC0" w:rsidRPr="00D46EC0" w:rsidRDefault="00D46EC0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ředitel</w:t>
            </w:r>
          </w:p>
          <w:p w14:paraId="4B83B585" w14:textId="77777777" w:rsidR="008F0B23" w:rsidRPr="00D46EC0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D46EC0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47F95C12" w14:textId="77777777" w:rsidR="00D46EC0" w:rsidRDefault="00D46EC0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D46EC0" w:rsidSect="00524997">
      <w:headerReference w:type="default" r:id="rId14"/>
      <w:footerReference w:type="default" r:id="rId15"/>
      <w:pgSz w:w="11906" w:h="16838"/>
      <w:pgMar w:top="709" w:right="1418" w:bottom="1134" w:left="1418" w:header="709" w:footer="709" w:gutter="0"/>
      <w:pgNumType w:start="1" w:chapStyle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EE9D" w16cex:dateUtc="2023-03-24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9A67" w14:textId="77777777" w:rsidR="00CD010F" w:rsidRDefault="00CD010F" w:rsidP="008F0B23">
      <w:pPr>
        <w:spacing w:after="0" w:line="240" w:lineRule="auto"/>
      </w:pPr>
      <w:r>
        <w:separator/>
      </w:r>
    </w:p>
  </w:endnote>
  <w:endnote w:type="continuationSeparator" w:id="0">
    <w:p w14:paraId="21DB27B3" w14:textId="77777777" w:rsidR="00CD010F" w:rsidRDefault="00CD010F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55699"/>
      <w:docPartObj>
        <w:docPartGallery w:val="Page Numbers (Bottom of Page)"/>
        <w:docPartUnique/>
      </w:docPartObj>
    </w:sdtPr>
    <w:sdtEndPr/>
    <w:sdtContent>
      <w:p w14:paraId="729E34DE" w14:textId="6EE5CDFE" w:rsidR="00D46EC0" w:rsidRDefault="00D46E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F59238" w14:textId="245148EA" w:rsidR="5FA29916" w:rsidRDefault="5FA29916" w:rsidP="5FA299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E3FD" w14:textId="77777777" w:rsidR="00CD010F" w:rsidRDefault="00CD010F" w:rsidP="008F0B23">
      <w:pPr>
        <w:spacing w:after="0" w:line="240" w:lineRule="auto"/>
      </w:pPr>
      <w:r>
        <w:separator/>
      </w:r>
    </w:p>
  </w:footnote>
  <w:footnote w:type="continuationSeparator" w:id="0">
    <w:p w14:paraId="05ECBF3C" w14:textId="77777777" w:rsidR="00CD010F" w:rsidRDefault="00CD010F" w:rsidP="008F0B23">
      <w:pPr>
        <w:spacing w:after="0" w:line="240" w:lineRule="auto"/>
      </w:pPr>
      <w:r>
        <w:continuationSeparator/>
      </w:r>
    </w:p>
  </w:footnote>
  <w:footnote w:id="1">
    <w:p w14:paraId="68A84229" w14:textId="406FC022" w:rsidR="003B6DE9" w:rsidRPr="008721B5" w:rsidRDefault="003B6DE9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FA29916" w14:paraId="4B249917" w14:textId="77777777" w:rsidTr="5FA29916">
      <w:trPr>
        <w:trHeight w:val="300"/>
      </w:trPr>
      <w:tc>
        <w:tcPr>
          <w:tcW w:w="3020" w:type="dxa"/>
        </w:tcPr>
        <w:p w14:paraId="76DBDF69" w14:textId="20728D3B" w:rsidR="5FA29916" w:rsidRDefault="5FA29916" w:rsidP="5FA29916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3610748A" w14:textId="4D661854" w:rsidR="5FA29916" w:rsidRDefault="5FA29916" w:rsidP="5FA29916">
          <w:pPr>
            <w:pStyle w:val="Zhlav"/>
            <w:jc w:val="center"/>
          </w:pPr>
        </w:p>
      </w:tc>
      <w:tc>
        <w:tcPr>
          <w:tcW w:w="3020" w:type="dxa"/>
        </w:tcPr>
        <w:p w14:paraId="3EBF4AC0" w14:textId="51E0BF87" w:rsidR="5FA29916" w:rsidRDefault="5FA29916" w:rsidP="5FA29916">
          <w:pPr>
            <w:pStyle w:val="Zhlav"/>
            <w:ind w:right="-115"/>
            <w:jc w:val="right"/>
          </w:pPr>
        </w:p>
      </w:tc>
    </w:tr>
  </w:tbl>
  <w:p w14:paraId="25B3BFDD" w14:textId="62256EBC" w:rsidR="5FA29916" w:rsidRDefault="5FA29916" w:rsidP="5FA299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4977F7"/>
    <w:multiLevelType w:val="hybridMultilevel"/>
    <w:tmpl w:val="2AB60F2A"/>
    <w:lvl w:ilvl="0" w:tplc="A1F4C0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132B5"/>
    <w:multiLevelType w:val="hybridMultilevel"/>
    <w:tmpl w:val="1E145D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434AD"/>
    <w:multiLevelType w:val="hybridMultilevel"/>
    <w:tmpl w:val="F726F7F4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3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20663"/>
    <w:multiLevelType w:val="hybridMultilevel"/>
    <w:tmpl w:val="44DAC926"/>
    <w:lvl w:ilvl="0" w:tplc="A704D0C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926BC6"/>
    <w:multiLevelType w:val="hybridMultilevel"/>
    <w:tmpl w:val="ED46429A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D517C5"/>
    <w:multiLevelType w:val="hybridMultilevel"/>
    <w:tmpl w:val="F4260654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9"/>
  </w:num>
  <w:num w:numId="4">
    <w:abstractNumId w:val="30"/>
  </w:num>
  <w:num w:numId="5">
    <w:abstractNumId w:val="38"/>
  </w:num>
  <w:num w:numId="6">
    <w:abstractNumId w:val="0"/>
  </w:num>
  <w:num w:numId="7">
    <w:abstractNumId w:val="1"/>
  </w:num>
  <w:num w:numId="8">
    <w:abstractNumId w:val="31"/>
  </w:num>
  <w:num w:numId="9">
    <w:abstractNumId w:val="14"/>
  </w:num>
  <w:num w:numId="10">
    <w:abstractNumId w:val="19"/>
  </w:num>
  <w:num w:numId="11">
    <w:abstractNumId w:val="6"/>
  </w:num>
  <w:num w:numId="12">
    <w:abstractNumId w:val="40"/>
  </w:num>
  <w:num w:numId="13">
    <w:abstractNumId w:val="18"/>
  </w:num>
  <w:num w:numId="14">
    <w:abstractNumId w:val="5"/>
  </w:num>
  <w:num w:numId="15">
    <w:abstractNumId w:val="3"/>
  </w:num>
  <w:num w:numId="16">
    <w:abstractNumId w:val="7"/>
  </w:num>
  <w:num w:numId="17">
    <w:abstractNumId w:val="15"/>
  </w:num>
  <w:num w:numId="18">
    <w:abstractNumId w:val="16"/>
  </w:num>
  <w:num w:numId="19">
    <w:abstractNumId w:val="27"/>
  </w:num>
  <w:num w:numId="20">
    <w:abstractNumId w:val="22"/>
  </w:num>
  <w:num w:numId="21">
    <w:abstractNumId w:val="21"/>
  </w:num>
  <w:num w:numId="22">
    <w:abstractNumId w:val="41"/>
  </w:num>
  <w:num w:numId="23">
    <w:abstractNumId w:val="37"/>
  </w:num>
  <w:num w:numId="24">
    <w:abstractNumId w:val="10"/>
  </w:num>
  <w:num w:numId="25">
    <w:abstractNumId w:val="23"/>
  </w:num>
  <w:num w:numId="26">
    <w:abstractNumId w:val="20"/>
  </w:num>
  <w:num w:numId="27">
    <w:abstractNumId w:val="11"/>
  </w:num>
  <w:num w:numId="28">
    <w:abstractNumId w:val="9"/>
  </w:num>
  <w:num w:numId="29">
    <w:abstractNumId w:val="26"/>
  </w:num>
  <w:num w:numId="30">
    <w:abstractNumId w:val="35"/>
  </w:num>
  <w:num w:numId="31">
    <w:abstractNumId w:val="36"/>
  </w:num>
  <w:num w:numId="32">
    <w:abstractNumId w:val="12"/>
  </w:num>
  <w:num w:numId="33">
    <w:abstractNumId w:val="32"/>
  </w:num>
  <w:num w:numId="34">
    <w:abstractNumId w:val="8"/>
  </w:num>
  <w:num w:numId="35">
    <w:abstractNumId w:val="34"/>
  </w:num>
  <w:num w:numId="36">
    <w:abstractNumId w:val="17"/>
  </w:num>
  <w:num w:numId="37">
    <w:abstractNumId w:val="25"/>
  </w:num>
  <w:num w:numId="38">
    <w:abstractNumId w:val="33"/>
  </w:num>
  <w:num w:numId="39">
    <w:abstractNumId w:val="4"/>
  </w:num>
  <w:num w:numId="40">
    <w:abstractNumId w:val="13"/>
  </w:num>
  <w:num w:numId="41">
    <w:abstractNumId w:val="28"/>
  </w:num>
  <w:num w:numId="42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02CB"/>
    <w:rsid w:val="000858A0"/>
    <w:rsid w:val="000A045A"/>
    <w:rsid w:val="000A7EA4"/>
    <w:rsid w:val="000C0B7A"/>
    <w:rsid w:val="000C12F2"/>
    <w:rsid w:val="000C76F4"/>
    <w:rsid w:val="000D37F3"/>
    <w:rsid w:val="00102C47"/>
    <w:rsid w:val="00117A22"/>
    <w:rsid w:val="0015202A"/>
    <w:rsid w:val="001817D7"/>
    <w:rsid w:val="00184E2C"/>
    <w:rsid w:val="00187D78"/>
    <w:rsid w:val="00190D24"/>
    <w:rsid w:val="001A3CCC"/>
    <w:rsid w:val="00212F3F"/>
    <w:rsid w:val="00233E48"/>
    <w:rsid w:val="00235F86"/>
    <w:rsid w:val="00244366"/>
    <w:rsid w:val="00247572"/>
    <w:rsid w:val="00251951"/>
    <w:rsid w:val="002525C2"/>
    <w:rsid w:val="0025503C"/>
    <w:rsid w:val="00266773"/>
    <w:rsid w:val="00281566"/>
    <w:rsid w:val="0029215C"/>
    <w:rsid w:val="00295B0C"/>
    <w:rsid w:val="002B3F52"/>
    <w:rsid w:val="002B67D8"/>
    <w:rsid w:val="002C3670"/>
    <w:rsid w:val="002E4E97"/>
    <w:rsid w:val="00300D1B"/>
    <w:rsid w:val="00303E56"/>
    <w:rsid w:val="00320C36"/>
    <w:rsid w:val="00325592"/>
    <w:rsid w:val="003633F4"/>
    <w:rsid w:val="00371D93"/>
    <w:rsid w:val="003733B0"/>
    <w:rsid w:val="003767E2"/>
    <w:rsid w:val="00385583"/>
    <w:rsid w:val="00393659"/>
    <w:rsid w:val="003B6DE9"/>
    <w:rsid w:val="003C40E6"/>
    <w:rsid w:val="003D28B6"/>
    <w:rsid w:val="003D6BBB"/>
    <w:rsid w:val="003E2204"/>
    <w:rsid w:val="00401FF7"/>
    <w:rsid w:val="00404DE1"/>
    <w:rsid w:val="004335E2"/>
    <w:rsid w:val="0046096F"/>
    <w:rsid w:val="00476C23"/>
    <w:rsid w:val="00484994"/>
    <w:rsid w:val="004B7CA6"/>
    <w:rsid w:val="004C3CDF"/>
    <w:rsid w:val="004F3493"/>
    <w:rsid w:val="004F5509"/>
    <w:rsid w:val="005022FF"/>
    <w:rsid w:val="005075F5"/>
    <w:rsid w:val="005178F2"/>
    <w:rsid w:val="00517DCD"/>
    <w:rsid w:val="00524997"/>
    <w:rsid w:val="00560154"/>
    <w:rsid w:val="005628A2"/>
    <w:rsid w:val="005865FA"/>
    <w:rsid w:val="005A3162"/>
    <w:rsid w:val="005C4E9D"/>
    <w:rsid w:val="005D78CC"/>
    <w:rsid w:val="005E6AC0"/>
    <w:rsid w:val="00630DF0"/>
    <w:rsid w:val="00640D63"/>
    <w:rsid w:val="00643C26"/>
    <w:rsid w:val="00665BDD"/>
    <w:rsid w:val="00686ECC"/>
    <w:rsid w:val="006A6B01"/>
    <w:rsid w:val="006C53A1"/>
    <w:rsid w:val="006F2369"/>
    <w:rsid w:val="007018CB"/>
    <w:rsid w:val="00710F90"/>
    <w:rsid w:val="0071229F"/>
    <w:rsid w:val="0074385F"/>
    <w:rsid w:val="007A26B7"/>
    <w:rsid w:val="007C424F"/>
    <w:rsid w:val="00800E6F"/>
    <w:rsid w:val="008076E0"/>
    <w:rsid w:val="00815C2F"/>
    <w:rsid w:val="00820862"/>
    <w:rsid w:val="008211C7"/>
    <w:rsid w:val="008466C6"/>
    <w:rsid w:val="0086380E"/>
    <w:rsid w:val="00863D8B"/>
    <w:rsid w:val="00866C55"/>
    <w:rsid w:val="008721B5"/>
    <w:rsid w:val="00893799"/>
    <w:rsid w:val="008C1ECA"/>
    <w:rsid w:val="008C6878"/>
    <w:rsid w:val="008D4B53"/>
    <w:rsid w:val="008F0B23"/>
    <w:rsid w:val="0096233F"/>
    <w:rsid w:val="00972169"/>
    <w:rsid w:val="009929D2"/>
    <w:rsid w:val="009C4702"/>
    <w:rsid w:val="009C6F84"/>
    <w:rsid w:val="00A22E47"/>
    <w:rsid w:val="00A47F4B"/>
    <w:rsid w:val="00A562B2"/>
    <w:rsid w:val="00A94054"/>
    <w:rsid w:val="00AA4091"/>
    <w:rsid w:val="00AF07DC"/>
    <w:rsid w:val="00B2348D"/>
    <w:rsid w:val="00B766F2"/>
    <w:rsid w:val="00BA0C3B"/>
    <w:rsid w:val="00BA5EA2"/>
    <w:rsid w:val="00BC1DA4"/>
    <w:rsid w:val="00BD446B"/>
    <w:rsid w:val="00BF512D"/>
    <w:rsid w:val="00C707E0"/>
    <w:rsid w:val="00C75871"/>
    <w:rsid w:val="00C8481B"/>
    <w:rsid w:val="00C91027"/>
    <w:rsid w:val="00CC11A9"/>
    <w:rsid w:val="00CD010F"/>
    <w:rsid w:val="00CD7089"/>
    <w:rsid w:val="00CF660D"/>
    <w:rsid w:val="00D403A5"/>
    <w:rsid w:val="00D46EC0"/>
    <w:rsid w:val="00D52737"/>
    <w:rsid w:val="00D72289"/>
    <w:rsid w:val="00D733D2"/>
    <w:rsid w:val="00D80E8F"/>
    <w:rsid w:val="00D9675B"/>
    <w:rsid w:val="00DA5631"/>
    <w:rsid w:val="00DB55D3"/>
    <w:rsid w:val="00DF5E91"/>
    <w:rsid w:val="00DF7ECE"/>
    <w:rsid w:val="00E30593"/>
    <w:rsid w:val="00E35F29"/>
    <w:rsid w:val="00E84768"/>
    <w:rsid w:val="00EB02D6"/>
    <w:rsid w:val="00EE5502"/>
    <w:rsid w:val="00EE5F78"/>
    <w:rsid w:val="00EF4C48"/>
    <w:rsid w:val="00EF57A1"/>
    <w:rsid w:val="00F0440D"/>
    <w:rsid w:val="00F04A51"/>
    <w:rsid w:val="00F069E7"/>
    <w:rsid w:val="00F40594"/>
    <w:rsid w:val="00F54944"/>
    <w:rsid w:val="00F73C3E"/>
    <w:rsid w:val="00F73D78"/>
    <w:rsid w:val="00F8238C"/>
    <w:rsid w:val="00FA04D0"/>
    <w:rsid w:val="00FA63A9"/>
    <w:rsid w:val="00FB6890"/>
    <w:rsid w:val="5FA29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4" ma:contentTypeDescription="Vytvoří nový dokument" ma:contentTypeScope="" ma:versionID="8387884efb10646653ea4ad35fdb529a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76aab78fe23750a4f660ed1977320ee5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EBF1-D543-4F0B-92BA-1C669072DCDC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D58206-F89D-4BA3-8CAA-C561F5D30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65EFC-AEE7-4F22-8ED2-35CAE887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2215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Moulisová Markéta</cp:lastModifiedBy>
  <cp:revision>3</cp:revision>
  <cp:lastPrinted>2023-07-13T11:33:00Z</cp:lastPrinted>
  <dcterms:created xsi:type="dcterms:W3CDTF">2023-07-13T11:56:00Z</dcterms:created>
  <dcterms:modified xsi:type="dcterms:W3CDTF">2023-07-13T11:57:00Z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