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F5E90" w14:textId="7E71198E" w:rsidR="000E2C1F" w:rsidRPr="000E2C1F" w:rsidRDefault="000E2C1F" w:rsidP="00D27504">
      <w:pPr>
        <w:jc w:val="both"/>
        <w:rPr>
          <w:rFonts w:ascii="Arial" w:hAnsi="Arial" w:cs="Arial"/>
          <w:sz w:val="20"/>
          <w:szCs w:val="20"/>
        </w:rPr>
      </w:pPr>
      <w:r w:rsidRPr="000E2C1F">
        <w:rPr>
          <w:rFonts w:ascii="Arial" w:hAnsi="Arial" w:cs="Arial"/>
          <w:sz w:val="20"/>
          <w:szCs w:val="20"/>
        </w:rPr>
        <w:t>Příloha č. 1 (ke Smlouvě o dílo D</w:t>
      </w:r>
      <w:r w:rsidR="005978BC">
        <w:rPr>
          <w:rFonts w:ascii="Arial" w:hAnsi="Arial" w:cs="Arial"/>
          <w:sz w:val="20"/>
          <w:szCs w:val="20"/>
        </w:rPr>
        <w:t>/3994</w:t>
      </w:r>
      <w:bookmarkStart w:id="0" w:name="_GoBack"/>
      <w:bookmarkEnd w:id="0"/>
      <w:r w:rsidRPr="000E2C1F">
        <w:rPr>
          <w:rFonts w:ascii="Arial" w:hAnsi="Arial" w:cs="Arial"/>
          <w:sz w:val="20"/>
          <w:szCs w:val="20"/>
        </w:rPr>
        <w:t>/2023/ŽPZE)</w:t>
      </w:r>
    </w:p>
    <w:p w14:paraId="114C7707" w14:textId="77777777" w:rsidR="000E2C1F" w:rsidRPr="000E2C1F" w:rsidRDefault="000E2C1F" w:rsidP="00D27504">
      <w:pPr>
        <w:jc w:val="both"/>
        <w:rPr>
          <w:rFonts w:ascii="Arial" w:hAnsi="Arial" w:cs="Arial"/>
          <w:b/>
          <w:sz w:val="20"/>
          <w:szCs w:val="20"/>
        </w:rPr>
      </w:pPr>
    </w:p>
    <w:p w14:paraId="677C6ADF" w14:textId="0B0D1E34" w:rsidR="00F01E8E" w:rsidRPr="000E2C1F" w:rsidRDefault="00F01E8E" w:rsidP="00D27504">
      <w:pPr>
        <w:jc w:val="both"/>
        <w:rPr>
          <w:rFonts w:ascii="Arial" w:hAnsi="Arial" w:cs="Arial"/>
          <w:b/>
          <w:sz w:val="28"/>
          <w:szCs w:val="28"/>
        </w:rPr>
      </w:pPr>
      <w:r w:rsidRPr="000E2C1F">
        <w:rPr>
          <w:rFonts w:ascii="Arial" w:hAnsi="Arial" w:cs="Arial"/>
          <w:b/>
          <w:sz w:val="28"/>
          <w:szCs w:val="28"/>
        </w:rPr>
        <w:t>Struktura Aktualizace Regionální surovinové politiky Zlínského kraje</w:t>
      </w:r>
    </w:p>
    <w:p w14:paraId="3C4C7B7D" w14:textId="3C8152B8" w:rsidR="000E2C1F" w:rsidRPr="000E2C1F" w:rsidRDefault="000E2C1F" w:rsidP="000E2C1F">
      <w:pPr>
        <w:widowControl/>
        <w:autoSpaceDE/>
        <w:autoSpaceDN/>
        <w:ind w:left="709" w:hanging="709"/>
        <w:jc w:val="both"/>
        <w:outlineLvl w:val="0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bookmarkStart w:id="1" w:name="_Toc119060480"/>
      <w:bookmarkEnd w:id="1"/>
    </w:p>
    <w:p w14:paraId="5D2A387C" w14:textId="77777777" w:rsidR="000E2C1F" w:rsidRPr="000E2C1F" w:rsidRDefault="000E2C1F" w:rsidP="000E2C1F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7C5D13A" w14:textId="4330C6C5" w:rsidR="000E2C1F" w:rsidRDefault="000E2C1F" w:rsidP="000E2C1F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Struktura dokumentu, včetně mapových a tabelárních výstupů bude zásadně vycházet ze schválené </w:t>
      </w:r>
      <w:r w:rsidR="00476AFB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 certifikované Metodiky a tvorby standardů periodické aktualizace regionálních surovinových koncepcí v ČR, ke které MPO dne 13. května 2022 vydalo osvědčení o uznání “CERTIFIKOVANÉ METODIKY pod názvem „Metodika a tvorba standardů tvorby a periodické aktualizace regionálních surovinových koncepcí“. Zpracování dokumentu ARSP ZK  bude zejména vycházet zejména z aktualizovaných kapitol o surovinovém potenciálu Zlínského kraje k 1. 1. 2023.  Dokument bude rozdělen do dvou hlavních částí: analytické a návrhové. </w:t>
      </w:r>
    </w:p>
    <w:p w14:paraId="18F41110" w14:textId="473E11D7" w:rsidR="00A02985" w:rsidRDefault="00A02985" w:rsidP="000E2C1F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EAD5858" w14:textId="77777777" w:rsidR="00476AFB" w:rsidRPr="000E2C1F" w:rsidRDefault="00476AFB" w:rsidP="00476AFB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ANALYTICKÁ ČÁST</w:t>
      </w:r>
    </w:p>
    <w:p w14:paraId="4B22E76F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Základní charakteristika ZK a jeho přírodních podmínek s vazbou na využívání ložisek nerostných     </w:t>
      </w:r>
    </w:p>
    <w:p w14:paraId="15156166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Surovin k 1.1. 2023</w:t>
      </w:r>
    </w:p>
    <w:p w14:paraId="704631E3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Chráněná území přírody kraje</w:t>
      </w:r>
    </w:p>
    <w:p w14:paraId="4FF4B545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Vliv využívání nerostných surovin na životní prostředí</w:t>
      </w:r>
    </w:p>
    <w:p w14:paraId="79DAEFCE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>Tabelární e</w:t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vidence ložisek nerostných surovin a dobývacích prostorů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</w:p>
    <w:p w14:paraId="5F2EA693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Chráněná ložisková území (CHLÚ) a jejich problematika</w:t>
      </w:r>
    </w:p>
    <w:p w14:paraId="1BB92F3E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Charakteristika ložisek nerostných surovin, analýza využitelnosti surovin </w:t>
      </w:r>
    </w:p>
    <w:p w14:paraId="2A562F32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Životnost průmyslových zásob a zásob v POPD nerostných surovin v ZK </w:t>
      </w:r>
    </w:p>
    <w:p w14:paraId="475D6A8E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Microsoft YaHei" w:hAnsi="Arial" w:cs="Arial"/>
          <w:kern w:val="24"/>
          <w:sz w:val="20"/>
          <w:szCs w:val="20"/>
          <w:lang w:eastAsia="cs-CZ"/>
        </w:rPr>
        <w:t xml:space="preserve">Současný stav využívání ložisek nerostných surovin na území ZK, životnost disponibilních objemů                        </w:t>
      </w:r>
    </w:p>
    <w:p w14:paraId="65CD97CF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Microsoft YaHei" w:hAnsi="Arial" w:cs="Arial"/>
          <w:kern w:val="24"/>
          <w:sz w:val="20"/>
          <w:szCs w:val="20"/>
          <w:lang w:eastAsia="cs-CZ"/>
        </w:rPr>
        <w:t xml:space="preserve">      zásob s </w:t>
      </w:r>
      <w:r w:rsidRPr="000E2C1F">
        <w:rPr>
          <w:rFonts w:ascii="Arial" w:eastAsiaTheme="minorHAnsi" w:hAnsi="Arial" w:cs="Arial"/>
          <w:sz w:val="20"/>
          <w:szCs w:val="20"/>
        </w:rPr>
        <w:t>přihlédnutím na vyráběnou kvalitu suroviny v souvislosti s naplňováním norem ČSN EN</w:t>
      </w:r>
    </w:p>
    <w:p w14:paraId="1B45D251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Detailní analýza reálně vytěžitelných a evidovaných zásob a životností ložisek dle jednotlivých </w:t>
      </w:r>
    </w:p>
    <w:p w14:paraId="60A23967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mallCaps/>
          <w:color w:val="000000" w:themeColor="text1"/>
          <w:sz w:val="20"/>
          <w:szCs w:val="20"/>
        </w:rPr>
        <w:t xml:space="preserve">   </w:t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surovinových druhů, a</w:t>
      </w:r>
      <w:r w:rsidRPr="000E2C1F">
        <w:rPr>
          <w:rFonts w:ascii="Arial" w:eastAsia="Times New Roman" w:hAnsi="Arial" w:cs="Arial"/>
          <w:sz w:val="20"/>
          <w:szCs w:val="20"/>
          <w:lang w:eastAsia="ar-SA"/>
        </w:rPr>
        <w:t xml:space="preserve">nalýza reálně vytěžitelných a evidovaných zásob, </w:t>
      </w:r>
      <w:r w:rsidRPr="000E2C1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včetně životnosti zásob </w:t>
      </w:r>
    </w:p>
    <w:p w14:paraId="4A81054D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ložisek stavebních surovin k 1.1. 2023, popř. k 1.1. 2024</w:t>
      </w:r>
    </w:p>
    <w:p w14:paraId="52B52F7E" w14:textId="689A52B0" w:rsidR="00476AFB" w:rsidRPr="000D281B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Times New Roman" w:hAnsi="Arial" w:cs="Arial"/>
          <w:sz w:val="20"/>
          <w:szCs w:val="20"/>
          <w:lang w:eastAsia="cs-CZ"/>
        </w:rPr>
        <w:t>Analýza stavu rozpracovanosti a posouzení dlouhodobě plánovaných nových těžebních záměrů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</w:t>
      </w:r>
      <w:r w:rsidRPr="000E2C1F">
        <w:rPr>
          <w:rFonts w:ascii="Arial" w:eastAsia="Times New Roman" w:hAnsi="Arial" w:cs="Arial"/>
          <w:sz w:val="20"/>
          <w:szCs w:val="20"/>
          <w:lang w:eastAsia="cs-CZ"/>
        </w:rPr>
        <w:t xml:space="preserve"> pro </w:t>
      </w:r>
      <w:r w:rsidRPr="000D281B">
        <w:rPr>
          <w:rFonts w:ascii="Arial" w:eastAsia="Times New Roman" w:hAnsi="Arial" w:cs="Arial"/>
          <w:sz w:val="20"/>
          <w:szCs w:val="20"/>
          <w:lang w:eastAsia="cs-CZ"/>
        </w:rPr>
        <w:t xml:space="preserve"> dobývání ložisek stavebních surovin na území ČR </w:t>
      </w:r>
    </w:p>
    <w:p w14:paraId="0BEBCA6C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Kompletní analýza geol. průzkumů na nových zdrojích nerostných surovin v kraji – zejména ve </w:t>
      </w:r>
    </w:p>
    <w:p w14:paraId="6FC135F2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smyslu využití zcela nových/bezkonfliktních lokalit stavebních surovin (štěrkopísků a stavebního </w:t>
      </w:r>
    </w:p>
    <w:p w14:paraId="623F8544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kameniva) popř.  nerudních surovin s příznivými geologicko-ložiskovými a ekologickými poměry, </w:t>
      </w:r>
    </w:p>
    <w:p w14:paraId="39E86163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dopravním napojením bez průjezdu přes obce a města, a zejména s řešitelnými střety zájmů. </w:t>
      </w:r>
    </w:p>
    <w:p w14:paraId="780D0D21" w14:textId="5C0835F2" w:rsidR="00476AFB" w:rsidRPr="00476AFB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>Kompletní analýza nových zdrojů stavebního kamene, provedení kompletní inventarizace</w:t>
      </w:r>
      <w:r>
        <w:rPr>
          <w:rFonts w:ascii="Arial" w:eastAsiaTheme="minorHAnsi" w:hAnsi="Arial" w:cs="Arial"/>
          <w:sz w:val="20"/>
          <w:szCs w:val="20"/>
        </w:rPr>
        <w:br/>
        <w:t xml:space="preserve"> </w:t>
      </w:r>
      <w:r w:rsidRPr="000E2C1F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   </w:t>
      </w:r>
      <w:r w:rsidRPr="000E2C1F">
        <w:rPr>
          <w:rFonts w:ascii="Arial" w:eastAsiaTheme="minorHAnsi" w:hAnsi="Arial" w:cs="Arial"/>
          <w:sz w:val="20"/>
          <w:szCs w:val="20"/>
        </w:rPr>
        <w:t xml:space="preserve">veškerých </w:t>
      </w:r>
      <w:r w:rsidRPr="000D281B">
        <w:rPr>
          <w:rFonts w:ascii="Arial" w:eastAsiaTheme="minorHAnsi" w:hAnsi="Arial" w:cs="Arial"/>
          <w:sz w:val="20"/>
          <w:szCs w:val="20"/>
        </w:rPr>
        <w:t xml:space="preserve"> lokalit opírající se o výsledky geologického mapování a pr</w:t>
      </w:r>
      <w:r>
        <w:rPr>
          <w:rFonts w:ascii="Arial" w:eastAsiaTheme="minorHAnsi" w:hAnsi="Arial" w:cs="Arial"/>
          <w:sz w:val="20"/>
          <w:szCs w:val="20"/>
        </w:rPr>
        <w:t>ůzkumů, se zřetelem na</w:t>
      </w:r>
      <w:r>
        <w:rPr>
          <w:rFonts w:ascii="Arial" w:eastAsiaTheme="minorHAnsi" w:hAnsi="Arial" w:cs="Arial"/>
          <w:sz w:val="20"/>
          <w:szCs w:val="20"/>
        </w:rPr>
        <w:br/>
        <w:t xml:space="preserve">     příznivé </w:t>
      </w:r>
      <w:r w:rsidRPr="00476AFB">
        <w:rPr>
          <w:rFonts w:ascii="Arial" w:eastAsiaTheme="minorHAnsi" w:hAnsi="Arial" w:cs="Arial"/>
          <w:sz w:val="20"/>
          <w:szCs w:val="20"/>
        </w:rPr>
        <w:t>geologicko-ložiskové a územně-ekologické poměry, dopravní n</w:t>
      </w:r>
      <w:r>
        <w:rPr>
          <w:rFonts w:ascii="Arial" w:eastAsiaTheme="minorHAnsi" w:hAnsi="Arial" w:cs="Arial"/>
          <w:sz w:val="20"/>
          <w:szCs w:val="20"/>
        </w:rPr>
        <w:t>apojení bez průjezdu přes</w:t>
      </w:r>
      <w:r>
        <w:rPr>
          <w:rFonts w:ascii="Arial" w:eastAsiaTheme="minorHAnsi" w:hAnsi="Arial" w:cs="Arial"/>
          <w:sz w:val="20"/>
          <w:szCs w:val="20"/>
        </w:rPr>
        <w:br/>
        <w:t xml:space="preserve">     obce </w:t>
      </w:r>
      <w:r w:rsidRPr="00476AFB">
        <w:rPr>
          <w:rFonts w:ascii="Arial" w:eastAsiaTheme="minorHAnsi" w:hAnsi="Arial" w:cs="Arial"/>
          <w:sz w:val="20"/>
          <w:szCs w:val="20"/>
        </w:rPr>
        <w:t xml:space="preserve">a města, a zejména s řešitelnými střety zájmů. </w:t>
      </w:r>
    </w:p>
    <w:p w14:paraId="27BD971D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Vývoj těžeb nerostných surovin v kraji a srovnání s vývojem v ČR</w:t>
      </w:r>
    </w:p>
    <w:p w14:paraId="2F5AEB35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Vliv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využívání</w:t>
      </w:r>
      <w:r w:rsidRPr="000E2C1F">
        <w:rPr>
          <w:rFonts w:ascii="Arial" w:eastAsiaTheme="minorHAnsi" w:hAnsi="Arial" w:cs="Arial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nerostných surovin</w:t>
      </w:r>
      <w:r w:rsidRPr="000E2C1F">
        <w:rPr>
          <w:rFonts w:ascii="Arial" w:eastAsiaTheme="minorHAnsi" w:hAnsi="Arial" w:cs="Arial"/>
          <w:spacing w:val="2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z w:val="20"/>
          <w:szCs w:val="20"/>
        </w:rPr>
        <w:t>na</w:t>
      </w:r>
      <w:r w:rsidRPr="000E2C1F">
        <w:rPr>
          <w:rFonts w:ascii="Arial" w:eastAsiaTheme="minorHAnsi" w:hAnsi="Arial" w:cs="Arial"/>
          <w:spacing w:val="1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životní</w:t>
      </w:r>
      <w:r w:rsidRPr="000E2C1F">
        <w:rPr>
          <w:rFonts w:ascii="Arial" w:eastAsiaTheme="minorHAnsi" w:hAnsi="Arial" w:cs="Arial"/>
          <w:spacing w:val="2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prostředí</w:t>
      </w:r>
      <w:r w:rsidRPr="000E2C1F">
        <w:rPr>
          <w:rFonts w:ascii="Arial" w:eastAsia="Times New Roman" w:hAnsi="Arial" w:cs="Arial"/>
          <w:sz w:val="20"/>
          <w:szCs w:val="20"/>
        </w:rPr>
        <w:t>, d</w:t>
      </w: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ůsledky využívání nerostných surovin na </w:t>
      </w:r>
    </w:p>
    <w:p w14:paraId="4DFE2885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</w:t>
      </w: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životní prostředí </w:t>
      </w:r>
    </w:p>
    <w:p w14:paraId="2A654F1C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Střety ložisek a vybraných prognózních zdrojů nerostných surovin s dílčímí zákonnými složkami </w:t>
      </w:r>
    </w:p>
    <w:p w14:paraId="0B98A204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    ochrany ŽP,  hlavními prvky ochrany přírody a ostatními zákonem chráněnými zájmy (MCHÚ, ZPF, </w:t>
      </w:r>
    </w:p>
    <w:p w14:paraId="333F4790" w14:textId="5F3383FA" w:rsidR="00A02985" w:rsidRDefault="00476AFB" w:rsidP="00476AFB">
      <w:pPr>
        <w:widowControl/>
        <w:autoSpaceDE/>
        <w:autoSpaceDN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    PUPFL, OP vodních zdrojů, ÚSES apod.)</w:t>
      </w:r>
    </w:p>
    <w:p w14:paraId="4B43A9DE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>Stručná hydrogeologická charakteristika a h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ydrogeologická</w:t>
      </w:r>
      <w:r w:rsidRPr="000E2C1F">
        <w:rPr>
          <w:rFonts w:ascii="Arial" w:eastAsia="Times New Roman" w:hAnsi="Arial" w:cs="Arial"/>
          <w:spacing w:val="3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rajonizace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>a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využívání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 xml:space="preserve">podzemních </w:t>
      </w:r>
      <w:r w:rsidRPr="000E2C1F">
        <w:rPr>
          <w:rFonts w:ascii="Arial" w:eastAsia="Times New Roman" w:hAnsi="Arial" w:cs="Arial"/>
          <w:spacing w:val="-2"/>
          <w:sz w:val="20"/>
          <w:szCs w:val="20"/>
          <w:lang w:val="x-none" w:eastAsia="cs-CZ"/>
        </w:rPr>
        <w:t>vod</w:t>
      </w:r>
      <w:r w:rsidRPr="000E2C1F">
        <w:rPr>
          <w:rFonts w:ascii="Arial" w:eastAsia="Times New Roman" w:hAnsi="Arial" w:cs="Arial"/>
          <w:spacing w:val="-2"/>
          <w:sz w:val="20"/>
          <w:szCs w:val="20"/>
          <w:lang w:eastAsia="cs-CZ"/>
        </w:rPr>
        <w:t xml:space="preserve"> </w:t>
      </w:r>
    </w:p>
    <w:p w14:paraId="7DD8837C" w14:textId="77777777" w:rsidR="00476AFB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spacing w:val="-1"/>
          <w:sz w:val="20"/>
          <w:szCs w:val="20"/>
          <w:lang w:eastAsia="cs-CZ"/>
        </w:rPr>
      </w:pPr>
      <w:r w:rsidRPr="000E2C1F">
        <w:rPr>
          <w:rFonts w:ascii="Arial" w:eastAsia="Times New Roman" w:hAnsi="Arial" w:cs="Arial"/>
          <w:spacing w:val="-2"/>
          <w:sz w:val="20"/>
          <w:szCs w:val="20"/>
          <w:lang w:eastAsia="cs-CZ"/>
        </w:rPr>
        <w:t xml:space="preserve">     </w:t>
      </w:r>
      <w:r w:rsidRPr="000E2C1F">
        <w:rPr>
          <w:rFonts w:ascii="Arial" w:eastAsia="Times New Roman" w:hAnsi="Arial" w:cs="Arial"/>
          <w:spacing w:val="2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>na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území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kraje</w:t>
      </w: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 xml:space="preserve">, významnost zdrojů podzemních vod </w:t>
      </w:r>
    </w:p>
    <w:p w14:paraId="76392414" w14:textId="77777777" w:rsidR="00476AFB" w:rsidRPr="000D281B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="Times New Roman" w:hAnsi="Arial" w:cs="Arial"/>
          <w:spacing w:val="-1"/>
          <w:sz w:val="20"/>
          <w:szCs w:val="20"/>
          <w:lang w:eastAsia="cs-CZ"/>
        </w:rPr>
      </w:pPr>
      <w:r w:rsidRPr="000D281B">
        <w:rPr>
          <w:rFonts w:ascii="Arial" w:eastAsia="Times New Roman" w:hAnsi="Arial" w:cs="Arial"/>
          <w:bCs/>
          <w:sz w:val="20"/>
          <w:szCs w:val="20"/>
          <w:lang w:eastAsia="cs-CZ"/>
        </w:rPr>
        <w:t>Porovnání a z</w:t>
      </w:r>
      <w:r w:rsidRPr="000D281B">
        <w:rPr>
          <w:rFonts w:ascii="Arial" w:eastAsia="Times New Roman" w:hAnsi="Arial" w:cs="Arial"/>
          <w:sz w:val="20"/>
          <w:szCs w:val="20"/>
          <w:lang w:eastAsia="cs-CZ"/>
        </w:rPr>
        <w:t xml:space="preserve">měny ve využívání a evidenci ložisek nerostných surovin se </w:t>
      </w:r>
      <w:r w:rsidRPr="000D281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závěry Regionální </w:t>
      </w:r>
    </w:p>
    <w:p w14:paraId="092A132C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surovinové politice kraje z roku 2003</w:t>
      </w:r>
    </w:p>
    <w:p w14:paraId="2E2E34DC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Využívání</w:t>
      </w:r>
      <w:r w:rsidRPr="000E2C1F">
        <w:rPr>
          <w:rFonts w:ascii="Arial" w:eastAsia="Times New Roman" w:hAnsi="Arial" w:cs="Arial"/>
          <w:spacing w:val="2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ložisek nerostných surovin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v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příhraniční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oblasti</w:t>
      </w: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 xml:space="preserve"> se Slovenskem a zejména s okolními –  </w:t>
      </w:r>
    </w:p>
    <w:p w14:paraId="3DAEA667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 xml:space="preserve">      sousednímu kraji (Jihomoravským, Moravskoslezským a Olomouckým krajem)</w:t>
      </w:r>
    </w:p>
    <w:p w14:paraId="70328605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Přehled plánovaných významných staveb na území kraje ve vazbě na potřebu stavebních surovin </w:t>
      </w:r>
    </w:p>
    <w:p w14:paraId="5D4C6E64" w14:textId="77777777" w:rsidR="00476AFB" w:rsidRPr="000E2C1F" w:rsidRDefault="00476AFB" w:rsidP="00476AF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Stav a využití území po ukončené těžbě nerostných surovin rekultivace a sanace území</w:t>
      </w:r>
    </w:p>
    <w:p w14:paraId="565B0601" w14:textId="4221107C" w:rsidR="00476AFB" w:rsidRDefault="00476AFB" w:rsidP="00476AFB">
      <w:pPr>
        <w:widowControl/>
        <w:autoSpaceDE/>
        <w:autoSpaceDN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p w14:paraId="229450A6" w14:textId="77777777" w:rsidR="00476AFB" w:rsidRPr="000E2C1F" w:rsidRDefault="00476AFB" w:rsidP="00476AFB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rFonts w:ascii="Arial" w:eastAsiaTheme="minorHAnsi" w:hAnsi="Arial" w:cs="Arial"/>
          <w:b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NÁVRHOVÁ ČÁST </w:t>
      </w:r>
    </w:p>
    <w:p w14:paraId="2EE6C653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Návrhy opatření</w:t>
      </w:r>
    </w:p>
    <w:p w14:paraId="665325B5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Obecná opatření pro ochranu a využívání </w:t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</w:p>
    <w:p w14:paraId="1EDA7C81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Opatření pro využívání jednotlivých druhů nerostných surovin – zejména stavební suroviny podle </w:t>
      </w:r>
    </w:p>
    <w:p w14:paraId="3EE71BFB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priorit (štěrkopísky, stavební kámen, </w:t>
      </w:r>
      <w:r w:rsidRPr="000E2C1F">
        <w:rPr>
          <w:rFonts w:ascii="Arial" w:eastAsiaTheme="minorHAnsi" w:hAnsi="Arial" w:cs="Arial"/>
          <w:bCs/>
          <w:sz w:val="20"/>
          <w:szCs w:val="20"/>
        </w:rPr>
        <w:t>kámen pro hrubou a ušlechtilou kamenickou výrobu</w:t>
      </w:r>
      <w:r w:rsidRPr="000E2C1F">
        <w:rPr>
          <w:rFonts w:ascii="Arial" w:eastAsiaTheme="minorHAnsi" w:hAnsi="Arial" w:cs="Arial"/>
          <w:smallCaps/>
          <w:color w:val="000000" w:themeColor="text1"/>
          <w:sz w:val="20"/>
          <w:szCs w:val="20"/>
        </w:rPr>
        <w:t xml:space="preserve">, </w:t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cihlářské  </w:t>
      </w:r>
    </w:p>
    <w:p w14:paraId="43295216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suroviny apod.) </w:t>
      </w:r>
    </w:p>
    <w:p w14:paraId="233EF108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Opatření pro využívání jednotlivých druhů nerostných surovin – palivoenergetické suroviny (ropa, </w:t>
      </w:r>
    </w:p>
    <w:p w14:paraId="40B18DFB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zemní plyn, černé uhlí)</w:t>
      </w:r>
    </w:p>
    <w:p w14:paraId="76A0BA5C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 xml:space="preserve">Opatření pro využívání jednotlivých druhů nerostných surovin – nerudní suroviny (karbonáty pro </w:t>
      </w:r>
    </w:p>
    <w:p w14:paraId="0F1A5602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</w:t>
      </w:r>
      <w:r w:rsidRPr="000E2C1F">
        <w:rPr>
          <w:rFonts w:ascii="Arial" w:eastAsiaTheme="minorHAnsi" w:hAnsi="Arial" w:cs="Arial"/>
          <w:sz w:val="20"/>
          <w:szCs w:val="20"/>
        </w:rPr>
        <w:t>zemědělské účely, vápence apod.)</w:t>
      </w:r>
    </w:p>
    <w:p w14:paraId="00624480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>Opatření pro rekultivace</w:t>
      </w:r>
      <w:r w:rsidRPr="000E2C1F">
        <w:rPr>
          <w:rFonts w:ascii="Arial" w:eastAsiaTheme="minorHAnsi" w:hAnsi="Arial" w:cs="Arial"/>
          <w:sz w:val="20"/>
          <w:szCs w:val="20"/>
        </w:rPr>
        <w:tab/>
      </w:r>
    </w:p>
    <w:p w14:paraId="54EA97B3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Kritéria pro výběr ložisek stavebních surovin a dalších vybraných komodit (např.  </w:t>
      </w:r>
    </w:p>
    <w:p w14:paraId="46CA8685" w14:textId="77777777" w:rsidR="00476AFB" w:rsidRPr="000E2C1F" w:rsidRDefault="00476AFB" w:rsidP="00476AF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 palivoenergetických surovin apod)</w:t>
      </w:r>
    </w:p>
    <w:p w14:paraId="62977208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>Kritéria v oblasti tvorby či pořizování změny ÚPD ve vazbě na využití ložisek nerostných surovin</w:t>
      </w:r>
    </w:p>
    <w:p w14:paraId="66FE9550" w14:textId="77777777" w:rsidR="00476AFB" w:rsidRPr="000E2C1F" w:rsidRDefault="00476AFB" w:rsidP="00476AF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Návrhy úkolů RSP ZK</w:t>
      </w:r>
    </w:p>
    <w:p w14:paraId="4FB31A4B" w14:textId="77777777" w:rsidR="00476AFB" w:rsidRPr="000E2C1F" w:rsidRDefault="00476AFB" w:rsidP="00476AFB">
      <w:pPr>
        <w:widowControl/>
        <w:autoSpaceDE/>
        <w:autoSpaceDN/>
        <w:ind w:left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cs-CZ"/>
        </w:rPr>
      </w:pPr>
    </w:p>
    <w:p w14:paraId="25048F3B" w14:textId="77777777" w:rsidR="00476AFB" w:rsidRDefault="00476AFB" w:rsidP="00476AFB">
      <w:pPr>
        <w:tabs>
          <w:tab w:val="left" w:pos="957"/>
          <w:tab w:val="left" w:pos="958"/>
        </w:tabs>
        <w:jc w:val="both"/>
        <w:rPr>
          <w:rFonts w:ascii="Arial" w:hAnsi="Arial" w:cs="Arial"/>
          <w:b/>
          <w:sz w:val="20"/>
          <w:szCs w:val="20"/>
        </w:rPr>
      </w:pPr>
    </w:p>
    <w:p w14:paraId="3AF7980F" w14:textId="77777777" w:rsidR="00476AFB" w:rsidRPr="00AC5D8A" w:rsidRDefault="00476AFB" w:rsidP="00476AFB">
      <w:pPr>
        <w:tabs>
          <w:tab w:val="left" w:pos="957"/>
          <w:tab w:val="left" w:pos="958"/>
        </w:tabs>
        <w:jc w:val="both"/>
        <w:rPr>
          <w:rFonts w:ascii="Arial" w:hAnsi="Arial" w:cs="Arial"/>
          <w:b/>
          <w:sz w:val="20"/>
          <w:szCs w:val="20"/>
        </w:rPr>
      </w:pPr>
    </w:p>
    <w:p w14:paraId="4791582E" w14:textId="77777777" w:rsidR="00476AFB" w:rsidRPr="00AC5D8A" w:rsidRDefault="00476AFB" w:rsidP="00476AFB">
      <w:pPr>
        <w:pStyle w:val="Nadpis2"/>
        <w:jc w:val="both"/>
        <w:rPr>
          <w:rFonts w:ascii="Arial" w:eastAsiaTheme="minorHAnsi" w:hAnsi="Arial" w:cs="Arial"/>
          <w:b/>
          <w:color w:val="auto"/>
          <w:sz w:val="20"/>
          <w:szCs w:val="20"/>
        </w:rPr>
      </w:pPr>
      <w:r w:rsidRPr="00AC5D8A">
        <w:rPr>
          <w:rFonts w:ascii="Arial" w:eastAsiaTheme="minorHAnsi" w:hAnsi="Arial" w:cs="Arial"/>
          <w:b/>
          <w:color w:val="auto"/>
          <w:sz w:val="20"/>
          <w:szCs w:val="20"/>
        </w:rPr>
        <w:t>Tabulkové přílohy</w:t>
      </w:r>
    </w:p>
    <w:p w14:paraId="2DF0C9A8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Tabelární přehled a bilance surovinového potenciálu na území kraje </w:t>
      </w:r>
    </w:p>
    <w:p w14:paraId="09750FEC" w14:textId="77777777" w:rsidR="00476AFB" w:rsidRPr="00AC5D8A" w:rsidRDefault="00476AFB" w:rsidP="00476AF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výhradních ložisek kraje </w:t>
      </w:r>
    </w:p>
    <w:p w14:paraId="6AF074B3" w14:textId="77777777" w:rsidR="00476AFB" w:rsidRPr="00AC5D8A" w:rsidRDefault="00476AFB" w:rsidP="00476AF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ložisek nevyhrazených nerostů </w:t>
      </w:r>
    </w:p>
    <w:p w14:paraId="25B9D810" w14:textId="77777777" w:rsidR="00476AFB" w:rsidRPr="00AC5D8A" w:rsidRDefault="00476AFB" w:rsidP="00476AF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nebilancovaných ložisek </w:t>
      </w:r>
    </w:p>
    <w:p w14:paraId="65A299FA" w14:textId="77777777" w:rsidR="00476AFB" w:rsidRPr="00AC5D8A" w:rsidRDefault="00476AFB" w:rsidP="00476AF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prognózních zdrojů </w:t>
      </w:r>
    </w:p>
    <w:p w14:paraId="29FA068E" w14:textId="77777777" w:rsidR="00476AFB" w:rsidRPr="00AC5D8A" w:rsidRDefault="00476AFB" w:rsidP="00476AF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dobývacích prostorů na území kraje </w:t>
      </w:r>
    </w:p>
    <w:p w14:paraId="77DA3D4A" w14:textId="77777777" w:rsidR="00476AFB" w:rsidRPr="00AC5D8A" w:rsidRDefault="00476AFB" w:rsidP="00476AF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CHLÚ na území kraje </w:t>
      </w:r>
    </w:p>
    <w:p w14:paraId="0A6E3992" w14:textId="77777777" w:rsidR="00476AFB" w:rsidRPr="00AC5D8A" w:rsidRDefault="00476AFB" w:rsidP="00476AF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Přehled   předchozí souhlasy na stanovení DP, průzkumná území (</w:t>
      </w:r>
    </w:p>
    <w:p w14:paraId="41A348EA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ostatních zrušených ložisek, ložisek s ukončenou těžbou, zrušené DP apod </w:t>
      </w:r>
    </w:p>
    <w:p w14:paraId="30311FA9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Tabulkové přílohy životnosti disponibilních zásob nerostných surovin, včetně Bilance zásob výhradních ložisek, Evidence zásob ložisek nevyhrazeného nerostu, Přehled zásob v d</w:t>
      </w:r>
      <w:r>
        <w:rPr>
          <w:rFonts w:ascii="Arial" w:hAnsi="Arial" w:cs="Arial"/>
          <w:sz w:val="20"/>
          <w:szCs w:val="20"/>
        </w:rPr>
        <w:t>obývacích prostorech k 1.1. 2023</w:t>
      </w:r>
      <w:r w:rsidRPr="00AC5D8A">
        <w:rPr>
          <w:rFonts w:ascii="Arial" w:hAnsi="Arial" w:cs="Arial"/>
          <w:sz w:val="20"/>
          <w:szCs w:val="20"/>
        </w:rPr>
        <w:t xml:space="preserve"> </w:t>
      </w:r>
    </w:p>
    <w:p w14:paraId="67986A63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</w:p>
    <w:p w14:paraId="5D36498E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Tabelární přehled obaloven a betonáren na území kraje </w:t>
      </w:r>
    </w:p>
    <w:p w14:paraId="06B0B484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Tabelární přehled ukončených a zahajovaných rekultivací území kraje </w:t>
      </w:r>
    </w:p>
    <w:p w14:paraId="4409DCF5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Tabelární přehled plánované spotřeby kameniva na stavbách železniční infrastruktur</w:t>
      </w:r>
      <w:r>
        <w:rPr>
          <w:rFonts w:ascii="Arial" w:hAnsi="Arial" w:cs="Arial"/>
          <w:sz w:val="20"/>
          <w:szCs w:val="20"/>
        </w:rPr>
        <w:t>y v letech 2023</w:t>
      </w:r>
      <w:r w:rsidRPr="00AC5D8A">
        <w:rPr>
          <w:rFonts w:ascii="Arial" w:hAnsi="Arial" w:cs="Arial"/>
          <w:sz w:val="20"/>
          <w:szCs w:val="20"/>
        </w:rPr>
        <w:t xml:space="preserve">-2032 na území kraje </w:t>
      </w:r>
    </w:p>
    <w:p w14:paraId="496E74E6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Tabelární přílohy - Gis analýzy střetů mezi dotčenými plochami evidovaného zdroje a ložiska nerostné suroviny (kat. B, D, N, P, R, Q) a plochami zákonných dílčích složek životního prostředí, zejména:</w:t>
      </w:r>
    </w:p>
    <w:p w14:paraId="2D8789DA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CHKO.</w:t>
      </w:r>
    </w:p>
    <w:p w14:paraId="43C0320F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prvky MZCHÚ, tj. národními parky (NP), přírodními památky (PP), národními přírodními rezervacemi (NPR), přírodními rezervacemi (PR) a jejich ochrannými pásmy.</w:t>
      </w:r>
    </w:p>
    <w:p w14:paraId="3F4D3653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územím CHOPAV.</w:t>
      </w:r>
    </w:p>
    <w:p w14:paraId="1029F5EE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 ochrannými pásmy vodních zdrojů (OPVZ) podle jednotlivých stupňů ochrany (I-III). </w:t>
      </w:r>
    </w:p>
    <w:p w14:paraId="34CC74E4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ochrannými pásmy přírodních léčivých zdrojů a lázeňských míst.</w:t>
      </w:r>
    </w:p>
    <w:p w14:paraId="22AD28F8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 ochranou zemědělského půdního fondu (ZPF) podle jednotlivých bonitních tříd ZPF (zejména 1. a 2. třída bonity). </w:t>
      </w:r>
    </w:p>
    <w:p w14:paraId="68097946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 PUPFL. </w:t>
      </w:r>
    </w:p>
    <w:p w14:paraId="4E7E61B3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územním systémem ekologické stability krajiny, nadregionální biocentrum (NRBC), regionální biocentrum (RBC), nadregionální biokoridor (NRBK) a regionální biokoridor (RBK).</w:t>
      </w:r>
    </w:p>
    <w:p w14:paraId="6176DFC0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 EVL-NATURA 2000 a NATURA 2000 - Ptačí oblast. </w:t>
      </w:r>
    </w:p>
    <w:p w14:paraId="2872ACC8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významnými krajinnými prvky (VKP) regionálního významu, údolní nivou a územím mokřadů.</w:t>
      </w:r>
    </w:p>
    <w:p w14:paraId="525B3AF0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v záplavovém území, ohrožené povodňovou záplavou při stoleté vodě Q 100.</w:t>
      </w:r>
    </w:p>
    <w:p w14:paraId="10F0F191" w14:textId="77777777" w:rsidR="00476AFB" w:rsidRPr="00AC5D8A" w:rsidRDefault="00476AFB" w:rsidP="00476AFB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s liniovými stavbami a zástavbou a jinými veřejně prospěšnými stavbami.</w:t>
      </w:r>
    </w:p>
    <w:p w14:paraId="066FFC21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Schematické mapy distribuce stavebních surovin pro SK a SP, a současnost a výhled 2030</w:t>
      </w:r>
    </w:p>
    <w:p w14:paraId="11283729" w14:textId="2240AF04" w:rsidR="00476AFB" w:rsidRDefault="00476AFB" w:rsidP="00476AFB">
      <w:pPr>
        <w:jc w:val="both"/>
        <w:rPr>
          <w:rFonts w:ascii="Arial" w:hAnsi="Arial" w:cs="Arial"/>
          <w:sz w:val="20"/>
          <w:szCs w:val="20"/>
        </w:rPr>
      </w:pPr>
    </w:p>
    <w:p w14:paraId="2686F6EF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</w:p>
    <w:p w14:paraId="4ED8EA13" w14:textId="77777777" w:rsidR="00476AFB" w:rsidRPr="00AC5D8A" w:rsidRDefault="00476AFB" w:rsidP="00476AFB">
      <w:pPr>
        <w:pStyle w:val="Nadpis2"/>
        <w:jc w:val="both"/>
        <w:rPr>
          <w:rFonts w:ascii="Arial" w:eastAsiaTheme="minorHAnsi" w:hAnsi="Arial" w:cs="Arial"/>
          <w:b/>
          <w:color w:val="auto"/>
          <w:sz w:val="20"/>
          <w:szCs w:val="20"/>
        </w:rPr>
      </w:pPr>
      <w:r w:rsidRPr="00AC5D8A">
        <w:rPr>
          <w:rFonts w:ascii="Arial" w:eastAsiaTheme="minorHAnsi" w:hAnsi="Arial" w:cs="Arial"/>
          <w:b/>
          <w:color w:val="auto"/>
          <w:sz w:val="20"/>
          <w:szCs w:val="20"/>
        </w:rPr>
        <w:t>Mapové přílohy</w:t>
      </w:r>
    </w:p>
    <w:p w14:paraId="7298ADFF" w14:textId="77777777" w:rsidR="00476AFB" w:rsidRPr="00AC5D8A" w:rsidRDefault="00476AFB" w:rsidP="00476AFB">
      <w:pPr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ložisek/zdrojů nerostných surovin, DP, PVL a CHLÚ.</w:t>
      </w:r>
    </w:p>
    <w:p w14:paraId="6657FA55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Mapa ložisek stavebních surovin s hlavními směry odbytu a plánovaných staveb (ve vazbě k současným </w:t>
      </w:r>
      <w:r w:rsidRPr="00AC5D8A">
        <w:rPr>
          <w:rFonts w:ascii="Arial" w:hAnsi="Arial" w:cs="Arial"/>
          <w:sz w:val="20"/>
          <w:szCs w:val="20"/>
        </w:rPr>
        <w:lastRenderedPageBreak/>
        <w:t>a klíčovým plánovaným stavebním záměrům na území kraje).</w:t>
      </w:r>
    </w:p>
    <w:p w14:paraId="582B81E5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 nerostných surovin a jejich ochrany (DP, CHLÚ) s ochranou krajiny a přírody s VCHÚ a MCHÚ.</w:t>
      </w:r>
    </w:p>
    <w:p w14:paraId="18230111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 nerostných surovin a jejich ochrany (DP, CHLÚ) s ochranou ZPF 1. a 2. bonitní třídy.</w:t>
      </w:r>
    </w:p>
    <w:p w14:paraId="11EC989C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 nerostných surovin a jejich ochrany (DP, CHLÚ) s ochranou PUPFL a VKP.</w:t>
      </w:r>
    </w:p>
    <w:p w14:paraId="3CA74B53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 nerostných surovin a jejich ochrany (DP, CHLÚ) s ostatními složkami ŽP (OP vodních zdrojů, CHOPAV, záplavová území Q100, OP přírodních léčivých zdrojů) a ostatními střety (liniové stavby, zástavba a jiné veřejně prospěšné stavby).</w:t>
      </w:r>
    </w:p>
    <w:p w14:paraId="790180E5" w14:textId="77777777" w:rsidR="00476AFB" w:rsidRPr="00AC5D8A" w:rsidRDefault="00476AFB" w:rsidP="00476AFB">
      <w:pPr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Kompletní Gis projekt mapových příloh.</w:t>
      </w:r>
    </w:p>
    <w:p w14:paraId="44FA3EAB" w14:textId="3940B70A" w:rsidR="00A02985" w:rsidRDefault="00A02985" w:rsidP="00476AFB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8C3187B" w14:textId="34660FF9" w:rsidR="00E8089B" w:rsidRDefault="00E8089B" w:rsidP="000E2C1F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7E11382F" w14:textId="3C2116FB" w:rsidR="00E8089B" w:rsidRDefault="00E8089B" w:rsidP="000E2C1F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C7B6B81" w14:textId="1AB0ECD4" w:rsidR="00E8089B" w:rsidRPr="00A02985" w:rsidRDefault="00E8089B" w:rsidP="000E2C1F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</w:rPr>
      </w:pPr>
      <w:r w:rsidRPr="00A02985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</w:rPr>
        <w:t>Členění díla pro potřeby fakturace:</w:t>
      </w:r>
    </w:p>
    <w:p w14:paraId="3AF8724A" w14:textId="009E21DA" w:rsidR="000E2C1F" w:rsidRPr="000E2C1F" w:rsidRDefault="000E2C1F" w:rsidP="00476AFB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B41F8C7" w14:textId="1A149111" w:rsidR="00E70A9C" w:rsidRPr="00E8089B" w:rsidRDefault="00E8089B" w:rsidP="000E2C1F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bookmarkStart w:id="2" w:name="_Toc119060481"/>
      <w:r w:rsidRPr="00E8089B"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</w:rPr>
        <w:t>První část díla</w:t>
      </w:r>
      <w:r w:rsidRPr="00E8089B">
        <w:rPr>
          <w:rFonts w:ascii="Arial" w:eastAsiaTheme="minorHAnsi" w:hAnsi="Arial" w:cs="Arial"/>
          <w:b/>
          <w:color w:val="000000" w:themeColor="text1"/>
          <w:sz w:val="24"/>
          <w:szCs w:val="24"/>
        </w:rPr>
        <w:t>: z</w:t>
      </w:r>
      <w:r w:rsidR="00E70A9C" w:rsidRPr="00E8089B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a etapu 2023 </w:t>
      </w:r>
      <w:r w:rsidR="007B1EB9" w:rsidRPr="00E8089B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(tj. </w:t>
      </w:r>
      <w:r w:rsidR="00E70A9C" w:rsidRPr="00E8089B">
        <w:rPr>
          <w:rFonts w:ascii="Arial" w:eastAsiaTheme="minorHAnsi" w:hAnsi="Arial" w:cs="Arial"/>
          <w:b/>
          <w:color w:val="000000" w:themeColor="text1"/>
          <w:sz w:val="24"/>
          <w:szCs w:val="24"/>
        </w:rPr>
        <w:t>do 10.12. 2023</w:t>
      </w:r>
      <w:r w:rsidR="007B1EB9" w:rsidRPr="00E8089B">
        <w:rPr>
          <w:rFonts w:ascii="Arial" w:eastAsiaTheme="minorHAnsi" w:hAnsi="Arial" w:cs="Arial"/>
          <w:b/>
          <w:color w:val="000000" w:themeColor="text1"/>
          <w:sz w:val="24"/>
          <w:szCs w:val="24"/>
        </w:rPr>
        <w:t>)</w:t>
      </w:r>
    </w:p>
    <w:p w14:paraId="54B7E579" w14:textId="121946C1" w:rsidR="00E70A9C" w:rsidRDefault="00E70A9C" w:rsidP="000E2C1F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34C30185" w14:textId="77777777" w:rsidR="00E70A9C" w:rsidRDefault="00E70A9C" w:rsidP="000E2C1F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68456104" w14:textId="2DEB3E55" w:rsidR="000E2C1F" w:rsidRPr="000E2C1F" w:rsidRDefault="000E2C1F" w:rsidP="000E2C1F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ANALYTICKÁ ČÁST</w:t>
      </w:r>
      <w:bookmarkEnd w:id="2"/>
    </w:p>
    <w:p w14:paraId="6554581A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Základní charakteristika ZK a jeho přírodních podmínek s vazbou na využívání ložisek nerostných     </w:t>
      </w:r>
    </w:p>
    <w:p w14:paraId="48A7B204" w14:textId="5B91B7F8" w:rsidR="000E2C1F" w:rsidRPr="000E2C1F" w:rsidRDefault="00476AFB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</w:t>
      </w:r>
      <w:r w:rsidR="000E2C1F"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Surovin k 1.1. 2023</w:t>
      </w:r>
    </w:p>
    <w:p w14:paraId="64651BF1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Chráněná území přírody kraje</w:t>
      </w:r>
    </w:p>
    <w:p w14:paraId="15EDDA40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Vliv využívání nerostných surovin na životní prostředí</w:t>
      </w:r>
    </w:p>
    <w:p w14:paraId="60DA79BA" w14:textId="0FAB6C15" w:rsidR="000E2C1F" w:rsidRPr="000E2C1F" w:rsidRDefault="000D281B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>Tabelární e</w:t>
      </w:r>
      <w:r w:rsidR="000E2C1F"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vidence ložisek nerostných surovin a dobývacích prostorů</w:t>
      </w:r>
      <w:r w:rsidR="003E578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</w:p>
    <w:p w14:paraId="387CC26A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Chráněná ložisková území (CHLÚ) a jejich problematika</w:t>
      </w:r>
    </w:p>
    <w:p w14:paraId="253B414A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Charakteristika ložisek nerostných surovin, analýza využitelnosti surovin </w:t>
      </w:r>
    </w:p>
    <w:p w14:paraId="6D44731F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Životnost průmyslových zásob a zásob v POPD nerostných surovin v ZK </w:t>
      </w:r>
    </w:p>
    <w:p w14:paraId="596C9C42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Microsoft YaHei" w:hAnsi="Arial" w:cs="Arial"/>
          <w:kern w:val="24"/>
          <w:sz w:val="20"/>
          <w:szCs w:val="20"/>
          <w:lang w:eastAsia="cs-CZ"/>
        </w:rPr>
        <w:t xml:space="preserve">Současný stav využívání ložisek nerostných surovin na území ZK, životnost disponibilních objemů                        </w:t>
      </w:r>
    </w:p>
    <w:p w14:paraId="760151C9" w14:textId="06FA4232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Microsoft YaHei" w:hAnsi="Arial" w:cs="Arial"/>
          <w:kern w:val="24"/>
          <w:sz w:val="20"/>
          <w:szCs w:val="20"/>
          <w:lang w:eastAsia="cs-CZ"/>
        </w:rPr>
        <w:t xml:space="preserve">      zásob s </w:t>
      </w:r>
      <w:r w:rsidRPr="000E2C1F">
        <w:rPr>
          <w:rFonts w:ascii="Arial" w:eastAsiaTheme="minorHAnsi" w:hAnsi="Arial" w:cs="Arial"/>
          <w:sz w:val="20"/>
          <w:szCs w:val="20"/>
        </w:rPr>
        <w:t>přihlédnutím na vyráběnou kvalitu suroviny v souvislosti s naplňováním norem ČSN EN</w:t>
      </w:r>
    </w:p>
    <w:p w14:paraId="106258C4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Detailní analýza reálně vytěžitelných a evidovaných zásob a životností ložisek dle jednotlivých </w:t>
      </w:r>
    </w:p>
    <w:p w14:paraId="235452A2" w14:textId="77777777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mallCaps/>
          <w:color w:val="000000" w:themeColor="text1"/>
          <w:sz w:val="20"/>
          <w:szCs w:val="20"/>
        </w:rPr>
        <w:t xml:space="preserve">   </w:t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surovinových druhů, a</w:t>
      </w:r>
      <w:r w:rsidRPr="000E2C1F">
        <w:rPr>
          <w:rFonts w:ascii="Arial" w:eastAsia="Times New Roman" w:hAnsi="Arial" w:cs="Arial"/>
          <w:sz w:val="20"/>
          <w:szCs w:val="20"/>
          <w:lang w:eastAsia="ar-SA"/>
        </w:rPr>
        <w:t xml:space="preserve">nalýza reálně vytěžitelných a evidovaných zásob, </w:t>
      </w:r>
      <w:r w:rsidRPr="000E2C1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včetně životnosti zásob </w:t>
      </w:r>
    </w:p>
    <w:p w14:paraId="2BAB9105" w14:textId="4090DF1F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ložisek stavebních surovin k 1.1. 2023, popř. k 1.1. 2024</w:t>
      </w:r>
    </w:p>
    <w:p w14:paraId="6FE7302D" w14:textId="4777956A" w:rsidR="000E2C1F" w:rsidRPr="000D281B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="Times New Roman" w:hAnsi="Arial" w:cs="Arial"/>
          <w:sz w:val="20"/>
          <w:szCs w:val="20"/>
          <w:lang w:eastAsia="cs-CZ"/>
        </w:rPr>
        <w:t>Analýza stavu rozpracovanosti a posouzení dlouhodobě plánovaných nových těžebních záměrů</w:t>
      </w:r>
      <w:r w:rsidR="00476AF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</w:t>
      </w:r>
      <w:r w:rsidRPr="000E2C1F">
        <w:rPr>
          <w:rFonts w:ascii="Arial" w:eastAsia="Times New Roman" w:hAnsi="Arial" w:cs="Arial"/>
          <w:sz w:val="20"/>
          <w:szCs w:val="20"/>
          <w:lang w:eastAsia="cs-CZ"/>
        </w:rPr>
        <w:t xml:space="preserve"> pro </w:t>
      </w:r>
      <w:r w:rsidRPr="000D281B">
        <w:rPr>
          <w:rFonts w:ascii="Arial" w:eastAsia="Times New Roman" w:hAnsi="Arial" w:cs="Arial"/>
          <w:sz w:val="20"/>
          <w:szCs w:val="20"/>
          <w:lang w:eastAsia="cs-CZ"/>
        </w:rPr>
        <w:t xml:space="preserve"> dobývání ložisek stavebních surovin na území ČR </w:t>
      </w:r>
    </w:p>
    <w:p w14:paraId="2FC79DF8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Kompletní analýza geol. průzkumů na nových zdrojích nerostných surovin v kraji – zejména ve </w:t>
      </w:r>
    </w:p>
    <w:p w14:paraId="0F490BC4" w14:textId="77777777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smyslu využití zcela nových/bezkonfliktních lokalit stavebních surovin (štěrkopísků a stavebního </w:t>
      </w:r>
    </w:p>
    <w:p w14:paraId="6DD389F2" w14:textId="77777777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kameniva) popř.  nerudních surovin s příznivými geologicko-ložiskovými a ekologickými poměry, </w:t>
      </w:r>
    </w:p>
    <w:p w14:paraId="13301381" w14:textId="62212AA3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dopravním napojením bez průjezdu přes obce a města, a zejména s řešitelnými střety zájmů. </w:t>
      </w:r>
    </w:p>
    <w:p w14:paraId="1C90A809" w14:textId="2012A208" w:rsidR="000E2C1F" w:rsidRPr="000D281B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>Kompletní analýza nových zdrojů stavebního kamene, provedení kompletní inventarizace</w:t>
      </w:r>
      <w:r w:rsidR="00476AFB">
        <w:rPr>
          <w:rFonts w:ascii="Arial" w:eastAsiaTheme="minorHAnsi" w:hAnsi="Arial" w:cs="Arial"/>
          <w:sz w:val="20"/>
          <w:szCs w:val="20"/>
        </w:rPr>
        <w:br/>
        <w:t xml:space="preserve">    </w:t>
      </w:r>
      <w:r w:rsidRPr="000E2C1F">
        <w:rPr>
          <w:rFonts w:ascii="Arial" w:eastAsiaTheme="minorHAnsi" w:hAnsi="Arial" w:cs="Arial"/>
          <w:sz w:val="20"/>
          <w:szCs w:val="20"/>
        </w:rPr>
        <w:t xml:space="preserve"> veškerých </w:t>
      </w:r>
      <w:r w:rsidRPr="000D281B">
        <w:rPr>
          <w:rFonts w:ascii="Arial" w:eastAsiaTheme="minorHAnsi" w:hAnsi="Arial" w:cs="Arial"/>
          <w:sz w:val="20"/>
          <w:szCs w:val="20"/>
        </w:rPr>
        <w:t xml:space="preserve"> lokalit opírající se o výsledky geologického mapování a průzkumů, se zřetelem na</w:t>
      </w:r>
      <w:r w:rsidR="00476AFB">
        <w:rPr>
          <w:rFonts w:ascii="Arial" w:eastAsiaTheme="minorHAnsi" w:hAnsi="Arial" w:cs="Arial"/>
          <w:sz w:val="20"/>
          <w:szCs w:val="20"/>
        </w:rPr>
        <w:br/>
        <w:t xml:space="preserve">    </w:t>
      </w:r>
      <w:r w:rsidRPr="000D281B">
        <w:rPr>
          <w:rFonts w:ascii="Arial" w:eastAsiaTheme="minorHAnsi" w:hAnsi="Arial" w:cs="Arial"/>
          <w:sz w:val="20"/>
          <w:szCs w:val="20"/>
        </w:rPr>
        <w:t xml:space="preserve"> příznivé </w:t>
      </w:r>
    </w:p>
    <w:p w14:paraId="08B38E07" w14:textId="77777777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geologicko-ložiskové a územně-ekologické poměry, dopravní napojení bez průjezdu přes obce  </w:t>
      </w:r>
    </w:p>
    <w:p w14:paraId="3668F7BB" w14:textId="65C2D879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a města, a zejména s řešitelnými střety zájmů. </w:t>
      </w:r>
    </w:p>
    <w:p w14:paraId="73F49FCA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Vývoj těžeb nerostných surovin v kraji a srovnání s vývojem v ČR</w:t>
      </w:r>
    </w:p>
    <w:p w14:paraId="3BE59DC2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Vliv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využívání</w:t>
      </w:r>
      <w:r w:rsidRPr="000E2C1F">
        <w:rPr>
          <w:rFonts w:ascii="Arial" w:eastAsiaTheme="minorHAnsi" w:hAnsi="Arial" w:cs="Arial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nerostných surovin</w:t>
      </w:r>
      <w:r w:rsidRPr="000E2C1F">
        <w:rPr>
          <w:rFonts w:ascii="Arial" w:eastAsiaTheme="minorHAnsi" w:hAnsi="Arial" w:cs="Arial"/>
          <w:spacing w:val="2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z w:val="20"/>
          <w:szCs w:val="20"/>
        </w:rPr>
        <w:t>na</w:t>
      </w:r>
      <w:r w:rsidRPr="000E2C1F">
        <w:rPr>
          <w:rFonts w:ascii="Arial" w:eastAsiaTheme="minorHAnsi" w:hAnsi="Arial" w:cs="Arial"/>
          <w:spacing w:val="1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životní</w:t>
      </w:r>
      <w:r w:rsidRPr="000E2C1F">
        <w:rPr>
          <w:rFonts w:ascii="Arial" w:eastAsiaTheme="minorHAnsi" w:hAnsi="Arial" w:cs="Arial"/>
          <w:spacing w:val="2"/>
          <w:sz w:val="20"/>
          <w:szCs w:val="20"/>
        </w:rPr>
        <w:t xml:space="preserve"> </w:t>
      </w:r>
      <w:r w:rsidRPr="000E2C1F">
        <w:rPr>
          <w:rFonts w:ascii="Arial" w:eastAsiaTheme="minorHAnsi" w:hAnsi="Arial" w:cs="Arial"/>
          <w:spacing w:val="-1"/>
          <w:sz w:val="20"/>
          <w:szCs w:val="20"/>
        </w:rPr>
        <w:t>prostředí</w:t>
      </w:r>
      <w:r w:rsidRPr="000E2C1F">
        <w:rPr>
          <w:rFonts w:ascii="Arial" w:eastAsia="Times New Roman" w:hAnsi="Arial" w:cs="Arial"/>
          <w:sz w:val="20"/>
          <w:szCs w:val="20"/>
        </w:rPr>
        <w:t>, d</w:t>
      </w: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ůsledky využívání nerostných surovin na </w:t>
      </w:r>
    </w:p>
    <w:p w14:paraId="0AA306F1" w14:textId="3908CB55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</w:t>
      </w: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životní prostředí </w:t>
      </w:r>
    </w:p>
    <w:p w14:paraId="527443D3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Střety ložisek a vybraných prognózních zdrojů nerostných surovin s dílčímí zákonnými složkami </w:t>
      </w:r>
    </w:p>
    <w:p w14:paraId="432E55F9" w14:textId="77777777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    ochrany ŽP,  hlavními prvky ochrany přírody a ostatními zákonem chráněnými zájmy (MCHÚ, ZPF, </w:t>
      </w:r>
    </w:p>
    <w:p w14:paraId="2B4DF716" w14:textId="307154D3" w:rsid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0E2C1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    PUPFL, OP vodních zdrojů, ÚSES apod.) </w:t>
      </w:r>
    </w:p>
    <w:p w14:paraId="7D27AB94" w14:textId="4CC0BF78" w:rsidR="00E8089B" w:rsidRDefault="00E8089B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p w14:paraId="04CF3C13" w14:textId="77777777" w:rsidR="00E8089B" w:rsidRDefault="00E8089B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p w14:paraId="04DE8BC9" w14:textId="12E99988" w:rsidR="00E70A9C" w:rsidRPr="00E8089B" w:rsidRDefault="00E8089B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cs-CZ"/>
        </w:rPr>
      </w:pPr>
      <w:r w:rsidRPr="00E8089B">
        <w:rPr>
          <w:rFonts w:ascii="Arial" w:eastAsia="Times New Roman" w:hAnsi="Arial" w:cs="Arial"/>
          <w:b/>
          <w:noProof/>
          <w:sz w:val="24"/>
          <w:szCs w:val="24"/>
          <w:u w:val="single"/>
          <w:lang w:eastAsia="cs-CZ"/>
        </w:rPr>
        <w:t>Druhá část díla</w:t>
      </w:r>
      <w:r w:rsidR="00476AFB">
        <w:rPr>
          <w:rFonts w:ascii="Arial" w:eastAsia="Times New Roman" w:hAnsi="Arial" w:cs="Arial"/>
          <w:b/>
          <w:noProof/>
          <w:sz w:val="24"/>
          <w:szCs w:val="24"/>
          <w:u w:val="single"/>
          <w:lang w:eastAsia="cs-CZ"/>
        </w:rPr>
        <w:t xml:space="preserve"> - </w:t>
      </w:r>
      <w:r w:rsidR="00476AFB" w:rsidRPr="00476AFB">
        <w:rPr>
          <w:rFonts w:ascii="Arial" w:eastAsia="Times New Roman" w:hAnsi="Arial" w:cs="Arial"/>
          <w:b/>
          <w:noProof/>
          <w:sz w:val="24"/>
          <w:szCs w:val="24"/>
          <w:u w:val="single"/>
          <w:lang w:eastAsia="cs-CZ"/>
        </w:rPr>
        <w:t>dílo jako celek:</w:t>
      </w:r>
      <w:r w:rsidR="00476AFB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 xml:space="preserve"> za etapu 2024 </w:t>
      </w:r>
      <w:r w:rsidR="00E70A9C" w:rsidRPr="00E8089B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>(</w:t>
      </w:r>
      <w:r w:rsidR="007B1EB9" w:rsidRPr="00E8089B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 xml:space="preserve"> tj. </w:t>
      </w:r>
      <w:r w:rsidR="00476AFB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 xml:space="preserve"> do konce 30.11.</w:t>
      </w:r>
      <w:r w:rsidR="00E70A9C" w:rsidRPr="00E8089B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t xml:space="preserve">2024) </w:t>
      </w:r>
    </w:p>
    <w:p w14:paraId="68A55996" w14:textId="77777777" w:rsidR="00E70A9C" w:rsidRPr="000E2C1F" w:rsidRDefault="00E70A9C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</w:p>
    <w:p w14:paraId="11CA8C54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>Stručná hydrogeologická charakteristika a h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ydrogeologická</w:t>
      </w:r>
      <w:r w:rsidRPr="000E2C1F">
        <w:rPr>
          <w:rFonts w:ascii="Arial" w:eastAsia="Times New Roman" w:hAnsi="Arial" w:cs="Arial"/>
          <w:spacing w:val="3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rajonizace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>a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využívání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 xml:space="preserve">podzemních </w:t>
      </w:r>
      <w:r w:rsidRPr="000E2C1F">
        <w:rPr>
          <w:rFonts w:ascii="Arial" w:eastAsia="Times New Roman" w:hAnsi="Arial" w:cs="Arial"/>
          <w:spacing w:val="-2"/>
          <w:sz w:val="20"/>
          <w:szCs w:val="20"/>
          <w:lang w:val="x-none" w:eastAsia="cs-CZ"/>
        </w:rPr>
        <w:t>vod</w:t>
      </w:r>
      <w:r w:rsidRPr="000E2C1F">
        <w:rPr>
          <w:rFonts w:ascii="Arial" w:eastAsia="Times New Roman" w:hAnsi="Arial" w:cs="Arial"/>
          <w:spacing w:val="-2"/>
          <w:sz w:val="20"/>
          <w:szCs w:val="20"/>
          <w:lang w:eastAsia="cs-CZ"/>
        </w:rPr>
        <w:t xml:space="preserve"> </w:t>
      </w:r>
    </w:p>
    <w:p w14:paraId="5F34E5A2" w14:textId="77777777" w:rsidR="000D281B" w:rsidRDefault="000E2C1F" w:rsidP="000D281B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="Times New Roman" w:hAnsi="Arial" w:cs="Arial"/>
          <w:spacing w:val="-1"/>
          <w:sz w:val="20"/>
          <w:szCs w:val="20"/>
          <w:lang w:eastAsia="cs-CZ"/>
        </w:rPr>
      </w:pPr>
      <w:r w:rsidRPr="000E2C1F">
        <w:rPr>
          <w:rFonts w:ascii="Arial" w:eastAsia="Times New Roman" w:hAnsi="Arial" w:cs="Arial"/>
          <w:spacing w:val="-2"/>
          <w:sz w:val="20"/>
          <w:szCs w:val="20"/>
          <w:lang w:eastAsia="cs-CZ"/>
        </w:rPr>
        <w:t xml:space="preserve">     </w:t>
      </w:r>
      <w:r w:rsidRPr="000E2C1F">
        <w:rPr>
          <w:rFonts w:ascii="Arial" w:eastAsia="Times New Roman" w:hAnsi="Arial" w:cs="Arial"/>
          <w:spacing w:val="2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>na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území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kraje</w:t>
      </w: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 xml:space="preserve">, významnost zdrojů podzemních vod </w:t>
      </w:r>
    </w:p>
    <w:p w14:paraId="731035AF" w14:textId="64E46F8F" w:rsidR="000E2C1F" w:rsidRPr="000D281B" w:rsidRDefault="000E2C1F" w:rsidP="000D281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="Times New Roman" w:hAnsi="Arial" w:cs="Arial"/>
          <w:spacing w:val="-1"/>
          <w:sz w:val="20"/>
          <w:szCs w:val="20"/>
          <w:lang w:eastAsia="cs-CZ"/>
        </w:rPr>
      </w:pPr>
      <w:r w:rsidRPr="000D281B">
        <w:rPr>
          <w:rFonts w:ascii="Arial" w:eastAsia="Times New Roman" w:hAnsi="Arial" w:cs="Arial"/>
          <w:bCs/>
          <w:sz w:val="20"/>
          <w:szCs w:val="20"/>
          <w:lang w:eastAsia="cs-CZ"/>
        </w:rPr>
        <w:t>Porovnání a z</w:t>
      </w:r>
      <w:r w:rsidRPr="000D281B">
        <w:rPr>
          <w:rFonts w:ascii="Arial" w:eastAsia="Times New Roman" w:hAnsi="Arial" w:cs="Arial"/>
          <w:sz w:val="20"/>
          <w:szCs w:val="20"/>
          <w:lang w:eastAsia="cs-CZ"/>
        </w:rPr>
        <w:t xml:space="preserve">měny ve využívání a evidenci ložisek nerostných surovin se </w:t>
      </w:r>
      <w:r w:rsidRPr="000D281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závěry Regionální </w:t>
      </w:r>
    </w:p>
    <w:p w14:paraId="2B6B1BF6" w14:textId="7F63348D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surovinové politice kraje z roku 2003</w:t>
      </w:r>
    </w:p>
    <w:p w14:paraId="5E7762F9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Využívání</w:t>
      </w:r>
      <w:r w:rsidRPr="000E2C1F">
        <w:rPr>
          <w:rFonts w:ascii="Arial" w:eastAsia="Times New Roman" w:hAnsi="Arial" w:cs="Arial"/>
          <w:spacing w:val="2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ložisek nerostných surovin</w:t>
      </w:r>
      <w:r w:rsidRPr="000E2C1F">
        <w:rPr>
          <w:rFonts w:ascii="Arial" w:eastAsia="Times New Roman" w:hAnsi="Arial" w:cs="Arial"/>
          <w:spacing w:val="1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v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příhraniční</w:t>
      </w:r>
      <w:r w:rsidRPr="000E2C1F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Pr="000E2C1F">
        <w:rPr>
          <w:rFonts w:ascii="Arial" w:eastAsia="Times New Roman" w:hAnsi="Arial" w:cs="Arial"/>
          <w:spacing w:val="-1"/>
          <w:sz w:val="20"/>
          <w:szCs w:val="20"/>
          <w:lang w:val="x-none" w:eastAsia="cs-CZ"/>
        </w:rPr>
        <w:t>oblasti</w:t>
      </w: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 xml:space="preserve"> se Slovenskem a zejména s okolními –  </w:t>
      </w:r>
    </w:p>
    <w:p w14:paraId="471C793E" w14:textId="1B19B6F0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="Times New Roman" w:hAnsi="Arial" w:cs="Arial"/>
          <w:spacing w:val="-1"/>
          <w:sz w:val="20"/>
          <w:szCs w:val="20"/>
          <w:lang w:eastAsia="cs-CZ"/>
        </w:rPr>
        <w:t xml:space="preserve">      sousednímu kraji (Jihomoravským, Moravskoslezským a Olomouckým krajem)</w:t>
      </w:r>
    </w:p>
    <w:p w14:paraId="2A64274D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 xml:space="preserve">Přehled plánovaných významných staveb na území kraje ve vazbě na potřebu stavebních surovin </w:t>
      </w:r>
    </w:p>
    <w:p w14:paraId="5F447E67" w14:textId="77777777" w:rsidR="000E2C1F" w:rsidRPr="000E2C1F" w:rsidRDefault="000E2C1F" w:rsidP="000E2C1F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Stav a využití území po ukončené těžbě nerostných surovin rekultivace a sanace území</w:t>
      </w:r>
    </w:p>
    <w:p w14:paraId="61B20F8E" w14:textId="77777777" w:rsidR="000E2C1F" w:rsidRPr="000E2C1F" w:rsidRDefault="000E2C1F" w:rsidP="000E2C1F">
      <w:pPr>
        <w:widowControl/>
        <w:tabs>
          <w:tab w:val="left" w:pos="284"/>
        </w:tabs>
        <w:autoSpaceDE/>
        <w:autoSpaceDN/>
        <w:ind w:left="284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</w:p>
    <w:p w14:paraId="070BA823" w14:textId="77777777" w:rsidR="000E2C1F" w:rsidRPr="000E2C1F" w:rsidRDefault="000E2C1F" w:rsidP="000E2C1F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cs-CZ"/>
        </w:rPr>
      </w:pPr>
    </w:p>
    <w:p w14:paraId="653DE941" w14:textId="77777777" w:rsidR="000E2C1F" w:rsidRPr="000E2C1F" w:rsidRDefault="000E2C1F" w:rsidP="000E2C1F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rFonts w:ascii="Arial" w:eastAsiaTheme="minorHAnsi" w:hAnsi="Arial" w:cs="Arial"/>
          <w:b/>
          <w:smallCaps/>
          <w:color w:val="000000" w:themeColor="text1"/>
          <w:sz w:val="20"/>
          <w:szCs w:val="20"/>
        </w:rPr>
      </w:pPr>
      <w:bookmarkStart w:id="3" w:name="_Toc119060482"/>
      <w:r w:rsidRPr="000E2C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>NÁVRHOVÁ ČÁST</w:t>
      </w:r>
      <w:bookmarkEnd w:id="3"/>
      <w:r w:rsidRPr="000E2C1F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</w:p>
    <w:p w14:paraId="132A58B4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Návrhy opatření</w:t>
      </w:r>
    </w:p>
    <w:p w14:paraId="5A99AF0E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Obecná opatření pro ochranu a využívání </w:t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</w:p>
    <w:p w14:paraId="4181BFD4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Opatření pro využívání jednotlivých druhů nerostných surovin – zejména stavební suroviny podle </w:t>
      </w:r>
    </w:p>
    <w:p w14:paraId="036CAF05" w14:textId="77777777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priorit (štěrkopísky, stavební kámen, </w:t>
      </w:r>
      <w:r w:rsidRPr="000E2C1F">
        <w:rPr>
          <w:rFonts w:ascii="Arial" w:eastAsiaTheme="minorHAnsi" w:hAnsi="Arial" w:cs="Arial"/>
          <w:bCs/>
          <w:sz w:val="20"/>
          <w:szCs w:val="20"/>
        </w:rPr>
        <w:t>kámen pro hrubou a ušlechtilou kamenickou výrobu</w:t>
      </w:r>
      <w:r w:rsidRPr="000E2C1F">
        <w:rPr>
          <w:rFonts w:ascii="Arial" w:eastAsiaTheme="minorHAnsi" w:hAnsi="Arial" w:cs="Arial"/>
          <w:smallCaps/>
          <w:color w:val="000000" w:themeColor="text1"/>
          <w:sz w:val="20"/>
          <w:szCs w:val="20"/>
        </w:rPr>
        <w:t xml:space="preserve">, </w:t>
      </w: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cihlářské  </w:t>
      </w:r>
    </w:p>
    <w:p w14:paraId="54DD98BB" w14:textId="08FE91C2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suroviny apod.) </w:t>
      </w:r>
    </w:p>
    <w:p w14:paraId="3BC762B6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Opatření pro využívání jednotlivých druhů nerostných surovin – palivoenergetické suroviny (ropa, </w:t>
      </w:r>
    </w:p>
    <w:p w14:paraId="5439264F" w14:textId="783743D9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zemní plyn, černé uhlí)</w:t>
      </w:r>
    </w:p>
    <w:p w14:paraId="0C02F285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Opatření pro využívání jednotlivých druhů nerostných surovin – nerudní suroviny (karbonáty pro </w:t>
      </w:r>
    </w:p>
    <w:p w14:paraId="2F7F7F83" w14:textId="58540A50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</w:t>
      </w:r>
      <w:r w:rsidRPr="000E2C1F">
        <w:rPr>
          <w:rFonts w:ascii="Arial" w:eastAsiaTheme="minorHAnsi" w:hAnsi="Arial" w:cs="Arial"/>
          <w:sz w:val="20"/>
          <w:szCs w:val="20"/>
        </w:rPr>
        <w:t>zemědělské účely, vápence apod.)</w:t>
      </w:r>
    </w:p>
    <w:p w14:paraId="494BA420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>Opatření pro rekultivace</w:t>
      </w:r>
      <w:r w:rsidRPr="000E2C1F">
        <w:rPr>
          <w:rFonts w:ascii="Arial" w:eastAsiaTheme="minorHAnsi" w:hAnsi="Arial" w:cs="Arial"/>
          <w:sz w:val="20"/>
          <w:szCs w:val="20"/>
        </w:rPr>
        <w:tab/>
      </w:r>
    </w:p>
    <w:p w14:paraId="1DD7BB7F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Kritéria pro výběr ložisek stavebních surovin a dalších vybraných komodit (např.  </w:t>
      </w:r>
    </w:p>
    <w:p w14:paraId="75E429CD" w14:textId="193A3553" w:rsidR="000E2C1F" w:rsidRPr="000E2C1F" w:rsidRDefault="000E2C1F" w:rsidP="000E2C1F">
      <w:pPr>
        <w:widowControl/>
        <w:tabs>
          <w:tab w:val="left" w:pos="284"/>
        </w:tabs>
        <w:autoSpaceDE/>
        <w:autoSpaceDN/>
        <w:spacing w:after="12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 xml:space="preserve">      palivoenergetických surovin apod)</w:t>
      </w:r>
    </w:p>
    <w:p w14:paraId="4D2496EE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smallCaps/>
          <w:sz w:val="20"/>
          <w:szCs w:val="20"/>
        </w:rPr>
      </w:pPr>
      <w:r w:rsidRPr="000E2C1F">
        <w:rPr>
          <w:rFonts w:ascii="Arial" w:eastAsiaTheme="minorHAnsi" w:hAnsi="Arial" w:cs="Arial"/>
          <w:sz w:val="20"/>
          <w:szCs w:val="20"/>
        </w:rPr>
        <w:t>Kritéria v oblasti tvorby či pořizování změny ÚPD ve vazbě na využití ložisek nerostných surovin</w:t>
      </w:r>
    </w:p>
    <w:p w14:paraId="0FBF133D" w14:textId="77777777" w:rsidR="000E2C1F" w:rsidRPr="000E2C1F" w:rsidRDefault="000E2C1F" w:rsidP="000E2C1F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20"/>
        <w:ind w:left="0" w:firstLine="0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0E2C1F">
        <w:rPr>
          <w:rFonts w:ascii="Arial" w:eastAsiaTheme="minorHAnsi" w:hAnsi="Arial" w:cs="Arial"/>
          <w:color w:val="000000" w:themeColor="text1"/>
          <w:sz w:val="20"/>
          <w:szCs w:val="20"/>
        </w:rPr>
        <w:t>Návrhy úkolů RSP ZK</w:t>
      </w:r>
    </w:p>
    <w:p w14:paraId="3051B86B" w14:textId="77777777" w:rsidR="000E2C1F" w:rsidRPr="000E2C1F" w:rsidRDefault="000E2C1F" w:rsidP="000E2C1F">
      <w:pPr>
        <w:widowControl/>
        <w:autoSpaceDE/>
        <w:autoSpaceDN/>
        <w:ind w:left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cs-CZ"/>
        </w:rPr>
      </w:pPr>
    </w:p>
    <w:p w14:paraId="5729F255" w14:textId="6CCDF3EC" w:rsidR="00DC6F4D" w:rsidRDefault="00DC6F4D" w:rsidP="000E2C1F">
      <w:pPr>
        <w:tabs>
          <w:tab w:val="left" w:pos="957"/>
          <w:tab w:val="left" w:pos="958"/>
        </w:tabs>
        <w:jc w:val="both"/>
        <w:rPr>
          <w:rFonts w:ascii="Arial" w:hAnsi="Arial" w:cs="Arial"/>
          <w:b/>
          <w:sz w:val="20"/>
          <w:szCs w:val="20"/>
        </w:rPr>
      </w:pPr>
    </w:p>
    <w:p w14:paraId="3EE96CF5" w14:textId="77777777" w:rsidR="005907E6" w:rsidRPr="00AC5D8A" w:rsidRDefault="005907E6" w:rsidP="000E2C1F">
      <w:pPr>
        <w:tabs>
          <w:tab w:val="left" w:pos="957"/>
          <w:tab w:val="left" w:pos="958"/>
        </w:tabs>
        <w:jc w:val="both"/>
        <w:rPr>
          <w:rFonts w:ascii="Arial" w:hAnsi="Arial" w:cs="Arial"/>
          <w:b/>
          <w:sz w:val="20"/>
          <w:szCs w:val="20"/>
        </w:rPr>
      </w:pPr>
    </w:p>
    <w:p w14:paraId="3E68BB22" w14:textId="6C1EE7B0" w:rsidR="005907E6" w:rsidRPr="00AC5D8A" w:rsidRDefault="005907E6" w:rsidP="005907E6">
      <w:pPr>
        <w:pStyle w:val="Nadpis2"/>
        <w:rPr>
          <w:rFonts w:ascii="Arial" w:eastAsiaTheme="minorHAnsi" w:hAnsi="Arial" w:cs="Arial"/>
          <w:b/>
          <w:color w:val="auto"/>
          <w:sz w:val="20"/>
          <w:szCs w:val="20"/>
        </w:rPr>
      </w:pPr>
      <w:bookmarkStart w:id="4" w:name="_Toc121485702"/>
      <w:r w:rsidRPr="00AC5D8A">
        <w:rPr>
          <w:rFonts w:ascii="Arial" w:eastAsiaTheme="minorHAnsi" w:hAnsi="Arial" w:cs="Arial"/>
          <w:b/>
          <w:color w:val="auto"/>
          <w:sz w:val="20"/>
          <w:szCs w:val="20"/>
        </w:rPr>
        <w:t>Tabulkové přílohy</w:t>
      </w:r>
      <w:bookmarkEnd w:id="4"/>
    </w:p>
    <w:p w14:paraId="4EE93A4C" w14:textId="646E62B4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Tabelární přehled a bilance surovinového potenciálu na území kraje </w:t>
      </w:r>
    </w:p>
    <w:p w14:paraId="73AC1100" w14:textId="5B962311" w:rsidR="005907E6" w:rsidRPr="00AC5D8A" w:rsidRDefault="005907E6" w:rsidP="005907E6">
      <w:pPr>
        <w:ind w:left="567" w:hanging="567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výhradních ložisek kraje </w:t>
      </w:r>
    </w:p>
    <w:p w14:paraId="2B153333" w14:textId="29CC251C" w:rsidR="005907E6" w:rsidRPr="00AC5D8A" w:rsidRDefault="005907E6" w:rsidP="005907E6">
      <w:pPr>
        <w:ind w:left="567" w:hanging="567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ložisek nevyhrazených nerostů </w:t>
      </w:r>
    </w:p>
    <w:p w14:paraId="6759EB4A" w14:textId="17B86629" w:rsidR="005907E6" w:rsidRPr="00AC5D8A" w:rsidRDefault="005907E6" w:rsidP="005907E6">
      <w:pPr>
        <w:ind w:left="567" w:hanging="567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nebilancovaných ložisek </w:t>
      </w:r>
    </w:p>
    <w:p w14:paraId="7FA465D2" w14:textId="1833F535" w:rsidR="005907E6" w:rsidRPr="00AC5D8A" w:rsidRDefault="005907E6" w:rsidP="005907E6">
      <w:pPr>
        <w:ind w:left="567" w:hanging="567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prognózních zdrojů </w:t>
      </w:r>
    </w:p>
    <w:p w14:paraId="4CE708E0" w14:textId="2DFF76D1" w:rsidR="005907E6" w:rsidRPr="00AC5D8A" w:rsidRDefault="005907E6" w:rsidP="005907E6">
      <w:pPr>
        <w:ind w:left="567" w:hanging="567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dobývacích prostorů na území kraje </w:t>
      </w:r>
    </w:p>
    <w:p w14:paraId="4BFB55CE" w14:textId="482A2E51" w:rsidR="005907E6" w:rsidRPr="00AC5D8A" w:rsidRDefault="005907E6" w:rsidP="005907E6">
      <w:pPr>
        <w:ind w:left="567" w:hanging="567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CHLÚ na území kraje </w:t>
      </w:r>
    </w:p>
    <w:p w14:paraId="4979561B" w14:textId="4EE922F9" w:rsidR="005907E6" w:rsidRPr="00AC5D8A" w:rsidRDefault="005907E6" w:rsidP="005907E6">
      <w:pPr>
        <w:ind w:left="567" w:hanging="567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Přehled   předchozí souhlasy na stanovení DP, průzkumná území (</w:t>
      </w:r>
    </w:p>
    <w:p w14:paraId="08150F54" w14:textId="60EF8A24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Přehled ostatních zrušených ložisek, ložisek s ukončenou těžbou, zrušené DP apod </w:t>
      </w:r>
    </w:p>
    <w:p w14:paraId="2AF9C529" w14:textId="2CE5DE0C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Tabulkové přílohy životnosti disponibilních zásob nerostných surovin, včetně Bilance zásob výhradních ložisek, Evidence zásob ložisek nevyhrazeného nerostu, Přehled zásob v d</w:t>
      </w:r>
      <w:r w:rsidR="00AC5D8A">
        <w:rPr>
          <w:rFonts w:ascii="Arial" w:hAnsi="Arial" w:cs="Arial"/>
          <w:sz w:val="20"/>
          <w:szCs w:val="20"/>
        </w:rPr>
        <w:t>obývacích prostorech k 1.1. 2023</w:t>
      </w:r>
      <w:r w:rsidRPr="00AC5D8A">
        <w:rPr>
          <w:rFonts w:ascii="Arial" w:hAnsi="Arial" w:cs="Arial"/>
          <w:sz w:val="20"/>
          <w:szCs w:val="20"/>
        </w:rPr>
        <w:t xml:space="preserve"> </w:t>
      </w:r>
    </w:p>
    <w:p w14:paraId="4B0D7FD9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</w:p>
    <w:p w14:paraId="5FEE8C62" w14:textId="761AA0E6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Tabelární přehled obaloven a betonáren na území kraje </w:t>
      </w:r>
    </w:p>
    <w:p w14:paraId="5D8C82A9" w14:textId="4711A224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Tabelární přehled ukončených a zahajovaných rekultivací území kraje </w:t>
      </w:r>
    </w:p>
    <w:p w14:paraId="727D7F48" w14:textId="1F147FCE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Tabelární přehled plánované spotřeby kameniva na stavbách železniční infrastruktur</w:t>
      </w:r>
      <w:r w:rsidR="00AC5D8A">
        <w:rPr>
          <w:rFonts w:ascii="Arial" w:hAnsi="Arial" w:cs="Arial"/>
          <w:sz w:val="20"/>
          <w:szCs w:val="20"/>
        </w:rPr>
        <w:t>y v letech 2023</w:t>
      </w:r>
      <w:r w:rsidRPr="00AC5D8A">
        <w:rPr>
          <w:rFonts w:ascii="Arial" w:hAnsi="Arial" w:cs="Arial"/>
          <w:sz w:val="20"/>
          <w:szCs w:val="20"/>
        </w:rPr>
        <w:t xml:space="preserve">-2032 na území kraje </w:t>
      </w:r>
    </w:p>
    <w:p w14:paraId="5388F0F4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Tabelární přílohy - Gis analýzy střetů mezi dotčenými plochami evidovaného zdroje a ložiska nerostné suroviny (kat. B, D, N, P, R, Q) a plochami zákonných dílčích složek životního prostředí, zejména:</w:t>
      </w:r>
    </w:p>
    <w:p w14:paraId="4790ADF6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CHKO.</w:t>
      </w:r>
    </w:p>
    <w:p w14:paraId="146E90BC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prvky MZCHÚ, tj. národními parky (NP), přírodními památky (PP), národními přírodními rezervacemi (NPR), přírodními rezervacemi (PR) a jejich ochrannými pásmy.</w:t>
      </w:r>
    </w:p>
    <w:p w14:paraId="70B33205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územím CHOPAV.</w:t>
      </w:r>
    </w:p>
    <w:p w14:paraId="2592CCB9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 ochrannými pásmy vodních zdrojů (OPVZ) podle jednotlivých stupňů ochrany (I-III). </w:t>
      </w:r>
    </w:p>
    <w:p w14:paraId="0BC4A60F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ochrannými pásmy přírodních léčivých zdrojů a lázeňských míst.</w:t>
      </w:r>
    </w:p>
    <w:p w14:paraId="1223408E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 ochranou zemědělského půdního fondu (ZPF) podle jednotlivých bonitních tříd ZPF (zejména 1. a 2. třída bonity). </w:t>
      </w:r>
    </w:p>
    <w:p w14:paraId="6D70366A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 PUPFL. </w:t>
      </w:r>
    </w:p>
    <w:p w14:paraId="04E46E82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s územním systémem ekologické stability krajiny, nadregionální biocentrum (NRBC), regionální biocentrum (RBC), nadregionální biokoridor (NRBK) a regionální biokoridor (RBK).</w:t>
      </w:r>
    </w:p>
    <w:p w14:paraId="4A701737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 xml:space="preserve">Střety ložisek nerostných surovin a prognózních zdrojů s EVL-NATURA 2000 a NATURA 2000 - Ptačí oblast. </w:t>
      </w:r>
    </w:p>
    <w:p w14:paraId="49377657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lastRenderedPageBreak/>
        <w:t>Střety ložisek nerostných surovin a prognózních zdrojů s významnými krajinnými prvky (VKP) regionálního významu, údolní nivou a územím mokřadů.</w:t>
      </w:r>
    </w:p>
    <w:p w14:paraId="6FC3CDE1" w14:textId="77777777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a prognózních zdrojů v záplavovém území, ohrožené povodňovou záplavou při stoleté vodě Q 100.</w:t>
      </w:r>
    </w:p>
    <w:p w14:paraId="2465B008" w14:textId="64C8EAEA" w:rsidR="005907E6" w:rsidRPr="00AC5D8A" w:rsidRDefault="005907E6" w:rsidP="005907E6">
      <w:pPr>
        <w:pStyle w:val="Odstavecseseznamem"/>
        <w:widowControl/>
        <w:numPr>
          <w:ilvl w:val="0"/>
          <w:numId w:val="19"/>
        </w:numPr>
        <w:autoSpaceDE/>
        <w:autoSpaceDN/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Střety ložisek nerostných surovin s liniovými stavbami a zástavbou a jinými veřejně prospěšnými stavbami.</w:t>
      </w:r>
    </w:p>
    <w:p w14:paraId="2C0F433C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Schematické mapy distribuce stavebních surovin pro SK a SP, a současnost a výhled 2030</w:t>
      </w:r>
    </w:p>
    <w:p w14:paraId="6093147C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</w:p>
    <w:p w14:paraId="0585C206" w14:textId="34C581D7" w:rsidR="005907E6" w:rsidRPr="00AC5D8A" w:rsidRDefault="005907E6" w:rsidP="005907E6">
      <w:pPr>
        <w:pStyle w:val="Nadpis2"/>
        <w:rPr>
          <w:rFonts w:ascii="Arial" w:eastAsiaTheme="minorHAnsi" w:hAnsi="Arial" w:cs="Arial"/>
          <w:b/>
          <w:color w:val="auto"/>
          <w:sz w:val="20"/>
          <w:szCs w:val="20"/>
        </w:rPr>
      </w:pPr>
      <w:bookmarkStart w:id="5" w:name="_Toc121485703"/>
      <w:r w:rsidRPr="00AC5D8A">
        <w:rPr>
          <w:rFonts w:ascii="Arial" w:eastAsiaTheme="minorHAnsi" w:hAnsi="Arial" w:cs="Arial"/>
          <w:b/>
          <w:color w:val="auto"/>
          <w:sz w:val="20"/>
          <w:szCs w:val="20"/>
        </w:rPr>
        <w:t>Mapové přílohy</w:t>
      </w:r>
      <w:bookmarkEnd w:id="5"/>
    </w:p>
    <w:p w14:paraId="77712603" w14:textId="77777777" w:rsidR="005907E6" w:rsidRPr="00AC5D8A" w:rsidRDefault="005907E6" w:rsidP="005907E6">
      <w:pPr>
        <w:ind w:left="567" w:hanging="567"/>
        <w:rPr>
          <w:rFonts w:ascii="Arial" w:eastAsiaTheme="minorHAnsi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ložisek/zdrojů nerostných surovin, DP, PVL a CHLÚ.</w:t>
      </w:r>
    </w:p>
    <w:p w14:paraId="4ACC2605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ložisek stavebních surovin s hlavními směry odbytu a plánovaných staveb (ve vazbě k současným a klíčovým plánovaným stavebním záměrům na území kraje).</w:t>
      </w:r>
    </w:p>
    <w:p w14:paraId="14DB5B12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 nerostných surovin a jejich ochrany (DP, CHLÚ) s ochranou krajiny a přírody s VCHÚ a MCHÚ.</w:t>
      </w:r>
    </w:p>
    <w:p w14:paraId="3E417F6E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 nerostných surovin a jejich ochrany (DP, CHLÚ) s ochranou ZPF 1. a 2. bonitní třídy.</w:t>
      </w:r>
    </w:p>
    <w:p w14:paraId="71C27A25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 nerostných surovin a jejich ochrany (DP, CHLÚ) s ochranou PUPFL a VKP.</w:t>
      </w:r>
    </w:p>
    <w:p w14:paraId="4CD4DFD1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Mapa střetů zájmů ložisek/zdrojů nerostných surovin a jejich ochrany (DP, CHLÚ) s ostatními složkami ŽP (OP vodních zdrojů, CHOPAV, záplavová území Q100, OP přírodních léčivých zdrojů) a ostatními střety (liniové stavby, zástavba a jiné veřejně prospěšné stavby).</w:t>
      </w:r>
    </w:p>
    <w:p w14:paraId="1D9B30DD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  <w:r w:rsidRPr="00AC5D8A">
        <w:rPr>
          <w:rFonts w:ascii="Arial" w:hAnsi="Arial" w:cs="Arial"/>
          <w:sz w:val="20"/>
          <w:szCs w:val="20"/>
        </w:rPr>
        <w:t>Kompletní Gis projekt mapových příloh.</w:t>
      </w:r>
    </w:p>
    <w:p w14:paraId="1812DDB7" w14:textId="77777777" w:rsidR="005907E6" w:rsidRPr="00AC5D8A" w:rsidRDefault="005907E6" w:rsidP="005907E6">
      <w:pPr>
        <w:rPr>
          <w:rFonts w:ascii="Arial" w:hAnsi="Arial" w:cs="Arial"/>
          <w:sz w:val="20"/>
          <w:szCs w:val="20"/>
        </w:rPr>
      </w:pPr>
    </w:p>
    <w:p w14:paraId="6F702D6D" w14:textId="77777777" w:rsidR="00E8089B" w:rsidRPr="00CB500C" w:rsidRDefault="00E8089B" w:rsidP="00E8089B">
      <w:pPr>
        <w:tabs>
          <w:tab w:val="left" w:pos="360"/>
        </w:tabs>
        <w:jc w:val="both"/>
        <w:rPr>
          <w:sz w:val="24"/>
          <w:szCs w:val="24"/>
        </w:rPr>
      </w:pPr>
    </w:p>
    <w:p w14:paraId="4A4220C4" w14:textId="77777777" w:rsidR="00E8089B" w:rsidRPr="00B71EC3" w:rsidRDefault="00E8089B" w:rsidP="00E8089B">
      <w:pPr>
        <w:pStyle w:val="Odstavecseseznamem"/>
        <w:tabs>
          <w:tab w:val="left" w:pos="360"/>
        </w:tabs>
        <w:jc w:val="both"/>
        <w:rPr>
          <w:sz w:val="24"/>
          <w:szCs w:val="24"/>
        </w:rPr>
      </w:pPr>
    </w:p>
    <w:p w14:paraId="1BF0CFDD" w14:textId="77777777" w:rsidR="00236166" w:rsidRPr="00384C18" w:rsidRDefault="00236166" w:rsidP="00236166">
      <w:pPr>
        <w:pStyle w:val="Nadpis1"/>
        <w:spacing w:before="0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bookmarkStart w:id="6" w:name="_Toc119060485"/>
      <w:r w:rsidRPr="00384C18">
        <w:rPr>
          <w:rFonts w:ascii="Arial" w:eastAsiaTheme="minorHAnsi" w:hAnsi="Arial" w:cs="Arial"/>
          <w:b/>
          <w:color w:val="000000" w:themeColor="text1"/>
          <w:sz w:val="20"/>
          <w:szCs w:val="20"/>
        </w:rPr>
        <w:t>Rozpočet</w:t>
      </w:r>
      <w:bookmarkEnd w:id="6"/>
      <w:r w:rsidRPr="00384C18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(bez DPH)</w:t>
      </w:r>
    </w:p>
    <w:p w14:paraId="006313AD" w14:textId="77777777" w:rsidR="00236166" w:rsidRPr="00384C18" w:rsidRDefault="00236166" w:rsidP="00236166">
      <w:pPr>
        <w:rPr>
          <w:rFonts w:ascii="Arial" w:eastAsiaTheme="minorHAnsi" w:hAnsi="Arial" w:cs="Arial"/>
          <w:color w:val="000000" w:themeColor="text1"/>
        </w:rPr>
      </w:pPr>
    </w:p>
    <w:p w14:paraId="73F684C6" w14:textId="77777777" w:rsidR="00236166" w:rsidRPr="00384C18" w:rsidRDefault="00236166" w:rsidP="00236166">
      <w:pPr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7"/>
        <w:gridCol w:w="1537"/>
        <w:gridCol w:w="1493"/>
        <w:gridCol w:w="1613"/>
        <w:gridCol w:w="1372"/>
        <w:gridCol w:w="1580"/>
      </w:tblGrid>
      <w:tr w:rsidR="00236166" w:rsidRPr="00384C18" w14:paraId="3A091ADE" w14:textId="77777777" w:rsidTr="00236166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139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Rok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1225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Osobní náklady všech řešitelů, provozní náklady na IS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F87F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Cestovní náklady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FEEC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Subdodávky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74F5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Spotřební materiál, reprodukční práce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B0F2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Částka CELKEM (Kč) bez DPH</w:t>
            </w:r>
          </w:p>
        </w:tc>
      </w:tr>
      <w:tr w:rsidR="00236166" w:rsidRPr="00384C18" w14:paraId="35F37DCA" w14:textId="77777777" w:rsidTr="00236166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028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947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450 000,-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1BDB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 xml:space="preserve">70 000,-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69D7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50 000,-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7B2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724B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 xml:space="preserve">570 000,- </w:t>
            </w:r>
          </w:p>
        </w:tc>
      </w:tr>
      <w:tr w:rsidR="00236166" w:rsidRPr="00384C18" w14:paraId="04543F7D" w14:textId="77777777" w:rsidTr="00236166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805A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1F5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370 000,-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81B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 xml:space="preserve">40 000,-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876C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1E91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10 000,-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C78" w14:textId="77777777" w:rsidR="00236166" w:rsidRPr="00384C18" w:rsidRDefault="00236166">
            <w:pPr>
              <w:rPr>
                <w:rFonts w:ascii="Arial" w:hAnsi="Arial" w:cs="Arial"/>
                <w:color w:val="000000" w:themeColor="text1"/>
              </w:rPr>
            </w:pPr>
            <w:r w:rsidRPr="00384C18">
              <w:rPr>
                <w:rFonts w:ascii="Arial" w:hAnsi="Arial" w:cs="Arial"/>
                <w:color w:val="000000" w:themeColor="text1"/>
              </w:rPr>
              <w:t>420 000,-</w:t>
            </w:r>
          </w:p>
        </w:tc>
      </w:tr>
      <w:tr w:rsidR="00236166" w:rsidRPr="00384C18" w14:paraId="13F33C83" w14:textId="77777777" w:rsidTr="00236166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45C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</w:rPr>
              <w:t>Celkem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EDF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580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3BA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134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811" w14:textId="77777777" w:rsidR="00236166" w:rsidRPr="00384C18" w:rsidRDefault="00236166">
            <w:pPr>
              <w:rPr>
                <w:rFonts w:ascii="Arial" w:hAnsi="Arial" w:cs="Arial"/>
                <w:b/>
                <w:color w:val="000000" w:themeColor="text1"/>
              </w:rPr>
            </w:pPr>
            <w:r w:rsidRPr="00384C18">
              <w:rPr>
                <w:rFonts w:ascii="Arial" w:hAnsi="Arial" w:cs="Arial"/>
                <w:b/>
                <w:color w:val="000000" w:themeColor="text1"/>
              </w:rPr>
              <w:t>990 000,-</w:t>
            </w:r>
          </w:p>
        </w:tc>
      </w:tr>
    </w:tbl>
    <w:p w14:paraId="65EFDEF6" w14:textId="77777777" w:rsidR="00E8089B" w:rsidRPr="00CB500C" w:rsidRDefault="00E8089B" w:rsidP="00E8089B">
      <w:pPr>
        <w:tabs>
          <w:tab w:val="left" w:pos="360"/>
        </w:tabs>
        <w:ind w:firstLine="60"/>
        <w:jc w:val="both"/>
        <w:rPr>
          <w:sz w:val="24"/>
          <w:szCs w:val="24"/>
        </w:rPr>
      </w:pPr>
    </w:p>
    <w:p w14:paraId="02B67687" w14:textId="77777777" w:rsidR="00E8089B" w:rsidRDefault="00E8089B" w:rsidP="00E8089B">
      <w:pPr>
        <w:tabs>
          <w:tab w:val="left" w:pos="360"/>
        </w:tabs>
        <w:jc w:val="both"/>
        <w:rPr>
          <w:sz w:val="24"/>
          <w:szCs w:val="24"/>
        </w:rPr>
      </w:pPr>
    </w:p>
    <w:p w14:paraId="308670FC" w14:textId="571D6192" w:rsidR="00E8089B" w:rsidRDefault="00E8089B" w:rsidP="000E2C1F">
      <w:pPr>
        <w:tabs>
          <w:tab w:val="left" w:pos="957"/>
          <w:tab w:val="left" w:pos="958"/>
        </w:tabs>
        <w:jc w:val="both"/>
        <w:rPr>
          <w:rFonts w:ascii="Arial" w:hAnsi="Arial" w:cs="Arial"/>
          <w:b/>
          <w:sz w:val="20"/>
          <w:szCs w:val="20"/>
        </w:rPr>
      </w:pPr>
    </w:p>
    <w:p w14:paraId="1D35013F" w14:textId="77777777" w:rsidR="00F86DEF" w:rsidRPr="000E2C1F" w:rsidRDefault="00F86DEF" w:rsidP="000E2C1F">
      <w:pPr>
        <w:tabs>
          <w:tab w:val="left" w:pos="957"/>
          <w:tab w:val="left" w:pos="958"/>
        </w:tabs>
        <w:jc w:val="both"/>
        <w:rPr>
          <w:rFonts w:ascii="Arial" w:hAnsi="Arial" w:cs="Arial"/>
          <w:b/>
          <w:sz w:val="20"/>
          <w:szCs w:val="20"/>
        </w:rPr>
      </w:pPr>
    </w:p>
    <w:sectPr w:rsidR="00F86DEF" w:rsidRPr="000E2C1F" w:rsidSect="000E2C1F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5202" w14:textId="77777777" w:rsidR="00974B58" w:rsidRDefault="00974B58">
      <w:r>
        <w:separator/>
      </w:r>
    </w:p>
  </w:endnote>
  <w:endnote w:type="continuationSeparator" w:id="0">
    <w:p w14:paraId="78BB59C6" w14:textId="77777777" w:rsidR="00974B58" w:rsidRDefault="009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080709"/>
      <w:docPartObj>
        <w:docPartGallery w:val="Page Numbers (Bottom of Page)"/>
        <w:docPartUnique/>
      </w:docPartObj>
    </w:sdtPr>
    <w:sdtEndPr/>
    <w:sdtContent>
      <w:p w14:paraId="73A42824" w14:textId="5C5A4EC9" w:rsidR="000E2C1F" w:rsidRDefault="000E2C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BC">
          <w:rPr>
            <w:noProof/>
          </w:rPr>
          <w:t>1</w:t>
        </w:r>
        <w:r>
          <w:fldChar w:fldCharType="end"/>
        </w:r>
      </w:p>
    </w:sdtContent>
  </w:sdt>
  <w:p w14:paraId="3D4D733D" w14:textId="5DFDFB72" w:rsidR="006C5FAA" w:rsidRDefault="006C5FAA">
    <w:pPr>
      <w:pStyle w:val="Zkladn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C023" w14:textId="77777777" w:rsidR="00974B58" w:rsidRDefault="00974B58">
      <w:r>
        <w:separator/>
      </w:r>
    </w:p>
  </w:footnote>
  <w:footnote w:type="continuationSeparator" w:id="0">
    <w:p w14:paraId="1BD7B147" w14:textId="77777777" w:rsidR="00974B58" w:rsidRDefault="0097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A374" w14:textId="77777777" w:rsidR="006C5FAA" w:rsidRDefault="006C5FAA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812"/>
    <w:multiLevelType w:val="hybridMultilevel"/>
    <w:tmpl w:val="036204F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C64BC6"/>
    <w:multiLevelType w:val="hybridMultilevel"/>
    <w:tmpl w:val="69181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55DE"/>
    <w:multiLevelType w:val="hybridMultilevel"/>
    <w:tmpl w:val="D15C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2F7A"/>
    <w:multiLevelType w:val="hybridMultilevel"/>
    <w:tmpl w:val="4EEE6EB6"/>
    <w:lvl w:ilvl="0" w:tplc="FAF6501A">
      <w:numFmt w:val="bullet"/>
      <w:lvlText w:val="•"/>
      <w:lvlJc w:val="left"/>
      <w:pPr>
        <w:ind w:left="1320" w:hanging="9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5AFB"/>
    <w:multiLevelType w:val="hybridMultilevel"/>
    <w:tmpl w:val="2FC2A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5CAE"/>
    <w:multiLevelType w:val="hybridMultilevel"/>
    <w:tmpl w:val="8718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2523"/>
    <w:multiLevelType w:val="hybridMultilevel"/>
    <w:tmpl w:val="B680FEF6"/>
    <w:lvl w:ilvl="0" w:tplc="CBC6F918">
      <w:start w:val="1"/>
      <w:numFmt w:val="upperLetter"/>
      <w:lvlText w:val="%1)"/>
      <w:lvlJc w:val="left"/>
      <w:pPr>
        <w:ind w:left="260" w:hanging="300"/>
      </w:pPr>
      <w:rPr>
        <w:rFonts w:ascii="Cambria" w:eastAsia="Cambria" w:hAnsi="Cambria" w:cs="Cambria" w:hint="default"/>
        <w:b/>
        <w:bCs/>
        <w:i w:val="0"/>
        <w:iCs w:val="0"/>
        <w:spacing w:val="-3"/>
        <w:w w:val="99"/>
        <w:sz w:val="22"/>
        <w:szCs w:val="22"/>
        <w:lang w:val="cs-CZ" w:eastAsia="en-US" w:bidi="ar-SA"/>
      </w:rPr>
    </w:lvl>
    <w:lvl w:ilvl="1" w:tplc="C7C2F198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FE803A30">
      <w:numFmt w:val="bullet"/>
      <w:lvlText w:val="•"/>
      <w:lvlJc w:val="left"/>
      <w:pPr>
        <w:ind w:left="2036" w:hanging="360"/>
      </w:pPr>
      <w:rPr>
        <w:rFonts w:hint="default"/>
        <w:lang w:val="cs-CZ" w:eastAsia="en-US" w:bidi="ar-SA"/>
      </w:rPr>
    </w:lvl>
    <w:lvl w:ilvl="3" w:tplc="8B56F02A">
      <w:numFmt w:val="bullet"/>
      <w:lvlText w:val="•"/>
      <w:lvlJc w:val="left"/>
      <w:pPr>
        <w:ind w:left="3112" w:hanging="360"/>
      </w:pPr>
      <w:rPr>
        <w:rFonts w:hint="default"/>
        <w:lang w:val="cs-CZ" w:eastAsia="en-US" w:bidi="ar-SA"/>
      </w:rPr>
    </w:lvl>
    <w:lvl w:ilvl="4" w:tplc="169E0B70">
      <w:numFmt w:val="bullet"/>
      <w:lvlText w:val="•"/>
      <w:lvlJc w:val="left"/>
      <w:pPr>
        <w:ind w:left="4188" w:hanging="360"/>
      </w:pPr>
      <w:rPr>
        <w:rFonts w:hint="default"/>
        <w:lang w:val="cs-CZ" w:eastAsia="en-US" w:bidi="ar-SA"/>
      </w:rPr>
    </w:lvl>
    <w:lvl w:ilvl="5" w:tplc="14601396">
      <w:numFmt w:val="bullet"/>
      <w:lvlText w:val="•"/>
      <w:lvlJc w:val="left"/>
      <w:pPr>
        <w:ind w:left="5264" w:hanging="360"/>
      </w:pPr>
      <w:rPr>
        <w:rFonts w:hint="default"/>
        <w:lang w:val="cs-CZ" w:eastAsia="en-US" w:bidi="ar-SA"/>
      </w:rPr>
    </w:lvl>
    <w:lvl w:ilvl="6" w:tplc="DD280AD8">
      <w:numFmt w:val="bullet"/>
      <w:lvlText w:val="•"/>
      <w:lvlJc w:val="left"/>
      <w:pPr>
        <w:ind w:left="6340" w:hanging="360"/>
      </w:pPr>
      <w:rPr>
        <w:rFonts w:hint="default"/>
        <w:lang w:val="cs-CZ" w:eastAsia="en-US" w:bidi="ar-SA"/>
      </w:rPr>
    </w:lvl>
    <w:lvl w:ilvl="7" w:tplc="4D80A8EE">
      <w:numFmt w:val="bullet"/>
      <w:lvlText w:val="•"/>
      <w:lvlJc w:val="left"/>
      <w:pPr>
        <w:ind w:left="7416" w:hanging="360"/>
      </w:pPr>
      <w:rPr>
        <w:rFonts w:hint="default"/>
        <w:lang w:val="cs-CZ" w:eastAsia="en-US" w:bidi="ar-SA"/>
      </w:rPr>
    </w:lvl>
    <w:lvl w:ilvl="8" w:tplc="2B76A56C">
      <w:numFmt w:val="bullet"/>
      <w:lvlText w:val="•"/>
      <w:lvlJc w:val="left"/>
      <w:pPr>
        <w:ind w:left="849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A6A5960"/>
    <w:multiLevelType w:val="hybridMultilevel"/>
    <w:tmpl w:val="1EB0A594"/>
    <w:lvl w:ilvl="0" w:tplc="A802E128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782A467C">
      <w:numFmt w:val="bullet"/>
      <w:lvlText w:val="•"/>
      <w:lvlJc w:val="left"/>
      <w:pPr>
        <w:ind w:left="1928" w:hanging="360"/>
      </w:pPr>
      <w:rPr>
        <w:rFonts w:hint="default"/>
        <w:lang w:val="cs-CZ" w:eastAsia="en-US" w:bidi="ar-SA"/>
      </w:rPr>
    </w:lvl>
    <w:lvl w:ilvl="2" w:tplc="791469B6">
      <w:numFmt w:val="bullet"/>
      <w:lvlText w:val="•"/>
      <w:lvlJc w:val="left"/>
      <w:pPr>
        <w:ind w:left="2896" w:hanging="360"/>
      </w:pPr>
      <w:rPr>
        <w:rFonts w:hint="default"/>
        <w:lang w:val="cs-CZ" w:eastAsia="en-US" w:bidi="ar-SA"/>
      </w:rPr>
    </w:lvl>
    <w:lvl w:ilvl="3" w:tplc="ED6846FE">
      <w:numFmt w:val="bullet"/>
      <w:lvlText w:val="•"/>
      <w:lvlJc w:val="left"/>
      <w:pPr>
        <w:ind w:left="3865" w:hanging="360"/>
      </w:pPr>
      <w:rPr>
        <w:rFonts w:hint="default"/>
        <w:lang w:val="cs-CZ" w:eastAsia="en-US" w:bidi="ar-SA"/>
      </w:rPr>
    </w:lvl>
    <w:lvl w:ilvl="4" w:tplc="F774CA86">
      <w:numFmt w:val="bullet"/>
      <w:lvlText w:val="•"/>
      <w:lvlJc w:val="left"/>
      <w:pPr>
        <w:ind w:left="4833" w:hanging="360"/>
      </w:pPr>
      <w:rPr>
        <w:rFonts w:hint="default"/>
        <w:lang w:val="cs-CZ" w:eastAsia="en-US" w:bidi="ar-SA"/>
      </w:rPr>
    </w:lvl>
    <w:lvl w:ilvl="5" w:tplc="2270ACCE">
      <w:numFmt w:val="bullet"/>
      <w:lvlText w:val="•"/>
      <w:lvlJc w:val="left"/>
      <w:pPr>
        <w:ind w:left="5802" w:hanging="360"/>
      </w:pPr>
      <w:rPr>
        <w:rFonts w:hint="default"/>
        <w:lang w:val="cs-CZ" w:eastAsia="en-US" w:bidi="ar-SA"/>
      </w:rPr>
    </w:lvl>
    <w:lvl w:ilvl="6" w:tplc="C9320F14">
      <w:numFmt w:val="bullet"/>
      <w:lvlText w:val="•"/>
      <w:lvlJc w:val="left"/>
      <w:pPr>
        <w:ind w:left="6770" w:hanging="360"/>
      </w:pPr>
      <w:rPr>
        <w:rFonts w:hint="default"/>
        <w:lang w:val="cs-CZ" w:eastAsia="en-US" w:bidi="ar-SA"/>
      </w:rPr>
    </w:lvl>
    <w:lvl w:ilvl="7" w:tplc="F828B4FC">
      <w:numFmt w:val="bullet"/>
      <w:lvlText w:val="•"/>
      <w:lvlJc w:val="left"/>
      <w:pPr>
        <w:ind w:left="7739" w:hanging="360"/>
      </w:pPr>
      <w:rPr>
        <w:rFonts w:hint="default"/>
        <w:lang w:val="cs-CZ" w:eastAsia="en-US" w:bidi="ar-SA"/>
      </w:rPr>
    </w:lvl>
    <w:lvl w:ilvl="8" w:tplc="DE2838D8">
      <w:numFmt w:val="bullet"/>
      <w:lvlText w:val="•"/>
      <w:lvlJc w:val="left"/>
      <w:pPr>
        <w:ind w:left="870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2F8E0BF6"/>
    <w:multiLevelType w:val="hybridMultilevel"/>
    <w:tmpl w:val="06F2BBB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9536E28"/>
    <w:multiLevelType w:val="hybridMultilevel"/>
    <w:tmpl w:val="919461CE"/>
    <w:lvl w:ilvl="0" w:tplc="B8CE4BDA">
      <w:numFmt w:val="bullet"/>
      <w:lvlText w:val="–"/>
      <w:lvlJc w:val="left"/>
      <w:pPr>
        <w:ind w:left="310" w:hanging="232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7A3AAA26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E488D8E0">
      <w:numFmt w:val="bullet"/>
      <w:lvlText w:val="•"/>
      <w:lvlJc w:val="left"/>
      <w:pPr>
        <w:ind w:left="1395" w:hanging="360"/>
      </w:pPr>
      <w:rPr>
        <w:rFonts w:hint="default"/>
        <w:lang w:val="cs-CZ" w:eastAsia="en-US" w:bidi="ar-SA"/>
      </w:rPr>
    </w:lvl>
    <w:lvl w:ilvl="3" w:tplc="BEB81EE8">
      <w:numFmt w:val="bullet"/>
      <w:lvlText w:val="•"/>
      <w:lvlJc w:val="left"/>
      <w:pPr>
        <w:ind w:left="1831" w:hanging="360"/>
      </w:pPr>
      <w:rPr>
        <w:rFonts w:hint="default"/>
        <w:lang w:val="cs-CZ" w:eastAsia="en-US" w:bidi="ar-SA"/>
      </w:rPr>
    </w:lvl>
    <w:lvl w:ilvl="4" w:tplc="08F04644">
      <w:numFmt w:val="bullet"/>
      <w:lvlText w:val="•"/>
      <w:lvlJc w:val="left"/>
      <w:pPr>
        <w:ind w:left="2266" w:hanging="360"/>
      </w:pPr>
      <w:rPr>
        <w:rFonts w:hint="default"/>
        <w:lang w:val="cs-CZ" w:eastAsia="en-US" w:bidi="ar-SA"/>
      </w:rPr>
    </w:lvl>
    <w:lvl w:ilvl="5" w:tplc="2116C2C4">
      <w:numFmt w:val="bullet"/>
      <w:lvlText w:val="•"/>
      <w:lvlJc w:val="left"/>
      <w:pPr>
        <w:ind w:left="2702" w:hanging="360"/>
      </w:pPr>
      <w:rPr>
        <w:rFonts w:hint="default"/>
        <w:lang w:val="cs-CZ" w:eastAsia="en-US" w:bidi="ar-SA"/>
      </w:rPr>
    </w:lvl>
    <w:lvl w:ilvl="6" w:tplc="76A87818">
      <w:numFmt w:val="bullet"/>
      <w:lvlText w:val="•"/>
      <w:lvlJc w:val="left"/>
      <w:pPr>
        <w:ind w:left="3137" w:hanging="360"/>
      </w:pPr>
      <w:rPr>
        <w:rFonts w:hint="default"/>
        <w:lang w:val="cs-CZ" w:eastAsia="en-US" w:bidi="ar-SA"/>
      </w:rPr>
    </w:lvl>
    <w:lvl w:ilvl="7" w:tplc="A4E8084A">
      <w:numFmt w:val="bullet"/>
      <w:lvlText w:val="•"/>
      <w:lvlJc w:val="left"/>
      <w:pPr>
        <w:ind w:left="3573" w:hanging="360"/>
      </w:pPr>
      <w:rPr>
        <w:rFonts w:hint="default"/>
        <w:lang w:val="cs-CZ" w:eastAsia="en-US" w:bidi="ar-SA"/>
      </w:rPr>
    </w:lvl>
    <w:lvl w:ilvl="8" w:tplc="6F56D562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D8C6592"/>
    <w:multiLevelType w:val="hybridMultilevel"/>
    <w:tmpl w:val="DF1E0A36"/>
    <w:lvl w:ilvl="0" w:tplc="3AAE8D64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BCD6F5C4">
      <w:numFmt w:val="bullet"/>
      <w:lvlText w:val="•"/>
      <w:lvlJc w:val="left"/>
      <w:pPr>
        <w:ind w:left="1928" w:hanging="360"/>
      </w:pPr>
      <w:rPr>
        <w:rFonts w:hint="default"/>
        <w:lang w:val="cs-CZ" w:eastAsia="en-US" w:bidi="ar-SA"/>
      </w:rPr>
    </w:lvl>
    <w:lvl w:ilvl="2" w:tplc="1F881602">
      <w:numFmt w:val="bullet"/>
      <w:lvlText w:val="•"/>
      <w:lvlJc w:val="left"/>
      <w:pPr>
        <w:ind w:left="2896" w:hanging="360"/>
      </w:pPr>
      <w:rPr>
        <w:rFonts w:hint="default"/>
        <w:lang w:val="cs-CZ" w:eastAsia="en-US" w:bidi="ar-SA"/>
      </w:rPr>
    </w:lvl>
    <w:lvl w:ilvl="3" w:tplc="8DA2E762">
      <w:numFmt w:val="bullet"/>
      <w:lvlText w:val="•"/>
      <w:lvlJc w:val="left"/>
      <w:pPr>
        <w:ind w:left="3865" w:hanging="360"/>
      </w:pPr>
      <w:rPr>
        <w:rFonts w:hint="default"/>
        <w:lang w:val="cs-CZ" w:eastAsia="en-US" w:bidi="ar-SA"/>
      </w:rPr>
    </w:lvl>
    <w:lvl w:ilvl="4" w:tplc="549E8F9E">
      <w:numFmt w:val="bullet"/>
      <w:lvlText w:val="•"/>
      <w:lvlJc w:val="left"/>
      <w:pPr>
        <w:ind w:left="4833" w:hanging="360"/>
      </w:pPr>
      <w:rPr>
        <w:rFonts w:hint="default"/>
        <w:lang w:val="cs-CZ" w:eastAsia="en-US" w:bidi="ar-SA"/>
      </w:rPr>
    </w:lvl>
    <w:lvl w:ilvl="5" w:tplc="2F10DF98">
      <w:numFmt w:val="bullet"/>
      <w:lvlText w:val="•"/>
      <w:lvlJc w:val="left"/>
      <w:pPr>
        <w:ind w:left="5802" w:hanging="360"/>
      </w:pPr>
      <w:rPr>
        <w:rFonts w:hint="default"/>
        <w:lang w:val="cs-CZ" w:eastAsia="en-US" w:bidi="ar-SA"/>
      </w:rPr>
    </w:lvl>
    <w:lvl w:ilvl="6" w:tplc="60F86776">
      <w:numFmt w:val="bullet"/>
      <w:lvlText w:val="•"/>
      <w:lvlJc w:val="left"/>
      <w:pPr>
        <w:ind w:left="6770" w:hanging="360"/>
      </w:pPr>
      <w:rPr>
        <w:rFonts w:hint="default"/>
        <w:lang w:val="cs-CZ" w:eastAsia="en-US" w:bidi="ar-SA"/>
      </w:rPr>
    </w:lvl>
    <w:lvl w:ilvl="7" w:tplc="8E9A215C">
      <w:numFmt w:val="bullet"/>
      <w:lvlText w:val="•"/>
      <w:lvlJc w:val="left"/>
      <w:pPr>
        <w:ind w:left="7739" w:hanging="360"/>
      </w:pPr>
      <w:rPr>
        <w:rFonts w:hint="default"/>
        <w:lang w:val="cs-CZ" w:eastAsia="en-US" w:bidi="ar-SA"/>
      </w:rPr>
    </w:lvl>
    <w:lvl w:ilvl="8" w:tplc="467C7C84">
      <w:numFmt w:val="bullet"/>
      <w:lvlText w:val="•"/>
      <w:lvlJc w:val="left"/>
      <w:pPr>
        <w:ind w:left="8707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07878DC"/>
    <w:multiLevelType w:val="hybridMultilevel"/>
    <w:tmpl w:val="D01C3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510B"/>
    <w:multiLevelType w:val="hybridMultilevel"/>
    <w:tmpl w:val="7F22DAC2"/>
    <w:lvl w:ilvl="0" w:tplc="FAF6501A">
      <w:numFmt w:val="bullet"/>
      <w:lvlText w:val="•"/>
      <w:lvlJc w:val="left"/>
      <w:pPr>
        <w:ind w:left="1320" w:hanging="9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70BAF"/>
    <w:multiLevelType w:val="hybridMultilevel"/>
    <w:tmpl w:val="351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A1FEE"/>
    <w:multiLevelType w:val="hybridMultilevel"/>
    <w:tmpl w:val="B3928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22AD7"/>
    <w:multiLevelType w:val="hybridMultilevel"/>
    <w:tmpl w:val="4ED24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A030B"/>
    <w:multiLevelType w:val="hybridMultilevel"/>
    <w:tmpl w:val="F9EC5F5E"/>
    <w:lvl w:ilvl="0" w:tplc="60727C7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9087F"/>
    <w:multiLevelType w:val="hybridMultilevel"/>
    <w:tmpl w:val="12C205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CF5093C"/>
    <w:multiLevelType w:val="hybridMultilevel"/>
    <w:tmpl w:val="3ABC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E3C9F"/>
    <w:multiLevelType w:val="hybridMultilevel"/>
    <w:tmpl w:val="CECE66EA"/>
    <w:lvl w:ilvl="0" w:tplc="FAF6501A">
      <w:numFmt w:val="bullet"/>
      <w:lvlText w:val="•"/>
      <w:lvlJc w:val="left"/>
      <w:pPr>
        <w:ind w:left="1320" w:hanging="9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8"/>
  </w:num>
  <w:num w:numId="6">
    <w:abstractNumId w:val="13"/>
  </w:num>
  <w:num w:numId="7">
    <w:abstractNumId w:val="4"/>
  </w:num>
  <w:num w:numId="8">
    <w:abstractNumId w:val="15"/>
  </w:num>
  <w:num w:numId="9">
    <w:abstractNumId w:val="14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F"/>
    <w:rsid w:val="00012C43"/>
    <w:rsid w:val="0003768F"/>
    <w:rsid w:val="00082D87"/>
    <w:rsid w:val="000961D2"/>
    <w:rsid w:val="000B6A88"/>
    <w:rsid w:val="000D281B"/>
    <w:rsid w:val="000E2C1F"/>
    <w:rsid w:val="001C2322"/>
    <w:rsid w:val="002234CB"/>
    <w:rsid w:val="00226BBC"/>
    <w:rsid w:val="00236166"/>
    <w:rsid w:val="00311557"/>
    <w:rsid w:val="00384C18"/>
    <w:rsid w:val="003E578B"/>
    <w:rsid w:val="00476AFB"/>
    <w:rsid w:val="0052102D"/>
    <w:rsid w:val="005907E6"/>
    <w:rsid w:val="005978BC"/>
    <w:rsid w:val="005A1C5A"/>
    <w:rsid w:val="00637B7C"/>
    <w:rsid w:val="006C5FAA"/>
    <w:rsid w:val="006F09E3"/>
    <w:rsid w:val="007B1EB9"/>
    <w:rsid w:val="0089488D"/>
    <w:rsid w:val="0094070A"/>
    <w:rsid w:val="00974B58"/>
    <w:rsid w:val="009A3B2C"/>
    <w:rsid w:val="009C6D62"/>
    <w:rsid w:val="00A02985"/>
    <w:rsid w:val="00A81D18"/>
    <w:rsid w:val="00AC5D8A"/>
    <w:rsid w:val="00AF7C6A"/>
    <w:rsid w:val="00B86BA1"/>
    <w:rsid w:val="00C67DDA"/>
    <w:rsid w:val="00D07AE6"/>
    <w:rsid w:val="00D27504"/>
    <w:rsid w:val="00DC6F4D"/>
    <w:rsid w:val="00E70A9C"/>
    <w:rsid w:val="00E8089B"/>
    <w:rsid w:val="00F01E8E"/>
    <w:rsid w:val="00F86DEF"/>
    <w:rsid w:val="00FC71BC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C10A"/>
  <w15:docId w15:val="{21AB3EF6-4C39-4ABC-A27F-90AEB4A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C5F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0E2C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2C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1"/>
    <w:qFormat/>
    <w:rsid w:val="006C5FAA"/>
    <w:pPr>
      <w:ind w:left="260"/>
      <w:outlineLvl w:val="2"/>
    </w:pPr>
    <w:rPr>
      <w:b/>
      <w:bCs/>
    </w:rPr>
  </w:style>
  <w:style w:type="paragraph" w:styleId="Nadpis4">
    <w:name w:val="heading 4"/>
    <w:basedOn w:val="Normln"/>
    <w:link w:val="Nadpis4Char"/>
    <w:uiPriority w:val="1"/>
    <w:qFormat/>
    <w:rsid w:val="006C5FAA"/>
    <w:pPr>
      <w:spacing w:before="120"/>
      <w:ind w:left="26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1"/>
    <w:rsid w:val="006C5FAA"/>
    <w:rPr>
      <w:rFonts w:ascii="Cambria" w:eastAsia="Cambria" w:hAnsi="Cambria" w:cs="Cambria"/>
      <w:b/>
      <w:bCs/>
    </w:rPr>
  </w:style>
  <w:style w:type="character" w:customStyle="1" w:styleId="Nadpis4Char">
    <w:name w:val="Nadpis 4 Char"/>
    <w:basedOn w:val="Standardnpsmoodstavce"/>
    <w:link w:val="Nadpis4"/>
    <w:uiPriority w:val="1"/>
    <w:rsid w:val="006C5FAA"/>
    <w:rPr>
      <w:rFonts w:ascii="Cambria" w:eastAsia="Cambria" w:hAnsi="Cambria" w:cs="Cambria"/>
      <w:b/>
      <w:bCs/>
      <w:i/>
      <w:iCs/>
    </w:rPr>
  </w:style>
  <w:style w:type="paragraph" w:styleId="Zkladntext">
    <w:name w:val="Body Text"/>
    <w:basedOn w:val="Normln"/>
    <w:link w:val="ZkladntextChar"/>
    <w:uiPriority w:val="1"/>
    <w:qFormat/>
    <w:rsid w:val="006C5FAA"/>
    <w:pPr>
      <w:ind w:left="26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6C5FAA"/>
    <w:rPr>
      <w:rFonts w:ascii="Cambria" w:eastAsia="Cambria" w:hAnsi="Cambria" w:cs="Cambria"/>
    </w:rPr>
  </w:style>
  <w:style w:type="paragraph" w:styleId="Odstavecseseznamem">
    <w:name w:val="List Paragraph"/>
    <w:basedOn w:val="Normln"/>
    <w:link w:val="OdstavecseseznamemChar"/>
    <w:uiPriority w:val="34"/>
    <w:qFormat/>
    <w:rsid w:val="006C5FAA"/>
    <w:pPr>
      <w:ind w:left="958" w:hanging="360"/>
    </w:pPr>
  </w:style>
  <w:style w:type="character" w:customStyle="1" w:styleId="Nadpis1Char">
    <w:name w:val="Nadpis 1 Char"/>
    <w:basedOn w:val="Standardnpsmoodstavce"/>
    <w:link w:val="Nadpis1"/>
    <w:uiPriority w:val="9"/>
    <w:rsid w:val="000E2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2C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E2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C1F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0E2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C1F"/>
    <w:rPr>
      <w:rFonts w:ascii="Cambria" w:eastAsia="Cambria" w:hAnsi="Cambria" w:cs="Cambria"/>
    </w:rPr>
  </w:style>
  <w:style w:type="character" w:customStyle="1" w:styleId="OdstavecseseznamemChar">
    <w:name w:val="Odstavec se seznamem Char"/>
    <w:link w:val="Odstavecseseznamem"/>
    <w:uiPriority w:val="34"/>
    <w:locked/>
    <w:rsid w:val="005907E6"/>
    <w:rPr>
      <w:rFonts w:ascii="Cambria" w:eastAsia="Cambria" w:hAnsi="Cambria" w:cs="Cambria"/>
    </w:rPr>
  </w:style>
  <w:style w:type="table" w:styleId="Mkatabulky">
    <w:name w:val="Table Grid"/>
    <w:basedOn w:val="Normlntabulka"/>
    <w:uiPriority w:val="39"/>
    <w:rsid w:val="002361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120DB587B7C4888BB9B58DFA7C263" ma:contentTypeVersion="9" ma:contentTypeDescription="Vytvoří nový dokument" ma:contentTypeScope="" ma:versionID="b7225de3b493724e4d14927d360a10eb">
  <xsd:schema xmlns:xsd="http://www.w3.org/2001/XMLSchema" xmlns:xs="http://www.w3.org/2001/XMLSchema" xmlns:p="http://schemas.microsoft.com/office/2006/metadata/properties" xmlns:ns3="083449f0-b131-40f4-bc96-b1b335428078" targetNamespace="http://schemas.microsoft.com/office/2006/metadata/properties" ma:root="true" ma:fieldsID="3478dd5b8df6bbefb554bffc199b32cb" ns3:_="">
    <xsd:import namespace="083449f0-b131-40f4-bc96-b1b33542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49f0-b131-40f4-bc96-b1b335428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807D9-4010-46EE-B361-B2C9398B33D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83449f0-b131-40f4-bc96-b1b335428078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751DBD-72B0-425A-9180-2343FF0FF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691F8-67A9-48B8-88AE-46097A09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49f0-b131-40f4-bc96-b1b33542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2309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Kubišová Miriam</dc:creator>
  <cp:lastModifiedBy>Kubišová Miriam</cp:lastModifiedBy>
  <cp:revision>6</cp:revision>
  <dcterms:created xsi:type="dcterms:W3CDTF">2023-05-09T08:12:00Z</dcterms:created>
  <dcterms:modified xsi:type="dcterms:W3CDTF">2023-06-26T13:35:00Z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0x010100D6C120DB587B7C4888BB9B58DFA7C263</vt:lpwstr>
  </property>
</Properties>
</file>