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4EBC1" w14:textId="77777777" w:rsidR="00E028FD" w:rsidRPr="00E028FD" w:rsidRDefault="00E028FD" w:rsidP="00E028FD"/>
    <w:p w14:paraId="54B52E2B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45B90668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66379500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7D5C1D4D" w14:textId="77777777" w:rsidR="00C87036" w:rsidRPr="00C87036" w:rsidRDefault="00C87036" w:rsidP="00C87036"/>
    <w:p w14:paraId="51DD2049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2B2C808A" w14:textId="4E7E0AA9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proofErr w:type="gramStart"/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proofErr w:type="gramEnd"/>
      <w:r w:rsidR="0006754D">
        <w:rPr>
          <w:rFonts w:ascii="Calibri" w:hAnsi="Calibri"/>
          <w:sz w:val="22"/>
          <w:szCs w:val="22"/>
        </w:rPr>
        <w:t>Ocelářská 1354/35</w:t>
      </w:r>
      <w:r w:rsidR="008421C4">
        <w:rPr>
          <w:rFonts w:ascii="Calibri" w:hAnsi="Calibri"/>
          <w:sz w:val="22"/>
          <w:szCs w:val="22"/>
        </w:rPr>
        <w:t xml:space="preserve">, Praha </w:t>
      </w:r>
      <w:r w:rsidR="0006754D">
        <w:rPr>
          <w:rFonts w:ascii="Calibri" w:hAnsi="Calibri"/>
          <w:sz w:val="22"/>
          <w:szCs w:val="22"/>
        </w:rPr>
        <w:t>9</w:t>
      </w:r>
      <w:r w:rsidR="008421C4">
        <w:rPr>
          <w:rFonts w:ascii="Calibri" w:hAnsi="Calibri"/>
          <w:sz w:val="22"/>
          <w:szCs w:val="22"/>
        </w:rPr>
        <w:t>, PSČ 1</w:t>
      </w:r>
      <w:r w:rsidR="0006754D">
        <w:rPr>
          <w:rFonts w:ascii="Calibri" w:hAnsi="Calibri"/>
          <w:sz w:val="22"/>
          <w:szCs w:val="22"/>
        </w:rPr>
        <w:t>90</w:t>
      </w:r>
      <w:r w:rsidR="008421C4">
        <w:rPr>
          <w:rFonts w:ascii="Calibri" w:hAnsi="Calibri"/>
          <w:sz w:val="22"/>
          <w:szCs w:val="22"/>
        </w:rPr>
        <w:t xml:space="preserve"> 00</w:t>
      </w:r>
    </w:p>
    <w:p w14:paraId="654BF6D0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>zapsaná v </w:t>
      </w:r>
      <w:proofErr w:type="gramStart"/>
      <w:r w:rsidRPr="00F34C7B">
        <w:rPr>
          <w:rFonts w:ascii="Calibri" w:eastAsia="Batang" w:hAnsi="Calibri"/>
          <w:sz w:val="22"/>
          <w:szCs w:val="22"/>
        </w:rPr>
        <w:t xml:space="preserve">OR:   </w:t>
      </w:r>
      <w:proofErr w:type="gramEnd"/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2E486ABF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proofErr w:type="gramStart"/>
      <w:r w:rsidRPr="00F34C7B">
        <w:rPr>
          <w:rFonts w:ascii="Calibri" w:hAnsi="Calibri"/>
          <w:sz w:val="22"/>
          <w:szCs w:val="22"/>
        </w:rPr>
        <w:t xml:space="preserve">IČ:   </w:t>
      </w:r>
      <w:proofErr w:type="gramEnd"/>
      <w:r w:rsidRPr="00F34C7B">
        <w:rPr>
          <w:rFonts w:ascii="Calibri" w:hAnsi="Calibri"/>
          <w:sz w:val="22"/>
          <w:szCs w:val="22"/>
        </w:rPr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2B33EB6B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505B587B" w14:textId="471E895B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Zastoupen</w:t>
      </w:r>
      <w:r w:rsidR="00A05211">
        <w:rPr>
          <w:rFonts w:ascii="Calibri" w:hAnsi="Calibri"/>
          <w:sz w:val="22"/>
          <w:szCs w:val="22"/>
        </w:rPr>
        <w:t>á</w:t>
      </w:r>
      <w:r w:rsidRPr="00F34C7B">
        <w:rPr>
          <w:rFonts w:ascii="Calibri" w:hAnsi="Calibri"/>
          <w:sz w:val="22"/>
          <w:szCs w:val="22"/>
        </w:rPr>
        <w:t xml:space="preserve">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</w:r>
      <w:proofErr w:type="spellStart"/>
      <w:r w:rsidR="001F0EBB">
        <w:rPr>
          <w:rFonts w:ascii="Calibri" w:hAnsi="Calibri"/>
          <w:sz w:val="22"/>
          <w:szCs w:val="22"/>
        </w:rPr>
        <w:t>xxx</w:t>
      </w:r>
      <w:proofErr w:type="spellEnd"/>
      <w:r w:rsidRPr="00F34C7B">
        <w:rPr>
          <w:rFonts w:ascii="Calibri" w:hAnsi="Calibri"/>
          <w:sz w:val="22"/>
          <w:szCs w:val="22"/>
        </w:rPr>
        <w:t>, jednatel</w:t>
      </w:r>
      <w:r w:rsidR="00A05211">
        <w:rPr>
          <w:rFonts w:ascii="Calibri" w:hAnsi="Calibri"/>
          <w:sz w:val="22"/>
          <w:szCs w:val="22"/>
        </w:rPr>
        <w:t>ka</w:t>
      </w:r>
    </w:p>
    <w:p w14:paraId="5B5E58F3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4D875332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5B8F74BD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297E4CC1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6D5356A3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6B71E9EA" w14:textId="1E5A7DA5" w:rsidR="007328CA" w:rsidRPr="00930EF6" w:rsidRDefault="00884609" w:rsidP="004010A4">
      <w:pPr>
        <w:jc w:val="both"/>
        <w:rPr>
          <w:rFonts w:ascii="Calibri" w:hAnsi="Calibri"/>
          <w:sz w:val="22"/>
          <w:szCs w:val="22"/>
        </w:rPr>
      </w:pPr>
      <w:r w:rsidRPr="00930EF6"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Ústav molekulární genetiky AV ČR, v. v. i."/>
            </w:textInput>
          </w:ffData>
        </w:fldChar>
      </w:r>
      <w:r w:rsidRPr="00930EF6">
        <w:rPr>
          <w:rFonts w:ascii="Calibri" w:hAnsi="Calibri"/>
          <w:b/>
          <w:sz w:val="22"/>
          <w:szCs w:val="22"/>
        </w:rPr>
        <w:instrText xml:space="preserve"> FORMTEXT </w:instrText>
      </w:r>
      <w:r w:rsidRPr="00930EF6">
        <w:rPr>
          <w:rFonts w:ascii="Calibri" w:hAnsi="Calibri"/>
          <w:b/>
          <w:sz w:val="22"/>
          <w:szCs w:val="22"/>
        </w:rPr>
      </w:r>
      <w:r w:rsidRPr="00930EF6">
        <w:rPr>
          <w:rFonts w:ascii="Calibri" w:hAnsi="Calibri"/>
          <w:b/>
          <w:sz w:val="22"/>
          <w:szCs w:val="22"/>
        </w:rPr>
        <w:fldChar w:fldCharType="separate"/>
      </w:r>
      <w:r w:rsidRPr="00930EF6">
        <w:rPr>
          <w:rFonts w:ascii="Calibri" w:hAnsi="Calibri"/>
          <w:b/>
          <w:noProof/>
          <w:sz w:val="22"/>
          <w:szCs w:val="22"/>
        </w:rPr>
        <w:t>Ústav molekulární genetiky AV ČR, v. v. i.</w:t>
      </w:r>
      <w:r w:rsidRPr="00930EF6">
        <w:rPr>
          <w:rFonts w:ascii="Calibri" w:hAnsi="Calibri"/>
          <w:b/>
          <w:sz w:val="22"/>
          <w:szCs w:val="22"/>
        </w:rPr>
        <w:fldChar w:fldCharType="end"/>
      </w:r>
      <w:r w:rsidR="007328CA" w:rsidRPr="00930EF6">
        <w:rPr>
          <w:rFonts w:ascii="Calibri" w:hAnsi="Calibri"/>
          <w:b/>
          <w:sz w:val="22"/>
          <w:szCs w:val="22"/>
        </w:rPr>
        <w:t xml:space="preserve">, </w:t>
      </w:r>
      <w:r w:rsidR="007328CA" w:rsidRPr="00930EF6">
        <w:rPr>
          <w:rFonts w:ascii="Calibri" w:hAnsi="Calibri"/>
          <w:sz w:val="22"/>
          <w:szCs w:val="22"/>
        </w:rPr>
        <w:t xml:space="preserve"> </w:t>
      </w:r>
    </w:p>
    <w:p w14:paraId="0921240A" w14:textId="7F04EFF4" w:rsidR="008658F8" w:rsidRPr="00930EF6" w:rsidRDefault="007328CA" w:rsidP="004010A4">
      <w:pPr>
        <w:jc w:val="both"/>
        <w:rPr>
          <w:rFonts w:ascii="Calibri" w:hAnsi="Calibri"/>
          <w:sz w:val="22"/>
          <w:szCs w:val="22"/>
        </w:rPr>
      </w:pPr>
      <w:r w:rsidRPr="00930EF6">
        <w:rPr>
          <w:rFonts w:ascii="Calibri" w:hAnsi="Calibri"/>
          <w:sz w:val="22"/>
          <w:szCs w:val="22"/>
        </w:rPr>
        <w:t xml:space="preserve">Se </w:t>
      </w:r>
      <w:proofErr w:type="gramStart"/>
      <w:r w:rsidR="00EF1525" w:rsidRPr="00930EF6">
        <w:rPr>
          <w:rFonts w:ascii="Calibri" w:hAnsi="Calibri"/>
          <w:bCs/>
          <w:sz w:val="22"/>
          <w:szCs w:val="22"/>
        </w:rPr>
        <w:t xml:space="preserve">sídlem:   </w:t>
      </w:r>
      <w:proofErr w:type="gramEnd"/>
      <w:r w:rsidR="00EF1525" w:rsidRPr="00930EF6">
        <w:rPr>
          <w:rFonts w:ascii="Calibri" w:hAnsi="Calibri"/>
          <w:bCs/>
          <w:sz w:val="22"/>
          <w:szCs w:val="22"/>
        </w:rPr>
        <w:t xml:space="preserve">        </w:t>
      </w:r>
      <w:r w:rsidR="00EF1525" w:rsidRPr="00930EF6">
        <w:rPr>
          <w:rFonts w:ascii="Calibri" w:hAnsi="Calibri"/>
          <w:bCs/>
          <w:sz w:val="22"/>
          <w:szCs w:val="22"/>
        </w:rPr>
        <w:tab/>
      </w:r>
      <w:r w:rsidR="00884609" w:rsidRPr="00930EF6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ídeňská 1083, 142 20  Praha 4"/>
            </w:textInput>
          </w:ffData>
        </w:fldChar>
      </w:r>
      <w:r w:rsidR="00884609" w:rsidRPr="00930EF6">
        <w:rPr>
          <w:rFonts w:ascii="Calibri" w:hAnsi="Calibri"/>
          <w:sz w:val="22"/>
          <w:szCs w:val="22"/>
        </w:rPr>
        <w:instrText xml:space="preserve"> FORMTEXT </w:instrText>
      </w:r>
      <w:r w:rsidR="00884609" w:rsidRPr="00930EF6">
        <w:rPr>
          <w:rFonts w:ascii="Calibri" w:hAnsi="Calibri"/>
          <w:sz w:val="22"/>
          <w:szCs w:val="22"/>
        </w:rPr>
      </w:r>
      <w:r w:rsidR="00884609" w:rsidRPr="00930EF6">
        <w:rPr>
          <w:rFonts w:ascii="Calibri" w:hAnsi="Calibri"/>
          <w:sz w:val="22"/>
          <w:szCs w:val="22"/>
        </w:rPr>
        <w:fldChar w:fldCharType="separate"/>
      </w:r>
      <w:r w:rsidR="00884609" w:rsidRPr="00930EF6">
        <w:rPr>
          <w:rFonts w:ascii="Calibri" w:hAnsi="Calibri"/>
          <w:noProof/>
          <w:sz w:val="22"/>
          <w:szCs w:val="22"/>
        </w:rPr>
        <w:t>Vídeňská 1083, 142 20  Praha 4</w:t>
      </w:r>
      <w:r w:rsidR="00884609" w:rsidRPr="00930EF6">
        <w:rPr>
          <w:rFonts w:ascii="Calibri" w:hAnsi="Calibri"/>
          <w:sz w:val="22"/>
          <w:szCs w:val="22"/>
        </w:rPr>
        <w:fldChar w:fldCharType="end"/>
      </w:r>
    </w:p>
    <w:p w14:paraId="5770569E" w14:textId="0AC42BE0" w:rsidR="00BA7E87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930EF6">
        <w:rPr>
          <w:rFonts w:ascii="Calibri" w:hAnsi="Calibri"/>
          <w:bCs/>
          <w:sz w:val="22"/>
          <w:szCs w:val="22"/>
        </w:rPr>
        <w:t xml:space="preserve">IČ: </w:t>
      </w:r>
      <w:r w:rsidR="00BA7E87" w:rsidRPr="00930EF6">
        <w:rPr>
          <w:rFonts w:ascii="Calibri" w:hAnsi="Calibri"/>
          <w:bCs/>
          <w:sz w:val="22"/>
          <w:szCs w:val="22"/>
        </w:rPr>
        <w:tab/>
      </w:r>
      <w:r w:rsidR="00BA7E87" w:rsidRPr="00930EF6">
        <w:rPr>
          <w:rFonts w:ascii="Calibri" w:hAnsi="Calibri"/>
          <w:bCs/>
          <w:sz w:val="22"/>
          <w:szCs w:val="22"/>
        </w:rPr>
        <w:tab/>
      </w:r>
      <w:r w:rsidR="00BA7E87" w:rsidRPr="00930EF6">
        <w:rPr>
          <w:rFonts w:ascii="Calibri" w:hAnsi="Calibri"/>
          <w:bCs/>
          <w:sz w:val="22"/>
          <w:szCs w:val="22"/>
        </w:rPr>
        <w:tab/>
      </w:r>
      <w:r w:rsidR="00884609" w:rsidRPr="00930EF6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8378050"/>
            </w:textInput>
          </w:ffData>
        </w:fldChar>
      </w:r>
      <w:r w:rsidR="00884609" w:rsidRPr="00930EF6">
        <w:rPr>
          <w:rFonts w:ascii="Calibri" w:hAnsi="Calibri"/>
          <w:sz w:val="22"/>
          <w:szCs w:val="22"/>
        </w:rPr>
        <w:instrText xml:space="preserve"> FORMTEXT </w:instrText>
      </w:r>
      <w:r w:rsidR="00884609" w:rsidRPr="00930EF6">
        <w:rPr>
          <w:rFonts w:ascii="Calibri" w:hAnsi="Calibri"/>
          <w:sz w:val="22"/>
          <w:szCs w:val="22"/>
        </w:rPr>
      </w:r>
      <w:r w:rsidR="00884609" w:rsidRPr="00930EF6">
        <w:rPr>
          <w:rFonts w:ascii="Calibri" w:hAnsi="Calibri"/>
          <w:sz w:val="22"/>
          <w:szCs w:val="22"/>
        </w:rPr>
        <w:fldChar w:fldCharType="separate"/>
      </w:r>
      <w:r w:rsidR="00884609" w:rsidRPr="00930EF6">
        <w:rPr>
          <w:rFonts w:ascii="Calibri" w:hAnsi="Calibri"/>
          <w:noProof/>
          <w:sz w:val="22"/>
          <w:szCs w:val="22"/>
        </w:rPr>
        <w:t>68378050</w:t>
      </w:r>
      <w:r w:rsidR="00884609" w:rsidRPr="00930EF6">
        <w:rPr>
          <w:rFonts w:ascii="Calibri" w:hAnsi="Calibri"/>
          <w:sz w:val="22"/>
          <w:szCs w:val="22"/>
        </w:rPr>
        <w:fldChar w:fldCharType="end"/>
      </w:r>
    </w:p>
    <w:p w14:paraId="7C5BC6B4" w14:textId="35CAB9A0" w:rsidR="00884609" w:rsidRPr="00884609" w:rsidRDefault="00884609" w:rsidP="004010A4">
      <w:pPr>
        <w:jc w:val="both"/>
        <w:rPr>
          <w:rFonts w:ascii="Calibri" w:hAnsi="Calibri"/>
          <w:sz w:val="22"/>
          <w:szCs w:val="22"/>
        </w:rPr>
      </w:pPr>
      <w:r w:rsidRPr="00884609"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84609">
        <w:rPr>
          <w:rFonts w:ascii="Calibri" w:hAnsi="Calibri"/>
          <w:sz w:val="22"/>
          <w:szCs w:val="22"/>
        </w:rPr>
        <w:t>CZ68378050</w:t>
      </w:r>
    </w:p>
    <w:p w14:paraId="7FC1BBE1" w14:textId="7A2CC764" w:rsidR="00884609" w:rsidRPr="00884609" w:rsidRDefault="00EF1525" w:rsidP="00884609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Zastoupená </w:t>
      </w:r>
      <w:proofErr w:type="gramStart"/>
      <w:r w:rsidRPr="00F34C7B">
        <w:rPr>
          <w:rFonts w:ascii="Calibri" w:hAnsi="Calibri"/>
          <w:bCs/>
          <w:sz w:val="22"/>
          <w:szCs w:val="22"/>
        </w:rPr>
        <w:tab/>
        <w:t xml:space="preserve">  </w:t>
      </w:r>
      <w:r w:rsidRPr="00F34C7B">
        <w:rPr>
          <w:rFonts w:ascii="Calibri" w:hAnsi="Calibri"/>
          <w:bCs/>
          <w:sz w:val="22"/>
          <w:szCs w:val="22"/>
        </w:rPr>
        <w:tab/>
      </w:r>
      <w:proofErr w:type="gramEnd"/>
      <w:r w:rsidR="00884609" w:rsidRPr="00884609">
        <w:rPr>
          <w:rFonts w:ascii="Calibri" w:hAnsi="Calibri"/>
          <w:sz w:val="22"/>
          <w:szCs w:val="22"/>
        </w:rPr>
        <w:t xml:space="preserve">RNDr. Petr </w:t>
      </w:r>
      <w:proofErr w:type="spellStart"/>
      <w:r w:rsidR="00884609" w:rsidRPr="00884609">
        <w:rPr>
          <w:rFonts w:ascii="Calibri" w:hAnsi="Calibri"/>
          <w:sz w:val="22"/>
          <w:szCs w:val="22"/>
        </w:rPr>
        <w:t>Dráber</w:t>
      </w:r>
      <w:proofErr w:type="spellEnd"/>
      <w:r w:rsidR="00884609" w:rsidRPr="00884609">
        <w:rPr>
          <w:rFonts w:ascii="Calibri" w:hAnsi="Calibri"/>
          <w:sz w:val="22"/>
          <w:szCs w:val="22"/>
        </w:rPr>
        <w:t>, DrSc.</w:t>
      </w:r>
      <w:r w:rsidR="00884609">
        <w:rPr>
          <w:rFonts w:ascii="Calibri" w:hAnsi="Calibri"/>
          <w:sz w:val="22"/>
          <w:szCs w:val="22"/>
        </w:rPr>
        <w:t xml:space="preserve">, </w:t>
      </w:r>
      <w:r w:rsidR="00884609" w:rsidRPr="00884609">
        <w:rPr>
          <w:rFonts w:ascii="Calibri" w:hAnsi="Calibri"/>
          <w:sz w:val="22"/>
          <w:szCs w:val="22"/>
        </w:rPr>
        <w:t>ředitel ústavu</w:t>
      </w:r>
    </w:p>
    <w:p w14:paraId="264FAD3A" w14:textId="22EA3C71" w:rsidR="00EF1525" w:rsidRDefault="00EF1525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>(dále jako „objednatel“)</w:t>
      </w:r>
    </w:p>
    <w:p w14:paraId="59B5591E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1D28C5F1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403E738F" w14:textId="77777777"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36E419F4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67C479C8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7780ED2E" w14:textId="3D2F2542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A05211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a rok 2023"/>
            </w:textInput>
          </w:ffData>
        </w:fldChar>
      </w:r>
      <w:r w:rsidR="00A05211">
        <w:rPr>
          <w:rFonts w:ascii="Calibri" w:hAnsi="Calibri"/>
          <w:sz w:val="22"/>
          <w:szCs w:val="22"/>
        </w:rPr>
        <w:instrText xml:space="preserve"> FORMTEXT </w:instrText>
      </w:r>
      <w:r w:rsidR="00A05211">
        <w:rPr>
          <w:rFonts w:ascii="Calibri" w:hAnsi="Calibri"/>
          <w:sz w:val="22"/>
          <w:szCs w:val="22"/>
        </w:rPr>
      </w:r>
      <w:r w:rsidR="00A05211">
        <w:rPr>
          <w:rFonts w:ascii="Calibri" w:hAnsi="Calibri"/>
          <w:sz w:val="22"/>
          <w:szCs w:val="22"/>
        </w:rPr>
        <w:fldChar w:fldCharType="separate"/>
      </w:r>
      <w:r w:rsidR="00A05211">
        <w:rPr>
          <w:rFonts w:ascii="Calibri" w:hAnsi="Calibri"/>
          <w:noProof/>
          <w:sz w:val="22"/>
          <w:szCs w:val="22"/>
        </w:rPr>
        <w:t>za rok 2023</w:t>
      </w:r>
      <w:r w:rsidR="00A05211">
        <w:rPr>
          <w:rFonts w:ascii="Calibri" w:hAnsi="Calibri"/>
          <w:sz w:val="22"/>
          <w:szCs w:val="22"/>
        </w:rPr>
        <w:fldChar w:fldCharType="end"/>
      </w:r>
      <w:r w:rsidR="001F34CD">
        <w:rPr>
          <w:rFonts w:ascii="Calibri" w:hAnsi="Calibri"/>
          <w:sz w:val="22"/>
          <w:szCs w:val="22"/>
        </w:rPr>
        <w:t xml:space="preserve">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 souvisejícími aplikačními doložkami Komory auditorů České republiky.</w:t>
      </w:r>
    </w:p>
    <w:p w14:paraId="281803C2" w14:textId="77777777"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14:paraId="3C5501AB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242DCEF2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0C68DAE1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2DA1AFB9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2EDF18B6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3FC3C30D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541EA7C2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371695BE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787B72CF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2F078C5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4E55E3EC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015C414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6E1009F5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85ADBE9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50B366AA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0D766CB1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 informovat vedení organizace. Ostatní návrhy a doporučení včetně komentáře k použitým postupům v průběhu auditu budou uvedeny v dopise pro vedení organizace.</w:t>
      </w:r>
    </w:p>
    <w:p w14:paraId="1334691E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CB15AD2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1AF6099A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BDB0E38" w14:textId="77777777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 ochranu majetku objednatele.</w:t>
      </w:r>
    </w:p>
    <w:p w14:paraId="4DBD59CD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42AF73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 účtům a dokumentům objednatele za jakékoli časové období a v požadovaném čase, rozsahu a podrobností, a to současně s informacemi a vysvětleními od zodpovědných pracovníků objednatele.</w:t>
      </w:r>
    </w:p>
    <w:p w14:paraId="2F5A1E5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F49EBA8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41E26AE4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62B8505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6E9AE2A3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46F56E8A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509E908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E1C6B0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5343DF43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DD8EBD2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5DBD95E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lastRenderedPageBreak/>
        <w:t xml:space="preserve"> Závěrečné zprávy</w:t>
      </w:r>
    </w:p>
    <w:p w14:paraId="4E2EAB36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F6B1C11" w14:textId="77777777" w:rsidR="00F433FC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>
        <w:rPr>
          <w:rFonts w:ascii="Calibri" w:hAnsi="Calibri" w:cs="Calibri"/>
          <w:sz w:val="22"/>
          <w:szCs w:val="22"/>
        </w:rPr>
        <w:t>(případně</w:t>
      </w:r>
      <w:r>
        <w:rPr>
          <w:rFonts w:ascii="Calibri" w:hAnsi="Calibri" w:cs="Calibri"/>
          <w:sz w:val="22"/>
          <w:szCs w:val="22"/>
        </w:rPr>
        <w:t xml:space="preserve"> na údaje uvedené ve výroční zprávě</w:t>
      </w:r>
      <w:r w:rsidR="008E4098">
        <w:rPr>
          <w:rFonts w:ascii="Calibri" w:hAnsi="Calibri" w:cs="Calibri"/>
          <w:sz w:val="22"/>
          <w:szCs w:val="22"/>
        </w:rPr>
        <w:t>, je-li ujednáno)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standardy. </w:t>
      </w:r>
    </w:p>
    <w:p w14:paraId="7B20B621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0F7F6DE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14:paraId="33C66543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D27812C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uvést ve své zprávě také omezení rozsahu ověření, pokud nebyl schopen z objektivních důvodů nebo z viny účetní jednotky ověřit některé podstatné údaje v účetní závěrce.</w:t>
      </w:r>
    </w:p>
    <w:p w14:paraId="4F9359EA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2ED332F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 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40D16F5C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DA9FBBB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3D2B1092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38279080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60DF41B6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FE8BA55" w14:textId="70767449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Vlastní ověřování účetní závěrky</w:t>
      </w:r>
      <w:r w:rsidR="00754A5C">
        <w:rPr>
          <w:rFonts w:ascii="Calibri" w:hAnsi="Calibri" w:cs="Calibri"/>
          <w:sz w:val="22"/>
          <w:szCs w:val="22"/>
        </w:rPr>
        <w:t xml:space="preserve"> a výroční zprávy</w:t>
      </w:r>
      <w:r>
        <w:rPr>
          <w:rFonts w:ascii="Calibri" w:hAnsi="Calibri" w:cs="Calibri"/>
          <w:sz w:val="22"/>
          <w:szCs w:val="22"/>
        </w:rPr>
        <w:t xml:space="preserve">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BC131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0.4.následujícího"/>
            </w:textInput>
          </w:ffData>
        </w:fldChar>
      </w:r>
      <w:r w:rsidR="00BC1310">
        <w:rPr>
          <w:rFonts w:ascii="Calibri" w:hAnsi="Calibri"/>
          <w:sz w:val="22"/>
          <w:szCs w:val="22"/>
        </w:rPr>
        <w:instrText xml:space="preserve"> FORMTEXT </w:instrText>
      </w:r>
      <w:r w:rsidR="00BC1310">
        <w:rPr>
          <w:rFonts w:ascii="Calibri" w:hAnsi="Calibri"/>
          <w:sz w:val="22"/>
          <w:szCs w:val="22"/>
        </w:rPr>
      </w:r>
      <w:r w:rsidR="00BC1310">
        <w:rPr>
          <w:rFonts w:ascii="Calibri" w:hAnsi="Calibri"/>
          <w:sz w:val="22"/>
          <w:szCs w:val="22"/>
        </w:rPr>
        <w:fldChar w:fldCharType="separate"/>
      </w:r>
      <w:r w:rsidR="00BC1310">
        <w:rPr>
          <w:rFonts w:ascii="Calibri" w:hAnsi="Calibri"/>
          <w:noProof/>
          <w:sz w:val="22"/>
          <w:szCs w:val="22"/>
        </w:rPr>
        <w:t>30.4.následujícího</w:t>
      </w:r>
      <w:r w:rsidR="00BC1310">
        <w:rPr>
          <w:rFonts w:ascii="Calibri" w:hAnsi="Calibri"/>
          <w:sz w:val="22"/>
          <w:szCs w:val="22"/>
        </w:rPr>
        <w:fldChar w:fldCharType="end"/>
      </w:r>
      <w:r w:rsidR="00F93927">
        <w:rPr>
          <w:rFonts w:ascii="Calibri" w:hAnsi="Calibri"/>
          <w:sz w:val="22"/>
          <w:szCs w:val="22"/>
        </w:rPr>
        <w:t xml:space="preserve"> 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  <w:bookmarkStart w:id="0" w:name="_GoBack"/>
      <w:bookmarkEnd w:id="0"/>
    </w:p>
    <w:p w14:paraId="4E413934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73C5024" w14:textId="619D1DB0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ve </w:t>
      </w:r>
      <w:r w:rsidR="00FF5D7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FF5D74">
        <w:rPr>
          <w:rFonts w:ascii="Calibri" w:hAnsi="Calibri"/>
          <w:sz w:val="22"/>
          <w:szCs w:val="22"/>
        </w:rPr>
        <w:instrText xml:space="preserve"> FORMTEXT </w:instrText>
      </w:r>
      <w:r w:rsidR="00FF5D74">
        <w:rPr>
          <w:rFonts w:ascii="Calibri" w:hAnsi="Calibri"/>
          <w:sz w:val="22"/>
          <w:szCs w:val="22"/>
        </w:rPr>
      </w:r>
      <w:r w:rsidR="00FF5D74">
        <w:rPr>
          <w:rFonts w:ascii="Calibri" w:hAnsi="Calibri"/>
          <w:sz w:val="22"/>
          <w:szCs w:val="22"/>
        </w:rPr>
        <w:fldChar w:fldCharType="separate"/>
      </w:r>
      <w:r w:rsidR="00FF5D74">
        <w:rPr>
          <w:rFonts w:ascii="Calibri" w:hAnsi="Calibri"/>
          <w:noProof/>
          <w:sz w:val="22"/>
          <w:szCs w:val="22"/>
        </w:rPr>
        <w:t>2</w:t>
      </w:r>
      <w:r w:rsidR="00FF5D7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vyhotoveních </w:t>
      </w:r>
      <w:r w:rsidR="00EE6F00">
        <w:rPr>
          <w:rFonts w:ascii="Calibri" w:hAnsi="Calibri"/>
          <w:sz w:val="22"/>
          <w:szCs w:val="22"/>
        </w:rPr>
        <w:t xml:space="preserve">a v elektronické verzi </w:t>
      </w:r>
      <w:r>
        <w:rPr>
          <w:rFonts w:ascii="Calibri" w:hAnsi="Calibri"/>
          <w:sz w:val="22"/>
          <w:szCs w:val="22"/>
        </w:rPr>
        <w:t>v českém jazyce do 15ti dnů po předání veškeré dokumentace potřebné pro uzavření auditorské zprávy.</w:t>
      </w:r>
    </w:p>
    <w:p w14:paraId="1FDB3D29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61DB2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36DFA4D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4D281E22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1718E71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166A7BD" w14:textId="703FABFC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88460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55 000 Kč"/>
            </w:textInput>
          </w:ffData>
        </w:fldChar>
      </w:r>
      <w:r w:rsidR="00884609">
        <w:rPr>
          <w:rFonts w:ascii="Calibri" w:hAnsi="Calibri"/>
          <w:sz w:val="22"/>
          <w:szCs w:val="22"/>
        </w:rPr>
        <w:instrText xml:space="preserve"> FORMTEXT </w:instrText>
      </w:r>
      <w:r w:rsidR="00884609">
        <w:rPr>
          <w:rFonts w:ascii="Calibri" w:hAnsi="Calibri"/>
          <w:sz w:val="22"/>
          <w:szCs w:val="22"/>
        </w:rPr>
      </w:r>
      <w:r w:rsidR="00884609">
        <w:rPr>
          <w:rFonts w:ascii="Calibri" w:hAnsi="Calibri"/>
          <w:sz w:val="22"/>
          <w:szCs w:val="22"/>
        </w:rPr>
        <w:fldChar w:fldCharType="separate"/>
      </w:r>
      <w:r w:rsidR="00884609">
        <w:rPr>
          <w:rFonts w:ascii="Calibri" w:hAnsi="Calibri"/>
          <w:noProof/>
          <w:sz w:val="22"/>
          <w:szCs w:val="22"/>
        </w:rPr>
        <w:t>155 000 Kč</w:t>
      </w:r>
      <w:r w:rsidR="00884609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bez DPH</w:t>
      </w:r>
      <w:r w:rsidR="00626E82">
        <w:rPr>
          <w:rFonts w:ascii="Calibri" w:hAnsi="Calibri"/>
          <w:sz w:val="22"/>
          <w:szCs w:val="22"/>
        </w:rPr>
        <w:t xml:space="preserve"> za jedno účetní období</w:t>
      </w:r>
      <w:r>
        <w:rPr>
          <w:rFonts w:ascii="Calibri" w:hAnsi="Calibri"/>
          <w:sz w:val="22"/>
          <w:szCs w:val="22"/>
        </w:rPr>
        <w:t>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4A3DC897" w14:textId="77777777"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3F4514E8" w14:textId="77777777" w:rsidR="00076A55" w:rsidRDefault="00DE5FB6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Finanční vyrovnání bude prováděno na základě </w:t>
      </w:r>
      <w:r w:rsidR="00E31D09">
        <w:rPr>
          <w:rFonts w:ascii="Calibri" w:hAnsi="Calibri"/>
          <w:sz w:val="22"/>
          <w:szCs w:val="22"/>
        </w:rPr>
        <w:t xml:space="preserve">vystavených </w:t>
      </w:r>
      <w:r w:rsidR="00076A55">
        <w:rPr>
          <w:rFonts w:ascii="Calibri" w:hAnsi="Calibri"/>
          <w:sz w:val="22"/>
          <w:szCs w:val="22"/>
        </w:rPr>
        <w:t xml:space="preserve">daňových dokladů </w:t>
      </w:r>
      <w:r w:rsidR="001F34CD">
        <w:rPr>
          <w:rFonts w:ascii="Calibri" w:hAnsi="Calibri"/>
          <w:sz w:val="22"/>
          <w:szCs w:val="22"/>
        </w:rPr>
        <w:t>–</w:t>
      </w:r>
      <w:r w:rsidR="00076A55">
        <w:rPr>
          <w:rFonts w:ascii="Calibri" w:hAnsi="Calibri"/>
          <w:sz w:val="22"/>
          <w:szCs w:val="22"/>
        </w:rPr>
        <w:t xml:space="preserve"> </w:t>
      </w:r>
      <w:r w:rsidR="001D3F64">
        <w:rPr>
          <w:rFonts w:ascii="Calibri" w:hAnsi="Calibri"/>
          <w:sz w:val="22"/>
          <w:szCs w:val="22"/>
        </w:rPr>
        <w:t>faktur.</w:t>
      </w:r>
    </w:p>
    <w:p w14:paraId="583FF021" w14:textId="77777777"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7EC18C0" w14:textId="77777777" w:rsidR="001D3F64" w:rsidRDefault="001D3F64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77E53C5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34607420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7353B501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53EF35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480CAA3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8EB7B84" w14:textId="77777777"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6CEE47E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lastRenderedPageBreak/>
        <w:t>VI.</w:t>
      </w:r>
    </w:p>
    <w:p w14:paraId="0C483CD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4A51A259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DFF4F" w14:textId="1EC29EFC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se uzavírá na dobu </w:t>
      </w:r>
      <w:r w:rsidR="00F02833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určitou"/>
            </w:textInput>
          </w:ffData>
        </w:fldChar>
      </w:r>
      <w:bookmarkStart w:id="1" w:name="Text9"/>
      <w:r w:rsidR="00F02833">
        <w:rPr>
          <w:rFonts w:ascii="Calibri" w:hAnsi="Calibri"/>
          <w:sz w:val="22"/>
          <w:szCs w:val="22"/>
        </w:rPr>
        <w:instrText xml:space="preserve"> FORMTEXT </w:instrText>
      </w:r>
      <w:r w:rsidR="00F02833">
        <w:rPr>
          <w:rFonts w:ascii="Calibri" w:hAnsi="Calibri"/>
          <w:sz w:val="22"/>
          <w:szCs w:val="22"/>
        </w:rPr>
      </w:r>
      <w:r w:rsidR="00F02833">
        <w:rPr>
          <w:rFonts w:ascii="Calibri" w:hAnsi="Calibri"/>
          <w:sz w:val="22"/>
          <w:szCs w:val="22"/>
        </w:rPr>
        <w:fldChar w:fldCharType="separate"/>
      </w:r>
      <w:r w:rsidR="00F02833">
        <w:rPr>
          <w:rFonts w:ascii="Calibri" w:hAnsi="Calibri"/>
          <w:noProof/>
          <w:sz w:val="22"/>
          <w:szCs w:val="22"/>
        </w:rPr>
        <w:t>určitou</w:t>
      </w:r>
      <w:r w:rsidR="00F02833">
        <w:rPr>
          <w:rFonts w:ascii="Calibri" w:hAnsi="Calibri"/>
          <w:sz w:val="22"/>
          <w:szCs w:val="22"/>
        </w:rPr>
        <w:fldChar w:fldCharType="end"/>
      </w:r>
      <w:bookmarkEnd w:id="1"/>
      <w:r w:rsidR="00DD1604">
        <w:rPr>
          <w:rFonts w:ascii="Calibri" w:hAnsi="Calibri"/>
          <w:sz w:val="22"/>
          <w:szCs w:val="22"/>
        </w:rPr>
        <w:t>, po dobu plnění plynoucího z této smlouvy, tzn. audit účetní závěrky za rok 202</w:t>
      </w:r>
      <w:r w:rsidR="00A05211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</w:p>
    <w:p w14:paraId="51C83E68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A0F0B47" w14:textId="77777777"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14:paraId="7E30610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108541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578FCA74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256AFE3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2A678F3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177AC1D2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5B6A49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7A456CF" w14:textId="69749C4D"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14:paraId="399D2385" w14:textId="5C686E38" w:rsidR="00622216" w:rsidRDefault="00622216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66F6FFD" w14:textId="0FBD8689" w:rsidR="00622216" w:rsidRPr="00622216" w:rsidRDefault="00622216" w:rsidP="00783E53">
      <w:pPr>
        <w:jc w:val="both"/>
        <w:rPr>
          <w:rFonts w:ascii="Calibri" w:eastAsia="Arial Unicode MS" w:hAnsi="Calibri" w:cs="Arial Unicode MS"/>
          <w:sz w:val="22"/>
          <w:szCs w:val="22"/>
        </w:rPr>
      </w:pPr>
      <w:r w:rsidRPr="000429EE">
        <w:rPr>
          <w:rFonts w:ascii="Calibri" w:eastAsia="Arial Unicode MS" w:hAnsi="Calibri" w:cs="Arial Unicode MS"/>
          <w:sz w:val="22"/>
          <w:szCs w:val="22"/>
        </w:rPr>
        <w:t>Smlouva nabývá účinnosti dnem jejího zveřejnění v Registru smluv dle zákona č. 340/2015 Sb. s výjimkou dat, která mají povahu citlivých údajů či obchodního tajemství. Toto zveřejnění zajistí objednatel.</w:t>
      </w:r>
    </w:p>
    <w:p w14:paraId="2D59506F" w14:textId="77777777" w:rsidR="00622216" w:rsidRDefault="00622216" w:rsidP="00783E53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66ACAAD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14:paraId="49EE089E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BCD70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14:paraId="237365DC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D177042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273A4475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72D2B8C1" w14:textId="6461680A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</w:p>
    <w:p w14:paraId="4A8302CE" w14:textId="77777777" w:rsidR="00A05211" w:rsidRDefault="00A05211" w:rsidP="004010A4">
      <w:pPr>
        <w:rPr>
          <w:rFonts w:asciiTheme="minorHAnsi" w:hAnsiTheme="minorHAnsi"/>
          <w:sz w:val="22"/>
          <w:szCs w:val="22"/>
        </w:rPr>
      </w:pPr>
    </w:p>
    <w:p w14:paraId="07E13029" w14:textId="64C182CA" w:rsidR="00EE6F00" w:rsidRDefault="00EE6F00" w:rsidP="004010A4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57F8043A" w14:textId="77777777" w:rsidTr="00DD1604">
        <w:trPr>
          <w:trHeight w:val="2021"/>
        </w:trPr>
        <w:tc>
          <w:tcPr>
            <w:tcW w:w="4606" w:type="dxa"/>
          </w:tcPr>
          <w:p w14:paraId="215EC976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4C6368D7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CB9EA0E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2354EEC8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C594461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57A0E8EC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147B9A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D6A2ED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6C355216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549AF6B9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14:paraId="60C709EC" w14:textId="77777777" w:rsidR="00297259" w:rsidRPr="005123F8" w:rsidRDefault="00297259" w:rsidP="00A05211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C72B3" w14:textId="77777777" w:rsidR="00ED4327" w:rsidRDefault="00ED4327" w:rsidP="00E028FD">
      <w:r>
        <w:separator/>
      </w:r>
    </w:p>
  </w:endnote>
  <w:endnote w:type="continuationSeparator" w:id="0">
    <w:p w14:paraId="01DC9A34" w14:textId="77777777" w:rsidR="00ED4327" w:rsidRDefault="00ED4327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5199663"/>
      <w:docPartObj>
        <w:docPartGallery w:val="Page Numbers (Bottom of Page)"/>
        <w:docPartUnique/>
      </w:docPartObj>
    </w:sdtPr>
    <w:sdtEndPr/>
    <w:sdtContent>
      <w:p w14:paraId="3876D7AA" w14:textId="77777777" w:rsidR="00D138E5" w:rsidRDefault="00D138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23C76EA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D11DD" w14:textId="77777777" w:rsidR="00ED4327" w:rsidRDefault="00ED4327" w:rsidP="00E028FD">
      <w:r>
        <w:separator/>
      </w:r>
    </w:p>
  </w:footnote>
  <w:footnote w:type="continuationSeparator" w:id="0">
    <w:p w14:paraId="38BD7528" w14:textId="77777777" w:rsidR="00ED4327" w:rsidRDefault="00ED4327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C8E55" w14:textId="77777777" w:rsidR="00E028FD" w:rsidRDefault="00E028FD">
    <w:pPr>
      <w:pStyle w:val="Zhlav"/>
    </w:pPr>
    <w:r>
      <w:rPr>
        <w:noProof/>
      </w:rPr>
      <w:drawing>
        <wp:inline distT="0" distB="0" distL="0" distR="0" wp14:anchorId="19F4B319" wp14:editId="5B878A91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1042ED"/>
    <w:multiLevelType w:val="hybridMultilevel"/>
    <w:tmpl w:val="11B0E724"/>
    <w:lvl w:ilvl="0" w:tplc="7DD60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5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5"/>
  </w:num>
  <w:num w:numId="5">
    <w:abstractNumId w:val="1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15"/>
  </w:num>
  <w:num w:numId="11">
    <w:abstractNumId w:val="4"/>
  </w:num>
  <w:num w:numId="12">
    <w:abstractNumId w:val="1"/>
  </w:num>
  <w:num w:numId="13">
    <w:abstractNumId w:val="6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92"/>
    <w:rsid w:val="000429EE"/>
    <w:rsid w:val="0006754D"/>
    <w:rsid w:val="00076A55"/>
    <w:rsid w:val="001313B7"/>
    <w:rsid w:val="00157294"/>
    <w:rsid w:val="001D3F64"/>
    <w:rsid w:val="001D4A64"/>
    <w:rsid w:val="001F0EBB"/>
    <w:rsid w:val="001F34CD"/>
    <w:rsid w:val="00226DBA"/>
    <w:rsid w:val="00285CEF"/>
    <w:rsid w:val="00297259"/>
    <w:rsid w:val="002C424C"/>
    <w:rsid w:val="002D6A1F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B0143"/>
    <w:rsid w:val="004C4462"/>
    <w:rsid w:val="005123F8"/>
    <w:rsid w:val="00536BE6"/>
    <w:rsid w:val="00584C7D"/>
    <w:rsid w:val="00596AC0"/>
    <w:rsid w:val="005C637D"/>
    <w:rsid w:val="005E022A"/>
    <w:rsid w:val="00622216"/>
    <w:rsid w:val="00624F38"/>
    <w:rsid w:val="00626E82"/>
    <w:rsid w:val="00634488"/>
    <w:rsid w:val="0064774A"/>
    <w:rsid w:val="006B712D"/>
    <w:rsid w:val="00700F4B"/>
    <w:rsid w:val="007243D7"/>
    <w:rsid w:val="007328CA"/>
    <w:rsid w:val="0074178E"/>
    <w:rsid w:val="00746BA2"/>
    <w:rsid w:val="00750B48"/>
    <w:rsid w:val="00754A5C"/>
    <w:rsid w:val="007800B5"/>
    <w:rsid w:val="00783E53"/>
    <w:rsid w:val="00787EB6"/>
    <w:rsid w:val="007C513E"/>
    <w:rsid w:val="007F777E"/>
    <w:rsid w:val="00814492"/>
    <w:rsid w:val="008421C4"/>
    <w:rsid w:val="008658F8"/>
    <w:rsid w:val="00884609"/>
    <w:rsid w:val="0089319C"/>
    <w:rsid w:val="008B01C7"/>
    <w:rsid w:val="008E4098"/>
    <w:rsid w:val="00917080"/>
    <w:rsid w:val="00930EF6"/>
    <w:rsid w:val="00962EEC"/>
    <w:rsid w:val="009869AA"/>
    <w:rsid w:val="009E4BB1"/>
    <w:rsid w:val="00A05211"/>
    <w:rsid w:val="00A619EF"/>
    <w:rsid w:val="00A634BE"/>
    <w:rsid w:val="00A747AF"/>
    <w:rsid w:val="00A7742B"/>
    <w:rsid w:val="00A938C8"/>
    <w:rsid w:val="00AD6039"/>
    <w:rsid w:val="00B16326"/>
    <w:rsid w:val="00B179C6"/>
    <w:rsid w:val="00B2760D"/>
    <w:rsid w:val="00B30E79"/>
    <w:rsid w:val="00B445C9"/>
    <w:rsid w:val="00B5614D"/>
    <w:rsid w:val="00B73575"/>
    <w:rsid w:val="00B74577"/>
    <w:rsid w:val="00BA7E87"/>
    <w:rsid w:val="00BC1310"/>
    <w:rsid w:val="00C220DD"/>
    <w:rsid w:val="00C66036"/>
    <w:rsid w:val="00C87036"/>
    <w:rsid w:val="00C8792A"/>
    <w:rsid w:val="00CF08F7"/>
    <w:rsid w:val="00D138E5"/>
    <w:rsid w:val="00D22469"/>
    <w:rsid w:val="00D319E0"/>
    <w:rsid w:val="00D836FB"/>
    <w:rsid w:val="00DC6E99"/>
    <w:rsid w:val="00DD1604"/>
    <w:rsid w:val="00DD587E"/>
    <w:rsid w:val="00DE5FB6"/>
    <w:rsid w:val="00E028FD"/>
    <w:rsid w:val="00E12493"/>
    <w:rsid w:val="00E31D09"/>
    <w:rsid w:val="00E61129"/>
    <w:rsid w:val="00E706D0"/>
    <w:rsid w:val="00EA0899"/>
    <w:rsid w:val="00ED4327"/>
    <w:rsid w:val="00EE12A4"/>
    <w:rsid w:val="00EE6F00"/>
    <w:rsid w:val="00EF1525"/>
    <w:rsid w:val="00F02833"/>
    <w:rsid w:val="00F34C7B"/>
    <w:rsid w:val="00F433FC"/>
    <w:rsid w:val="00F5055C"/>
    <w:rsid w:val="00F93927"/>
    <w:rsid w:val="00F95536"/>
    <w:rsid w:val="00FB39F5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27654"/>
  <w15:docId w15:val="{8AABF234-BAEC-4289-8F2D-5BC808A1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46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F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0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08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0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8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28CA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46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text-base">
    <w:name w:val="text-base"/>
    <w:basedOn w:val="Normln"/>
    <w:rsid w:val="008846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0F843-1BC0-4C2C-BD51-3CC83313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Vladimira</cp:lastModifiedBy>
  <cp:revision>3</cp:revision>
  <cp:lastPrinted>2018-09-03T10:58:00Z</cp:lastPrinted>
  <dcterms:created xsi:type="dcterms:W3CDTF">2023-08-10T07:44:00Z</dcterms:created>
  <dcterms:modified xsi:type="dcterms:W3CDTF">2023-08-10T07:47:00Z</dcterms:modified>
</cp:coreProperties>
</file>