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62A" w14:textId="77777777" w:rsidR="00010136" w:rsidRDefault="004A6DFD">
      <w:pPr>
        <w:spacing w:after="0" w:line="239" w:lineRule="auto"/>
        <w:ind w:left="2194" w:right="2905" w:firstLine="975"/>
        <w:jc w:val="left"/>
      </w:pPr>
      <w:r>
        <w:rPr>
          <w:b/>
          <w:sz w:val="32"/>
        </w:rPr>
        <w:t xml:space="preserve">Dodatek č. 1 ke Smlouvě o poskytování služeb </w:t>
      </w:r>
    </w:p>
    <w:p w14:paraId="07550C6D" w14:textId="77777777" w:rsidR="00010136" w:rsidRDefault="004A6DFD">
      <w:pPr>
        <w:spacing w:after="0" w:line="259" w:lineRule="auto"/>
        <w:ind w:left="0" w:right="957" w:firstLine="0"/>
        <w:jc w:val="center"/>
      </w:pPr>
      <w:r>
        <w:rPr>
          <w:b/>
          <w:i/>
        </w:rPr>
        <w:t xml:space="preserve">Uzavřené dne 21.7.2023 mezi </w:t>
      </w:r>
      <w:r>
        <w:rPr>
          <w:i/>
        </w:rPr>
        <w:t xml:space="preserve"> </w:t>
      </w:r>
    </w:p>
    <w:p w14:paraId="64CA6C1D" w14:textId="77777777" w:rsidR="00010136" w:rsidRDefault="004A6DFD">
      <w:pPr>
        <w:spacing w:after="6" w:line="259" w:lineRule="auto"/>
        <w:ind w:left="154" w:right="0" w:firstLine="0"/>
        <w:jc w:val="left"/>
      </w:pPr>
      <w:r>
        <w:t xml:space="preserve">  </w:t>
      </w:r>
    </w:p>
    <w:p w14:paraId="44A28F6B" w14:textId="77777777" w:rsidR="00010136" w:rsidRDefault="004A6DFD">
      <w:pPr>
        <w:spacing w:after="0" w:line="259" w:lineRule="auto"/>
        <w:ind w:left="154" w:righ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2B64D184" w14:textId="77777777" w:rsidR="00010136" w:rsidRDefault="004A6DFD">
      <w:pPr>
        <w:spacing w:after="0" w:line="259" w:lineRule="auto"/>
        <w:ind w:left="15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5C68008" w14:textId="747432CF" w:rsidR="00010136" w:rsidRDefault="004A6DFD">
      <w:pPr>
        <w:spacing w:after="2" w:line="269" w:lineRule="auto"/>
        <w:ind w:left="134"/>
        <w:jc w:val="left"/>
      </w:pPr>
      <w:r>
        <w:rPr>
          <w:b/>
        </w:rPr>
        <w:t xml:space="preserve">Grant </w:t>
      </w:r>
      <w:proofErr w:type="spellStart"/>
      <w:r>
        <w:rPr>
          <w:b/>
        </w:rPr>
        <w:t>Thornton</w:t>
      </w:r>
      <w:proofErr w:type="spellEnd"/>
      <w:r>
        <w:rPr>
          <w:b/>
        </w:rPr>
        <w:t xml:space="preserve"> Advisory k.s.  </w:t>
      </w:r>
      <w:r>
        <w:t>se sídlem Pujmanové 1753/</w:t>
      </w:r>
      <w:proofErr w:type="gramStart"/>
      <w:r>
        <w:t>10a</w:t>
      </w:r>
      <w:proofErr w:type="gramEnd"/>
      <w:r>
        <w:t xml:space="preserve">, Nusle, 140 00 Praha 4 </w:t>
      </w:r>
      <w:r>
        <w:t xml:space="preserve">zapsaná do obchodního rejstříku vedeného Městským soudem v Praze, </w:t>
      </w:r>
      <w:proofErr w:type="spellStart"/>
      <w:r>
        <w:t>sp</w:t>
      </w:r>
      <w:proofErr w:type="spellEnd"/>
      <w:r>
        <w:t>. zn. A 80133</w:t>
      </w:r>
      <w:r>
        <w:t xml:space="preserve"> </w:t>
      </w:r>
      <w:r>
        <w:t>zastoupená statutárním orgánem –</w:t>
      </w:r>
      <w:r>
        <w:t xml:space="preserve"> </w:t>
      </w:r>
      <w:r>
        <w:t xml:space="preserve">komplementářem, společnosti Grant </w:t>
      </w:r>
      <w:proofErr w:type="spellStart"/>
      <w:r>
        <w:t>Thornton</w:t>
      </w:r>
      <w:proofErr w:type="spellEnd"/>
      <w:r>
        <w:t xml:space="preserve">  </w:t>
      </w:r>
      <w:r>
        <w:t xml:space="preserve"> </w:t>
      </w:r>
      <w:proofErr w:type="spellStart"/>
      <w:r>
        <w:t>Consulting</w:t>
      </w:r>
      <w:proofErr w:type="spellEnd"/>
      <w:r>
        <w:t xml:space="preserve"> s.r.o., kterou při výkonu funkce zastupuje Ing. Zbyněk </w:t>
      </w:r>
      <w:proofErr w:type="spellStart"/>
      <w:r>
        <w:t>Bolcek</w:t>
      </w:r>
      <w:proofErr w:type="spellEnd"/>
      <w:r>
        <w:t xml:space="preserve">, jednatel </w:t>
      </w:r>
      <w:r>
        <w:t xml:space="preserve"> </w:t>
      </w:r>
    </w:p>
    <w:p w14:paraId="3B2A8CE5" w14:textId="77777777" w:rsidR="00010136" w:rsidRDefault="004A6DFD">
      <w:pPr>
        <w:ind w:right="579"/>
      </w:pPr>
      <w:r>
        <w:t>IČO: 19083</w:t>
      </w:r>
      <w:r>
        <w:t xml:space="preserve">076 </w:t>
      </w:r>
      <w:r>
        <w:t xml:space="preserve"> </w:t>
      </w:r>
    </w:p>
    <w:p w14:paraId="6A6C0CCC" w14:textId="77777777" w:rsidR="00010136" w:rsidRDefault="004A6DFD">
      <w:pPr>
        <w:ind w:right="579"/>
      </w:pPr>
      <w:r>
        <w:t>DIČ: CZ19083076 Bankovní spojení: Česká</w:t>
      </w:r>
      <w:r>
        <w:t xml:space="preserve"> S</w:t>
      </w:r>
      <w:r>
        <w:t xml:space="preserve">pořitelna, a. s. </w:t>
      </w:r>
      <w:r>
        <w:t xml:space="preserve"> </w:t>
      </w:r>
    </w:p>
    <w:p w14:paraId="4E33E59F" w14:textId="77777777" w:rsidR="00010136" w:rsidRDefault="004A6DFD">
      <w:pPr>
        <w:ind w:right="579"/>
      </w:pPr>
      <w:r>
        <w:t>Č. účtu: 6421172/0800</w:t>
      </w:r>
      <w:r>
        <w:rPr>
          <w:color w:val="FF00FF"/>
        </w:rPr>
        <w:t xml:space="preserve"> </w:t>
      </w:r>
      <w:r>
        <w:t xml:space="preserve"> </w:t>
      </w:r>
    </w:p>
    <w:p w14:paraId="37FCD3BD" w14:textId="77777777" w:rsidR="00010136" w:rsidRDefault="004A6DFD">
      <w:pPr>
        <w:ind w:right="579"/>
      </w:pPr>
      <w:r>
        <w:t>(dále jen “</w:t>
      </w:r>
      <w:r>
        <w:rPr>
          <w:b/>
        </w:rPr>
        <w:t>Poradce</w:t>
      </w:r>
      <w:r>
        <w:t xml:space="preserve">“) </w:t>
      </w:r>
      <w:r>
        <w:t xml:space="preserve"> </w:t>
      </w:r>
    </w:p>
    <w:p w14:paraId="7953BE5E" w14:textId="77777777" w:rsidR="00010136" w:rsidRDefault="004A6DFD">
      <w:pPr>
        <w:spacing w:after="0" w:line="259" w:lineRule="auto"/>
        <w:ind w:left="154" w:right="0" w:firstLine="0"/>
        <w:jc w:val="left"/>
      </w:pPr>
      <w:r>
        <w:rPr>
          <w:color w:val="FF00FF"/>
        </w:rPr>
        <w:t xml:space="preserve"> </w:t>
      </w:r>
      <w:r>
        <w:t xml:space="preserve"> </w:t>
      </w:r>
    </w:p>
    <w:p w14:paraId="1CBB0BA5" w14:textId="77777777" w:rsidR="00010136" w:rsidRDefault="004A6DFD">
      <w:pPr>
        <w:spacing w:after="0" w:line="259" w:lineRule="auto"/>
        <w:ind w:right="244"/>
      </w:pPr>
      <w:r>
        <w:t xml:space="preserve">a  </w:t>
      </w:r>
    </w:p>
    <w:p w14:paraId="4EBA7735" w14:textId="77777777" w:rsidR="00010136" w:rsidRDefault="004A6DFD">
      <w:pPr>
        <w:spacing w:after="16" w:line="259" w:lineRule="auto"/>
        <w:ind w:left="154" w:right="0" w:firstLine="0"/>
        <w:jc w:val="left"/>
      </w:pPr>
      <w:r>
        <w:t xml:space="preserve">  </w:t>
      </w:r>
    </w:p>
    <w:p w14:paraId="627C03EB" w14:textId="28CE2031" w:rsidR="00010136" w:rsidRDefault="004A6DFD">
      <w:pPr>
        <w:spacing w:after="2" w:line="269" w:lineRule="auto"/>
        <w:ind w:left="134" w:right="499"/>
        <w:jc w:val="left"/>
      </w:pPr>
      <w:r>
        <w:rPr>
          <w:b/>
        </w:rPr>
        <w:t xml:space="preserve">Technologie hlavního města Prahy, a.s.  </w:t>
      </w:r>
      <w:r>
        <w:t>se sídlem Dělnická 213/12, Holešovice, 170 00 Praha 7</w:t>
      </w:r>
      <w:r>
        <w:t xml:space="preserve"> </w:t>
      </w:r>
      <w:r>
        <w:t xml:space="preserve">zapsaná do obchodního rejstříku vedeného Městským soudem v Praze, </w:t>
      </w:r>
      <w:proofErr w:type="spellStart"/>
      <w:r>
        <w:t>sp</w:t>
      </w:r>
      <w:proofErr w:type="spellEnd"/>
      <w:r>
        <w:t xml:space="preserve">. zn. B 5402 </w:t>
      </w:r>
      <w:r>
        <w:t xml:space="preserve"> </w:t>
      </w:r>
      <w:r>
        <w:t xml:space="preserve">zastoupená Tomášem Jílkem, předsedou představenstva a Tomášem Novotným, místopředsedou představenstva </w:t>
      </w:r>
      <w:r>
        <w:t xml:space="preserve"> </w:t>
      </w:r>
      <w:r>
        <w:t>IČO: 25672541</w:t>
      </w:r>
      <w:r>
        <w:rPr>
          <w:i/>
          <w:color w:val="0000FF"/>
        </w:rPr>
        <w:t xml:space="preserve"> </w:t>
      </w:r>
      <w:r>
        <w:t xml:space="preserve"> </w:t>
      </w:r>
    </w:p>
    <w:p w14:paraId="4AAF3C24" w14:textId="77777777" w:rsidR="00010136" w:rsidRDefault="004A6DFD">
      <w:pPr>
        <w:ind w:right="579"/>
      </w:pPr>
      <w:r>
        <w:t xml:space="preserve">DIČ: CZ25672541 </w:t>
      </w:r>
      <w:r>
        <w:t xml:space="preserve"> </w:t>
      </w:r>
    </w:p>
    <w:p w14:paraId="3FA30EE4" w14:textId="77777777" w:rsidR="00010136" w:rsidRDefault="004A6DFD">
      <w:pPr>
        <w:ind w:right="579"/>
      </w:pPr>
      <w:r>
        <w:t xml:space="preserve">Č. Smlouvy Klienta: 330/23 </w:t>
      </w:r>
      <w:r>
        <w:t xml:space="preserve"> </w:t>
      </w:r>
    </w:p>
    <w:p w14:paraId="6D7F0430" w14:textId="77777777" w:rsidR="00010136" w:rsidRDefault="004A6DFD">
      <w:pPr>
        <w:ind w:right="579"/>
      </w:pPr>
      <w:r>
        <w:t>(dále jen „</w:t>
      </w:r>
      <w:r>
        <w:rPr>
          <w:b/>
        </w:rPr>
        <w:t>Klient</w:t>
      </w:r>
      <w:r>
        <w:t xml:space="preserve">“) </w:t>
      </w:r>
      <w:r>
        <w:t xml:space="preserve"> </w:t>
      </w:r>
    </w:p>
    <w:p w14:paraId="3CD08A97" w14:textId="77777777" w:rsidR="00010136" w:rsidRDefault="004A6DFD">
      <w:pPr>
        <w:spacing w:after="417" w:line="259" w:lineRule="auto"/>
        <w:ind w:left="139" w:right="0" w:firstLine="0"/>
        <w:jc w:val="left"/>
      </w:pPr>
      <w:r>
        <w:t xml:space="preserve"> </w:t>
      </w:r>
    </w:p>
    <w:p w14:paraId="2761A517" w14:textId="77777777" w:rsidR="00010136" w:rsidRDefault="004A6DFD">
      <w:pPr>
        <w:pStyle w:val="Nadpis1"/>
        <w:spacing w:after="112"/>
        <w:ind w:left="345" w:hanging="360"/>
      </w:pPr>
      <w:r>
        <w:t>ÚVODNÍ USTANOVENÍ</w:t>
      </w:r>
      <w:r>
        <w:t xml:space="preserve"> </w:t>
      </w:r>
    </w:p>
    <w:p w14:paraId="68071BD9" w14:textId="77777777" w:rsidR="00010136" w:rsidRDefault="004A6DFD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3C45262" w14:textId="77777777" w:rsidR="00010136" w:rsidRDefault="004A6DFD">
      <w:pPr>
        <w:ind w:left="705" w:right="258" w:hanging="72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Poradce a Klient </w:t>
      </w:r>
      <w:r>
        <w:t xml:space="preserve">uzavřeli dne </w:t>
      </w:r>
      <w:r>
        <w:t>21.7.2023 Smlouvu o p</w:t>
      </w:r>
      <w:r>
        <w:t>oskytování s</w:t>
      </w:r>
      <w:r>
        <w:t>l</w:t>
      </w:r>
      <w:r>
        <w:t>užeb</w:t>
      </w:r>
      <w:r>
        <w:t xml:space="preserve"> </w:t>
      </w:r>
      <w:r>
        <w:t>(dále jen Smlouva)</w:t>
      </w:r>
      <w:r>
        <w:t xml:space="preserve">, </w:t>
      </w:r>
      <w:r>
        <w:t>jejímž účelem je závaz</w:t>
      </w:r>
      <w:r>
        <w:t xml:space="preserve">ek Poradce vypracovat pro Klienta </w:t>
      </w:r>
      <w:r>
        <w:t>finanční ana</w:t>
      </w:r>
      <w:r>
        <w:t>l</w:t>
      </w:r>
      <w:r>
        <w:t xml:space="preserve">ýzu a </w:t>
      </w:r>
      <w:proofErr w:type="spellStart"/>
      <w:r>
        <w:t>due</w:t>
      </w:r>
      <w:proofErr w:type="spellEnd"/>
      <w:r>
        <w:t xml:space="preserve"> </w:t>
      </w:r>
      <w:proofErr w:type="spellStart"/>
      <w:r>
        <w:t>dilligence</w:t>
      </w:r>
      <w:proofErr w:type="spellEnd"/>
      <w:r>
        <w:t xml:space="preserve"> </w:t>
      </w:r>
      <w:r>
        <w:t>dle pod</w:t>
      </w:r>
      <w:r>
        <w:t>mínek stanovených v</w:t>
      </w:r>
      <w:r>
        <w:t xml:space="preserve"> </w:t>
      </w:r>
      <w:r>
        <w:t xml:space="preserve">předmětné </w:t>
      </w:r>
      <w:r>
        <w:t>S</w:t>
      </w:r>
      <w:r>
        <w:t>mlouvě</w:t>
      </w:r>
      <w:r>
        <w:t>, a to v souvislosti s odkupem JCD.</w:t>
      </w:r>
      <w:r>
        <w:rPr>
          <w:sz w:val="24"/>
        </w:rPr>
        <w:t xml:space="preserve"> </w:t>
      </w:r>
    </w:p>
    <w:p w14:paraId="4D9971C9" w14:textId="77777777" w:rsidR="00010136" w:rsidRDefault="004A6DFD">
      <w:pPr>
        <w:spacing w:after="0" w:line="259" w:lineRule="auto"/>
        <w:ind w:left="705" w:right="244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Nezbytnou </w:t>
      </w:r>
      <w:r>
        <w:t>součá</w:t>
      </w:r>
      <w:r>
        <w:t>st</w:t>
      </w:r>
      <w:r>
        <w:t>í</w:t>
      </w:r>
      <w:r>
        <w:t xml:space="preserve"> k </w:t>
      </w:r>
      <w:r>
        <w:t xml:space="preserve">plnění dle této </w:t>
      </w:r>
      <w:r>
        <w:t>Smlouvy je podpis Smlouvy o m</w:t>
      </w:r>
      <w:r>
        <w:t>lčenli</w:t>
      </w:r>
      <w:r>
        <w:t>vosti jak ze strany Klienta, t</w:t>
      </w:r>
      <w:r>
        <w:t>ak ze strany JCD, aby mohlo do</w:t>
      </w:r>
      <w:r>
        <w:t>jít</w:t>
      </w:r>
      <w:r>
        <w:t xml:space="preserve"> k </w:t>
      </w:r>
      <w:r>
        <w:t>poskytnutí relevantních</w:t>
      </w:r>
      <w:r>
        <w:t xml:space="preserve"> </w:t>
      </w:r>
      <w:r>
        <w:t>dat pro posouzení (plnění</w:t>
      </w:r>
      <w:r>
        <w:t xml:space="preserve">) </w:t>
      </w:r>
      <w:r>
        <w:t>dle této Smlouvy</w:t>
      </w:r>
      <w:r>
        <w:t>.</w:t>
      </w:r>
      <w:r>
        <w:rPr>
          <w:sz w:val="24"/>
        </w:rPr>
        <w:t xml:space="preserve"> </w:t>
      </w:r>
    </w:p>
    <w:p w14:paraId="12AF1359" w14:textId="77777777" w:rsidR="00010136" w:rsidRDefault="004A6DFD">
      <w:pPr>
        <w:tabs>
          <w:tab w:val="center" w:pos="4335"/>
        </w:tabs>
        <w:spacing w:after="0" w:line="259" w:lineRule="auto"/>
        <w:ind w:left="-15" w:righ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Ke dni podpisu tohoto Dodatku nebyla dosud </w:t>
      </w:r>
      <w:r>
        <w:t>podepsaná Smlouva o mlčenlivosti</w:t>
      </w:r>
      <w:r>
        <w:t xml:space="preserve">. </w:t>
      </w:r>
      <w:r>
        <w:rPr>
          <w:sz w:val="24"/>
        </w:rPr>
        <w:t xml:space="preserve"> </w:t>
      </w:r>
    </w:p>
    <w:p w14:paraId="61860350" w14:textId="77777777" w:rsidR="00010136" w:rsidRDefault="004A6DFD">
      <w:pPr>
        <w:ind w:left="705" w:right="11" w:hanging="72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N</w:t>
      </w:r>
      <w:r>
        <w:t>ení možné v</w:t>
      </w:r>
      <w:r>
        <w:t xml:space="preserve"> </w:t>
      </w:r>
      <w:r>
        <w:t xml:space="preserve">této </w:t>
      </w:r>
      <w:r>
        <w:t xml:space="preserve">souvislosti </w:t>
      </w:r>
      <w:r>
        <w:t>spravedlivě požadovat na P</w:t>
      </w:r>
      <w:r>
        <w:t>orad</w:t>
      </w:r>
      <w:r>
        <w:t xml:space="preserve">ci </w:t>
      </w:r>
      <w:r>
        <w:t>splnění termínů dle ust</w:t>
      </w:r>
      <w:r>
        <w:t>an</w:t>
      </w:r>
      <w:r>
        <w:t>ovení čl</w:t>
      </w:r>
      <w:r>
        <w:t xml:space="preserve">. </w:t>
      </w:r>
      <w:r>
        <w:t>II předmětné smlouvy</w:t>
      </w:r>
      <w:r>
        <w:t xml:space="preserve">. </w:t>
      </w:r>
    </w:p>
    <w:p w14:paraId="6D3A06ED" w14:textId="77777777" w:rsidR="00010136" w:rsidRDefault="004A6DFD">
      <w:pPr>
        <w:tabs>
          <w:tab w:val="center" w:pos="4363"/>
        </w:tabs>
        <w:spacing w:after="0" w:line="259" w:lineRule="auto"/>
        <w:ind w:left="-15" w:right="0" w:firstLine="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Vzhledem k </w:t>
      </w:r>
      <w:r>
        <w:t>výše uvedenému s</w:t>
      </w:r>
      <w:r>
        <w:t xml:space="preserve">e tedy strany dohodly </w:t>
      </w:r>
      <w:r>
        <w:t>na uzavření tohoto D</w:t>
      </w:r>
      <w:r>
        <w:t xml:space="preserve">odatku. </w:t>
      </w:r>
    </w:p>
    <w:p w14:paraId="66289D65" w14:textId="77777777" w:rsidR="00010136" w:rsidRDefault="004A6DFD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F2B09BA" w14:textId="77777777" w:rsidR="00010136" w:rsidRDefault="004A6DFD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7120FCD5" w14:textId="77777777" w:rsidR="00010136" w:rsidRDefault="004A6DFD">
      <w:pPr>
        <w:pStyle w:val="Nadpis1"/>
        <w:ind w:left="345" w:hanging="360"/>
      </w:pPr>
      <w:r>
        <w:t>PŘEDMĚT DODATKU</w:t>
      </w:r>
      <w:r>
        <w:t xml:space="preserve"> </w:t>
      </w:r>
    </w:p>
    <w:p w14:paraId="19907689" w14:textId="77777777" w:rsidR="00010136" w:rsidRDefault="004A6DF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62022AF" w14:textId="77777777" w:rsidR="00010136" w:rsidRDefault="004A6DFD">
      <w:pPr>
        <w:ind w:left="-5" w:right="579"/>
      </w:pPr>
      <w:r>
        <w:t>2.1</w:t>
      </w:r>
      <w:r>
        <w:rPr>
          <w:rFonts w:ascii="Arial" w:eastAsia="Arial" w:hAnsi="Arial" w:cs="Arial"/>
        </w:rPr>
        <w:t xml:space="preserve"> </w:t>
      </w:r>
      <w:r>
        <w:t>Tímto Dodatkem se mění čl. II, bod 2 smlouvy tak, že nově zní:</w:t>
      </w:r>
      <w:r>
        <w:t xml:space="preserve"> </w:t>
      </w:r>
    </w:p>
    <w:p w14:paraId="29DF8744" w14:textId="77777777" w:rsidR="00010136" w:rsidRDefault="004A6DF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55008F" w14:textId="77777777" w:rsidR="00010136" w:rsidRDefault="004A6DFD">
      <w:pPr>
        <w:tabs>
          <w:tab w:val="center" w:pos="583"/>
          <w:tab w:val="center" w:pos="4337"/>
        </w:tabs>
        <w:spacing w:after="5" w:line="249" w:lineRule="auto"/>
        <w:ind w:left="0" w:right="0" w:firstLine="0"/>
        <w:jc w:val="left"/>
      </w:pPr>
      <w:r>
        <w:tab/>
      </w:r>
      <w:r>
        <w:rPr>
          <w:i/>
        </w:rPr>
        <w:t xml:space="preserve">2.  </w:t>
      </w:r>
      <w:r>
        <w:rPr>
          <w:i/>
        </w:rPr>
        <w:tab/>
        <w:t xml:space="preserve">Doba trvání a harmonogram projektu jsou stanoveny následovně:  </w:t>
      </w:r>
    </w:p>
    <w:p w14:paraId="7B036B60" w14:textId="77777777" w:rsidR="00010136" w:rsidRDefault="004A6DFD">
      <w:pPr>
        <w:spacing w:after="11" w:line="259" w:lineRule="auto"/>
        <w:ind w:left="154" w:right="0" w:firstLine="0"/>
        <w:jc w:val="left"/>
      </w:pPr>
      <w:r>
        <w:rPr>
          <w:i/>
        </w:rPr>
        <w:lastRenderedPageBreak/>
        <w:t xml:space="preserve">  </w:t>
      </w:r>
    </w:p>
    <w:p w14:paraId="4D3B44C6" w14:textId="77777777" w:rsidR="00010136" w:rsidRDefault="004A6DFD">
      <w:pPr>
        <w:numPr>
          <w:ilvl w:val="0"/>
          <w:numId w:val="1"/>
        </w:numPr>
        <w:spacing w:after="5" w:line="249" w:lineRule="auto"/>
        <w:ind w:right="505" w:hanging="232"/>
        <w:jc w:val="left"/>
      </w:pPr>
      <w:r>
        <w:rPr>
          <w:i/>
        </w:rPr>
        <w:t xml:space="preserve">fáze Finanční analýza: do 2 týdnů od dodání relevantních dat (potřebných k plnění činností dle Smlouvy) </w:t>
      </w:r>
    </w:p>
    <w:p w14:paraId="75CA465B" w14:textId="06B5CE59" w:rsidR="00010136" w:rsidRDefault="004A6DFD">
      <w:pPr>
        <w:numPr>
          <w:ilvl w:val="0"/>
          <w:numId w:val="1"/>
        </w:numPr>
        <w:spacing w:after="5" w:line="249" w:lineRule="auto"/>
        <w:ind w:right="505" w:hanging="232"/>
        <w:jc w:val="left"/>
      </w:pPr>
      <w:r>
        <w:rPr>
          <w:i/>
        </w:rPr>
        <w:t xml:space="preserve">fáze Finanční </w:t>
      </w:r>
      <w:proofErr w:type="spellStart"/>
      <w:r>
        <w:rPr>
          <w:i/>
        </w:rPr>
        <w:t>due</w:t>
      </w:r>
      <w:proofErr w:type="spellEnd"/>
      <w:r>
        <w:rPr>
          <w:i/>
        </w:rPr>
        <w:t xml:space="preserve"> diligence: 6 týdnů po obdržení požadovaných podkladů </w:t>
      </w:r>
      <w:r>
        <w:rPr>
          <w:i/>
        </w:rPr>
        <w:t xml:space="preserve">o Hloubková prověrka včetně Q&amp;A: 4 týdny  </w:t>
      </w:r>
    </w:p>
    <w:p w14:paraId="6BF9F682" w14:textId="77777777" w:rsidR="00010136" w:rsidRDefault="004A6DFD">
      <w:pPr>
        <w:spacing w:after="5" w:line="249" w:lineRule="auto"/>
        <w:ind w:left="2134" w:right="0"/>
        <w:jc w:val="left"/>
      </w:pPr>
      <w:r>
        <w:rPr>
          <w:i/>
        </w:rPr>
        <w:t xml:space="preserve">o Konzultace závěrů a úprava na základě diskuse: 2 týden  </w:t>
      </w:r>
    </w:p>
    <w:p w14:paraId="6F72D754" w14:textId="77777777" w:rsidR="00010136" w:rsidRDefault="004A6DFD">
      <w:pPr>
        <w:spacing w:after="16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3BBA655" w14:textId="77777777" w:rsidR="00010136" w:rsidRDefault="004A6DFD">
      <w:pPr>
        <w:spacing w:after="19" w:line="259" w:lineRule="auto"/>
        <w:ind w:left="0" w:right="0" w:firstLine="0"/>
        <w:jc w:val="left"/>
      </w:pPr>
      <w:r>
        <w:rPr>
          <w:i/>
        </w:rPr>
        <w:t xml:space="preserve">  </w:t>
      </w:r>
    </w:p>
    <w:p w14:paraId="70E8C53F" w14:textId="77777777" w:rsidR="00010136" w:rsidRDefault="004A6DFD">
      <w:pPr>
        <w:spacing w:after="45" w:line="259" w:lineRule="auto"/>
        <w:ind w:left="139" w:right="0" w:firstLine="0"/>
        <w:jc w:val="left"/>
      </w:pPr>
      <w:r>
        <w:rPr>
          <w:i/>
        </w:rPr>
        <w:t xml:space="preserve"> </w:t>
      </w:r>
    </w:p>
    <w:p w14:paraId="2CE3EED5" w14:textId="77777777" w:rsidR="00010136" w:rsidRDefault="004A6DFD">
      <w:pPr>
        <w:pStyle w:val="Nadpis1"/>
        <w:ind w:left="345" w:hanging="360"/>
      </w:pPr>
      <w:r>
        <w:t>ZÁVĚREČNÁ USTANOVENÍ</w:t>
      </w:r>
      <w:r>
        <w:t xml:space="preserve"> </w:t>
      </w:r>
    </w:p>
    <w:p w14:paraId="3F4E3F6A" w14:textId="77777777" w:rsidR="00010136" w:rsidRDefault="004A6DFD">
      <w:pPr>
        <w:spacing w:after="45" w:line="259" w:lineRule="auto"/>
        <w:ind w:left="154" w:right="0" w:firstLine="0"/>
        <w:jc w:val="left"/>
      </w:pPr>
      <w:r>
        <w:rPr>
          <w:b/>
        </w:rPr>
        <w:t xml:space="preserve"> </w:t>
      </w:r>
    </w:p>
    <w:p w14:paraId="37E39DC6" w14:textId="77777777" w:rsidR="00010136" w:rsidRDefault="004A6DFD">
      <w:pPr>
        <w:tabs>
          <w:tab w:val="center" w:pos="4025"/>
        </w:tabs>
        <w:spacing w:after="185" w:line="259" w:lineRule="auto"/>
        <w:ind w:left="-15" w:right="0" w:firstLine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Strany </w:t>
      </w:r>
      <w:r>
        <w:t>prohlašují, že</w:t>
      </w:r>
      <w:r>
        <w:t xml:space="preserve"> postupovaly v souladu s</w:t>
      </w:r>
      <w:r>
        <w:t xml:space="preserve"> </w:t>
      </w:r>
      <w:r>
        <w:t>ustanovením čl</w:t>
      </w:r>
      <w:r>
        <w:t>. VII Smlouvy</w:t>
      </w:r>
      <w:r>
        <w:rPr>
          <w:rFonts w:ascii="Arial" w:eastAsia="Arial" w:hAnsi="Arial" w:cs="Arial"/>
        </w:rPr>
        <w:t xml:space="preserve">. </w:t>
      </w:r>
    </w:p>
    <w:p w14:paraId="32288DB9" w14:textId="04F86D5B" w:rsidR="00010136" w:rsidRDefault="004A6DFD">
      <w:pPr>
        <w:spacing w:after="198"/>
        <w:ind w:left="705" w:right="579" w:hanging="720"/>
      </w:pPr>
      <w:r>
        <w:t>3.2.</w:t>
      </w:r>
      <w:r w:rsidR="00525973">
        <w:tab/>
      </w:r>
      <w:r>
        <w:t>Veškeré pojmy či definice, pokud z kontextu tohoto Dodatku neplyne něco jiného, mají stejný význam jako ve Smlouvě</w:t>
      </w:r>
      <w:r>
        <w:t xml:space="preserve">.   </w:t>
      </w:r>
    </w:p>
    <w:p w14:paraId="58D1AF0C" w14:textId="77777777" w:rsidR="00010136" w:rsidRDefault="004A6DFD">
      <w:pPr>
        <w:tabs>
          <w:tab w:val="center" w:pos="4302"/>
        </w:tabs>
        <w:spacing w:after="195"/>
        <w:ind w:left="-15" w:right="0" w:firstLine="0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Tento Dodatek nabývá pl</w:t>
      </w:r>
      <w:r>
        <w:t xml:space="preserve">atnosti </w:t>
      </w:r>
      <w:r>
        <w:t>dnem jeho podpisu oběma smluvními stranami.</w:t>
      </w:r>
      <w:r>
        <w:t xml:space="preserve"> </w:t>
      </w:r>
    </w:p>
    <w:p w14:paraId="7F354C14" w14:textId="77777777" w:rsidR="00010136" w:rsidRDefault="004A6DFD">
      <w:pPr>
        <w:tabs>
          <w:tab w:val="center" w:pos="4287"/>
        </w:tabs>
        <w:spacing w:after="195"/>
        <w:ind w:left="-15" w:right="0" w:firstLine="0"/>
        <w:jc w:val="left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Ostatní ustanovení Smlouvy</w:t>
      </w:r>
      <w:r>
        <w:t xml:space="preserve"> </w:t>
      </w:r>
      <w:r>
        <w:t>zůstávají tímto Dodatk</w:t>
      </w:r>
      <w:r>
        <w:t>em nezměněn</w:t>
      </w:r>
      <w:r>
        <w:t xml:space="preserve">a a v platnosti.   </w:t>
      </w:r>
    </w:p>
    <w:p w14:paraId="3AB48A9C" w14:textId="6C90AAE1" w:rsidR="00010136" w:rsidRDefault="004A6DFD">
      <w:pPr>
        <w:spacing w:after="198"/>
        <w:ind w:left="705" w:right="579" w:hanging="720"/>
      </w:pPr>
      <w:r>
        <w:t>3.5.</w:t>
      </w:r>
      <w:r w:rsidR="00525973">
        <w:tab/>
      </w:r>
      <w:r>
        <w:t>Bude-li nebo stane-</w:t>
      </w:r>
      <w:r>
        <w:t>li se kterékoli ustanovení tohoto Dodatku neplatné nebo nevymahatelné, nebo pokud by některá ustanovení chyběla, nezpůsob</w:t>
      </w:r>
      <w:r>
        <w:t xml:space="preserve">uje to neplatnost </w:t>
      </w:r>
      <w:r>
        <w:t>ani nevymahatelnost ostatních ustanovení tohoto Dodatku, pokud je takové ustanovení oddělitelné od tohoto Dodatku jak</w:t>
      </w:r>
      <w:r>
        <w:t>o celku, při zachování účelu tohoto Dodatku. Smluvní strany se zavazují bez zbytečného odkladu po zjištění nedostatků ve výše uvedeném smyslu, nahradit takové ustanovení ustanovením, které bude svým obsahem a účelem co možná nejbližší obsahu a účelu ustano</w:t>
      </w:r>
      <w:r>
        <w:t xml:space="preserve">vení neplatného nebo nevymahatelného. </w:t>
      </w:r>
      <w:r>
        <w:t xml:space="preserve"> </w:t>
      </w:r>
    </w:p>
    <w:p w14:paraId="3B365984" w14:textId="4987FA06" w:rsidR="00010136" w:rsidRDefault="004A6DFD">
      <w:pPr>
        <w:spacing w:after="198"/>
        <w:ind w:left="705" w:right="579" w:hanging="720"/>
      </w:pPr>
      <w:r>
        <w:t>3.6.</w:t>
      </w:r>
      <w:r>
        <w:rPr>
          <w:rFonts w:ascii="Arial" w:eastAsia="Arial" w:hAnsi="Arial" w:cs="Arial"/>
        </w:rPr>
        <w:t xml:space="preserve"> </w:t>
      </w:r>
      <w:r w:rsidR="00525973">
        <w:rPr>
          <w:rFonts w:ascii="Arial" w:eastAsia="Arial" w:hAnsi="Arial" w:cs="Arial"/>
        </w:rPr>
        <w:tab/>
      </w:r>
      <w:r>
        <w:t>Smluvní strany berou na vědomí, že tento Dodatek podléhá povinnosti jeho uveřejnění prostřednictvím registru smluv v souladu se zákonem č. 340/2015 Sb., o zvláštních podmínkách účinnosti některých smluv, uveřejň</w:t>
      </w:r>
      <w:r>
        <w:t>ování těchto smluv a o registru smluv (zákon o registru smluv), ve znění pozdějších předpisů. Smluvní strany berou dále na vědomí, že tento Dodatek nabývá účinnosti nejdříve dnem jeho uveřejnění prostřednictvím registru smluv. Objednatel zašle tento Dodate</w:t>
      </w:r>
      <w:r>
        <w:t>k správci registru smluv k uveřejnění bez zbytečného odkladu, nejpozději však do třiceti (30) dnů od jeho uzavření. Nebude</w:t>
      </w:r>
      <w:r>
        <w:t xml:space="preserve">-li tento </w:t>
      </w:r>
      <w:r>
        <w:t>Dodatek zaslán k uveřejnění a/nebo uveřejněn prostřednictvím registru smluv, není žádná ze Smluvních stran oprávněna požadov</w:t>
      </w:r>
      <w:r>
        <w:t xml:space="preserve">at po druhé Smluvní straně náhradu škody ani jiné újmy, která by jí v této souvislosti vznikla nebo vzniknout mohla.  </w:t>
      </w:r>
      <w:r>
        <w:t xml:space="preserve"> </w:t>
      </w:r>
    </w:p>
    <w:p w14:paraId="2F14E470" w14:textId="008F9A57" w:rsidR="00010136" w:rsidRDefault="004A6DFD">
      <w:pPr>
        <w:spacing w:after="198"/>
        <w:ind w:left="705" w:right="579" w:hanging="720"/>
      </w:pPr>
      <w:r>
        <w:t>3.7.</w:t>
      </w:r>
      <w:r>
        <w:rPr>
          <w:rFonts w:ascii="Arial" w:eastAsia="Arial" w:hAnsi="Arial" w:cs="Arial"/>
        </w:rPr>
        <w:t xml:space="preserve"> </w:t>
      </w:r>
      <w:r w:rsidR="00525973">
        <w:rPr>
          <w:rFonts w:ascii="Arial" w:eastAsia="Arial" w:hAnsi="Arial" w:cs="Arial"/>
        </w:rPr>
        <w:tab/>
      </w:r>
      <w:r>
        <w:t>Smluvní strany prohlašují, že skutečnosti uvedené v tomto Dodatku nepovažují za obchodní tajemství ve smyslu § 504 občanského zákon</w:t>
      </w:r>
      <w:r>
        <w:t xml:space="preserve">íku a udělují svolení k jejich užití a zveřejnění bez stanovení jakýchkoli dalších podmínek. </w:t>
      </w:r>
      <w:r>
        <w:t xml:space="preserve"> </w:t>
      </w:r>
    </w:p>
    <w:p w14:paraId="4F8C5B1A" w14:textId="2020AD23" w:rsidR="00010136" w:rsidRDefault="004A6DFD">
      <w:pPr>
        <w:spacing w:after="163"/>
        <w:ind w:left="705" w:right="579" w:hanging="720"/>
      </w:pPr>
      <w:r>
        <w:t>3.8.</w:t>
      </w:r>
      <w:r>
        <w:rPr>
          <w:rFonts w:ascii="Arial" w:eastAsia="Arial" w:hAnsi="Arial" w:cs="Arial"/>
        </w:rPr>
        <w:t xml:space="preserve"> </w:t>
      </w:r>
      <w:r w:rsidR="00525973">
        <w:rPr>
          <w:rFonts w:ascii="Arial" w:eastAsia="Arial" w:hAnsi="Arial" w:cs="Arial"/>
        </w:rPr>
        <w:tab/>
      </w:r>
      <w:r>
        <w:t xml:space="preserve">Tento Dodatek je vyhotoven ve dvou (2) stejnopisech, z nichž </w:t>
      </w:r>
      <w:r>
        <w:t xml:space="preserve">Klient </w:t>
      </w:r>
      <w:proofErr w:type="gramStart"/>
      <w:r>
        <w:t>obdrží</w:t>
      </w:r>
      <w:proofErr w:type="gramEnd"/>
      <w:r>
        <w:t xml:space="preserve"> jedno (1) vyhotovení a </w:t>
      </w:r>
      <w:r>
        <w:t xml:space="preserve">Poradce </w:t>
      </w:r>
      <w:r>
        <w:t>obdrží jedno (1) vyhotovení. V případě, že je tent</w:t>
      </w:r>
      <w:r>
        <w:t xml:space="preserve">o Dodatek uzavírán elektronicky za využití uznávaných elektronických podpisů, </w:t>
      </w:r>
      <w:proofErr w:type="gramStart"/>
      <w:r>
        <w:t>postačí</w:t>
      </w:r>
      <w:proofErr w:type="gramEnd"/>
      <w:r>
        <w:t xml:space="preserve"> jedno (1) vyhotovení Dodatku, na kterém jsou zaznamenány uznávané elektronické podpisy zástupců Smluvních stran oprávněných tento Dodatek uzavřít. </w:t>
      </w:r>
      <w:r>
        <w:t xml:space="preserve"> </w:t>
      </w:r>
    </w:p>
    <w:p w14:paraId="568FDA0C" w14:textId="59775077" w:rsidR="00010136" w:rsidRDefault="004A6DFD">
      <w:pPr>
        <w:spacing w:after="110"/>
        <w:ind w:left="693" w:right="579" w:hanging="708"/>
      </w:pPr>
      <w:r>
        <w:t xml:space="preserve">3.9. </w:t>
      </w:r>
      <w:r w:rsidR="00525973">
        <w:tab/>
      </w:r>
      <w:r>
        <w:t xml:space="preserve">Smluvní strany </w:t>
      </w:r>
      <w:r>
        <w:t>prohlašují, že si celý tento Dodatek důkladně a řádně přečetly, jeho obsahu zcela porozuměly, je jim bez pochybností srozumitelný a určitý, že jim nejsou v de</w:t>
      </w:r>
      <w:r>
        <w:t xml:space="preserve">n </w:t>
      </w:r>
      <w:r>
        <w:t xml:space="preserve">uzavření </w:t>
      </w:r>
      <w:r>
        <w:lastRenderedPageBreak/>
        <w:t>tohoto Dodatku známy žádné důvody, pro které by tento Dodatek nemohl být řádně plněn ne</w:t>
      </w:r>
      <w:r>
        <w:t xml:space="preserve">bo které by způsobovaly neplatnost tohoto Dodatku, a že jeho obsah je projevem jejich pravé, svobodné a vážné vůle prosté omylu, na důkaz čehož připojují zástupci obou Smluvních stran své vlastnoruční podpisy. </w:t>
      </w:r>
      <w:r>
        <w:t xml:space="preserve"> </w:t>
      </w:r>
    </w:p>
    <w:p w14:paraId="67ACE3E3" w14:textId="77777777" w:rsidR="00010136" w:rsidRDefault="004A6DFD">
      <w:pPr>
        <w:spacing w:after="0" w:line="259" w:lineRule="auto"/>
        <w:ind w:left="154" w:right="9119" w:firstLine="0"/>
        <w:jc w:val="left"/>
      </w:pPr>
      <w:r>
        <w:rPr>
          <w:rFonts w:ascii="Arial" w:eastAsia="Arial" w:hAnsi="Arial" w:cs="Arial"/>
        </w:rPr>
        <w:t xml:space="preserve">   </w:t>
      </w:r>
    </w:p>
    <w:p w14:paraId="6EAF5A06" w14:textId="77777777" w:rsidR="00010136" w:rsidRDefault="004A6DFD">
      <w:pPr>
        <w:spacing w:after="14" w:line="259" w:lineRule="auto"/>
        <w:ind w:left="154" w:right="0" w:firstLine="0"/>
        <w:jc w:val="left"/>
      </w:pPr>
      <w:r>
        <w:rPr>
          <w:rFonts w:ascii="Arial" w:eastAsia="Arial" w:hAnsi="Arial" w:cs="Arial"/>
        </w:rPr>
        <w:t xml:space="preserve">  </w:t>
      </w:r>
    </w:p>
    <w:p w14:paraId="581D7ADC" w14:textId="77777777" w:rsidR="00010136" w:rsidRDefault="004A6DFD">
      <w:pPr>
        <w:tabs>
          <w:tab w:val="center" w:pos="712"/>
          <w:tab w:val="center" w:pos="5100"/>
        </w:tabs>
        <w:spacing w:after="0" w:line="259" w:lineRule="auto"/>
        <w:ind w:left="0" w:right="0" w:firstLine="0"/>
        <w:jc w:val="left"/>
      </w:pPr>
      <w:r>
        <w:tab/>
      </w:r>
      <w:r>
        <w:t xml:space="preserve">V Praze, dne   </w:t>
      </w:r>
      <w:r>
        <w:tab/>
      </w:r>
      <w:r>
        <w:t xml:space="preserve">V Praze, dne   </w:t>
      </w:r>
    </w:p>
    <w:p w14:paraId="7DFF2C4D" w14:textId="77777777" w:rsidR="00010136" w:rsidRDefault="004A6DFD">
      <w:pPr>
        <w:spacing w:after="0" w:line="259" w:lineRule="auto"/>
        <w:ind w:left="156" w:right="0" w:firstLine="0"/>
        <w:jc w:val="left"/>
      </w:pPr>
      <w:r>
        <w:rPr>
          <w:sz w:val="24"/>
        </w:rPr>
        <w:t xml:space="preserve"> </w:t>
      </w:r>
      <w:r>
        <w:t xml:space="preserve"> </w:t>
      </w:r>
      <w:r>
        <w:tab/>
        <w:t xml:space="preserve">  </w:t>
      </w:r>
    </w:p>
    <w:p w14:paraId="415372C5" w14:textId="77777777" w:rsidR="00010136" w:rsidRDefault="004A6DFD">
      <w:pPr>
        <w:spacing w:after="12" w:line="259" w:lineRule="auto"/>
        <w:ind w:left="156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</w:p>
    <w:p w14:paraId="3966BF84" w14:textId="77777777" w:rsidR="00010136" w:rsidRDefault="004A6DFD">
      <w:pPr>
        <w:spacing w:after="14" w:line="259" w:lineRule="auto"/>
        <w:ind w:left="156" w:right="0" w:firstLine="0"/>
        <w:jc w:val="left"/>
      </w:pPr>
      <w:r>
        <w:t xml:space="preserve">  </w:t>
      </w:r>
      <w:r>
        <w:tab/>
        <w:t xml:space="preserve">  </w:t>
      </w:r>
    </w:p>
    <w:p w14:paraId="35CDFD86" w14:textId="77777777" w:rsidR="00010136" w:rsidRDefault="004A6DFD">
      <w:pPr>
        <w:spacing w:after="27" w:line="259" w:lineRule="auto"/>
        <w:ind w:left="156" w:right="0" w:firstLine="0"/>
        <w:jc w:val="left"/>
      </w:pPr>
      <w:r>
        <w:t xml:space="preserve">  </w:t>
      </w:r>
      <w:r>
        <w:tab/>
        <w:t xml:space="preserve">  </w:t>
      </w:r>
    </w:p>
    <w:p w14:paraId="3A83DDF7" w14:textId="77777777" w:rsidR="00010136" w:rsidRDefault="004A6DFD">
      <w:pPr>
        <w:spacing w:after="37" w:line="259" w:lineRule="auto"/>
        <w:ind w:left="156" w:right="0" w:firstLine="0"/>
        <w:jc w:val="left"/>
      </w:pPr>
      <w:r>
        <w:t xml:space="preserve">  </w:t>
      </w:r>
      <w:r>
        <w:tab/>
        <w:t xml:space="preserve">  </w:t>
      </w:r>
    </w:p>
    <w:p w14:paraId="6FE70FDD" w14:textId="77777777" w:rsidR="00010136" w:rsidRDefault="004A6DFD">
      <w:pPr>
        <w:spacing w:after="46" w:line="259" w:lineRule="auto"/>
        <w:ind w:left="156" w:right="0" w:firstLine="0"/>
        <w:jc w:val="left"/>
      </w:pPr>
      <w:r>
        <w:t xml:space="preserve">  </w:t>
      </w:r>
      <w:r>
        <w:tab/>
      </w:r>
      <w:r>
        <w:rPr>
          <w:sz w:val="18"/>
          <w:vertAlign w:val="subscript"/>
        </w:rPr>
        <w:t xml:space="preserve"> </w:t>
      </w:r>
      <w:r>
        <w:t xml:space="preserve"> </w:t>
      </w:r>
    </w:p>
    <w:p w14:paraId="0E5887E6" w14:textId="77777777" w:rsidR="00010136" w:rsidRDefault="004A6DFD">
      <w:pPr>
        <w:spacing w:after="0" w:line="259" w:lineRule="auto"/>
        <w:ind w:left="156" w:right="0" w:firstLine="0"/>
        <w:jc w:val="left"/>
      </w:pPr>
      <w:r>
        <w:rPr>
          <w:sz w:val="12"/>
        </w:rPr>
        <w:t xml:space="preserve"> .................................................................................................................................  </w:t>
      </w:r>
      <w:r>
        <w:t xml:space="preserve"> </w:t>
      </w:r>
      <w:r>
        <w:rPr>
          <w:sz w:val="12"/>
        </w:rPr>
        <w:t xml:space="preserve">             ..........................................................</w:t>
      </w:r>
      <w:r>
        <w:rPr>
          <w:sz w:val="12"/>
        </w:rPr>
        <w:t xml:space="preserve">........................................................................ </w:t>
      </w:r>
      <w:r>
        <w:t xml:space="preserve"> </w:t>
      </w:r>
    </w:p>
    <w:tbl>
      <w:tblPr>
        <w:tblStyle w:val="TableGrid"/>
        <w:tblW w:w="8677" w:type="dxa"/>
        <w:tblInd w:w="2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574"/>
      </w:tblGrid>
      <w:tr w:rsidR="00010136" w14:paraId="0034A8DB" w14:textId="77777777">
        <w:trPr>
          <w:trHeight w:val="9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88203B" w14:textId="77777777" w:rsidR="00525973" w:rsidRDefault="004A6DFD">
            <w:pPr>
              <w:spacing w:after="13" w:line="276" w:lineRule="auto"/>
              <w:ind w:left="0" w:right="178" w:firstLine="552"/>
              <w:jc w:val="left"/>
            </w:pPr>
            <w:r>
              <w:t xml:space="preserve">Grant </w:t>
            </w: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s.r.o.,</w:t>
            </w:r>
          </w:p>
          <w:p w14:paraId="75624AB5" w14:textId="5156C31D" w:rsidR="00010136" w:rsidRDefault="004A6DFD" w:rsidP="00525973">
            <w:pPr>
              <w:spacing w:after="13" w:line="276" w:lineRule="auto"/>
              <w:ind w:left="0" w:right="178" w:hanging="98"/>
              <w:jc w:val="left"/>
            </w:pPr>
            <w:r>
              <w:t xml:space="preserve"> </w:t>
            </w:r>
            <w:r>
              <w:t xml:space="preserve">komplementář, při výkonu funkce zastoupen </w:t>
            </w:r>
          </w:p>
          <w:p w14:paraId="56D8FEE2" w14:textId="77777777" w:rsidR="00010136" w:rsidRDefault="004A6DFD">
            <w:pPr>
              <w:spacing w:after="0" w:line="259" w:lineRule="auto"/>
              <w:ind w:left="1080" w:right="0" w:firstLine="0"/>
              <w:jc w:val="left"/>
            </w:pPr>
            <w:r>
              <w:t xml:space="preserve">Zbyňkem </w:t>
            </w:r>
            <w:proofErr w:type="spellStart"/>
            <w:r>
              <w:t>Bolckem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AC1C45C" w14:textId="77777777" w:rsidR="00525973" w:rsidRDefault="004A6DFD">
            <w:pPr>
              <w:spacing w:after="0" w:line="276" w:lineRule="auto"/>
              <w:ind w:left="29" w:right="922" w:firstLine="617"/>
              <w:jc w:val="left"/>
            </w:pPr>
            <w:r>
              <w:t xml:space="preserve">Tomáš Jílek  </w:t>
            </w:r>
          </w:p>
          <w:p w14:paraId="0D46B152" w14:textId="77777777" w:rsidR="00525973" w:rsidRDefault="004A6DFD" w:rsidP="00525973">
            <w:pPr>
              <w:spacing w:after="0" w:line="276" w:lineRule="auto"/>
              <w:ind w:left="0" w:right="-21" w:firstLine="18"/>
              <w:jc w:val="left"/>
            </w:pPr>
            <w:r>
              <w:t xml:space="preserve"> </w:t>
            </w:r>
            <w:r w:rsidR="00525973">
              <w:t>P</w:t>
            </w:r>
            <w:r>
              <w:t>ředseda</w:t>
            </w:r>
            <w:r w:rsidR="00525973">
              <w:t xml:space="preserve"> </w:t>
            </w:r>
            <w:r>
              <w:t xml:space="preserve">představenstva </w:t>
            </w:r>
          </w:p>
          <w:p w14:paraId="5232C176" w14:textId="0E9BE256" w:rsidR="00010136" w:rsidRDefault="00525973" w:rsidP="00525973">
            <w:pPr>
              <w:spacing w:after="0" w:line="276" w:lineRule="auto"/>
              <w:ind w:left="0" w:right="-21" w:firstLine="18"/>
              <w:jc w:val="left"/>
            </w:pPr>
            <w:r>
              <w:t xml:space="preserve"> </w:t>
            </w:r>
            <w:r w:rsidR="004A6DFD">
              <w:t xml:space="preserve">Technologie hlavního města Prahy, a.s. </w:t>
            </w:r>
            <w:r w:rsidR="004A6DFD">
              <w:t xml:space="preserve"> </w:t>
            </w:r>
          </w:p>
        </w:tc>
      </w:tr>
    </w:tbl>
    <w:p w14:paraId="7F3E9CFE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019A866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35E171E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BA98702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1AD188A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7893448A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4B95D3D" w14:textId="77777777" w:rsidR="00010136" w:rsidRDefault="004A6DFD">
      <w:pPr>
        <w:spacing w:after="0" w:line="259" w:lineRule="auto"/>
        <w:ind w:left="750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63AD7C9" w14:textId="77777777" w:rsidR="00010136" w:rsidRDefault="004A6DFD">
      <w:pPr>
        <w:spacing w:after="156" w:line="259" w:lineRule="auto"/>
        <w:ind w:left="0" w:right="0" w:firstLine="0"/>
        <w:jc w:val="right"/>
      </w:pPr>
      <w:r>
        <w:rPr>
          <w:sz w:val="12"/>
        </w:rPr>
        <w:t xml:space="preserve"> </w:t>
      </w:r>
      <w:r>
        <w:rPr>
          <w:sz w:val="12"/>
        </w:rPr>
        <w:t xml:space="preserve">.................................................................................................................................. </w:t>
      </w:r>
      <w:r>
        <w:t xml:space="preserve"> </w:t>
      </w:r>
    </w:p>
    <w:p w14:paraId="502E37BD" w14:textId="77777777" w:rsidR="00525973" w:rsidRDefault="004A6DFD" w:rsidP="00525973">
      <w:pPr>
        <w:ind w:left="5804" w:right="579" w:firstLine="568"/>
      </w:pPr>
      <w:r>
        <w:t>Tomáš</w:t>
      </w:r>
      <w:r w:rsidR="00525973">
        <w:t xml:space="preserve"> </w:t>
      </w:r>
      <w:r>
        <w:t xml:space="preserve">Novotný </w:t>
      </w:r>
      <w:r>
        <w:t xml:space="preserve"> </w:t>
      </w:r>
    </w:p>
    <w:p w14:paraId="6A74FFB3" w14:textId="34A8F0E4" w:rsidR="00010136" w:rsidRDefault="004A6DFD" w:rsidP="00525973">
      <w:pPr>
        <w:ind w:left="5804" w:right="579" w:firstLine="0"/>
      </w:pPr>
      <w:r>
        <w:t xml:space="preserve">místopředseda představenstva </w:t>
      </w:r>
      <w:r>
        <w:t xml:space="preserve"> </w:t>
      </w:r>
    </w:p>
    <w:p w14:paraId="25827362" w14:textId="181D307E" w:rsidR="00010136" w:rsidRDefault="004A6DFD">
      <w:pPr>
        <w:spacing w:after="23" w:line="259" w:lineRule="auto"/>
        <w:ind w:left="166" w:right="0" w:firstLine="0"/>
        <w:jc w:val="center"/>
      </w:pPr>
      <w:r>
        <w:t xml:space="preserve">                                                                             </w:t>
      </w:r>
      <w:r>
        <w:t xml:space="preserve">                      </w:t>
      </w:r>
      <w:r>
        <w:t>Technologie hlavního města Prahy, a.s</w:t>
      </w:r>
      <w:r w:rsidR="00525973">
        <w:t>.</w:t>
      </w:r>
      <w:r>
        <w:t xml:space="preserve"> </w:t>
      </w:r>
    </w:p>
    <w:p w14:paraId="18914C06" w14:textId="77777777" w:rsidR="00010136" w:rsidRDefault="004A6DFD">
      <w:pPr>
        <w:spacing w:after="0" w:line="259" w:lineRule="auto"/>
        <w:ind w:left="5305" w:right="0" w:firstLine="0"/>
        <w:jc w:val="center"/>
      </w:pPr>
      <w:r>
        <w:t xml:space="preserve"> </w:t>
      </w:r>
    </w:p>
    <w:p w14:paraId="191E385B" w14:textId="77777777" w:rsidR="00010136" w:rsidRDefault="004A6DFD">
      <w:pPr>
        <w:spacing w:after="0" w:line="259" w:lineRule="auto"/>
        <w:ind w:left="5355" w:right="0" w:firstLine="0"/>
        <w:jc w:val="center"/>
      </w:pPr>
      <w:r>
        <w:t xml:space="preserve">  </w:t>
      </w:r>
    </w:p>
    <w:p w14:paraId="3764BB0C" w14:textId="77777777" w:rsidR="00010136" w:rsidRDefault="004A6DFD">
      <w:pPr>
        <w:spacing w:after="0" w:line="259" w:lineRule="auto"/>
        <w:ind w:left="154" w:right="0" w:firstLine="0"/>
        <w:jc w:val="left"/>
      </w:pPr>
      <w:r>
        <w:rPr>
          <w:b/>
        </w:rPr>
        <w:t xml:space="preserve"> </w:t>
      </w:r>
    </w:p>
    <w:sectPr w:rsidR="00010136">
      <w:pgSz w:w="11906" w:h="16838"/>
      <w:pgMar w:top="1460" w:right="1156" w:bottom="14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111A"/>
    <w:multiLevelType w:val="hybridMultilevel"/>
    <w:tmpl w:val="705E1E34"/>
    <w:lvl w:ilvl="0" w:tplc="0F56983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446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ACB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8AD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6C4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D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31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B44F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E65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20B61"/>
    <w:multiLevelType w:val="hybridMultilevel"/>
    <w:tmpl w:val="7E1670A6"/>
    <w:lvl w:ilvl="0" w:tplc="09D23CA0">
      <w:start w:val="1"/>
      <w:numFmt w:val="decimal"/>
      <w:lvlText w:val="%1."/>
      <w:lvlJc w:val="left"/>
      <w:pPr>
        <w:ind w:left="16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EDFE2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E18C8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CE35C0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E627A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AF846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CAE54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EE2A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EAD78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396946">
    <w:abstractNumId w:val="1"/>
  </w:num>
  <w:num w:numId="2" w16cid:durableId="25594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36"/>
    <w:rsid w:val="00010136"/>
    <w:rsid w:val="004A6DFD"/>
    <w:rsid w:val="005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CF2D"/>
  <w15:docId w15:val="{4020227E-E4AD-44B7-9AEE-7FDC0BF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" w:line="247" w:lineRule="auto"/>
      <w:ind w:left="149" w:right="1461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Brychcová Martina</dc:creator>
  <cp:keywords/>
  <cp:lastModifiedBy>Vítová Petra</cp:lastModifiedBy>
  <cp:revision>2</cp:revision>
  <dcterms:created xsi:type="dcterms:W3CDTF">2023-08-09T09:37:00Z</dcterms:created>
  <dcterms:modified xsi:type="dcterms:W3CDTF">2023-08-09T09:37:00Z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2023-08-09T09:28:33Z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312d1667-55ab-4b7f-ba1a-10d6f08fa43c</vt:lpwstr>
  </property>
  <property fmtid="{D5CDD505-2E9C-101B-9397-08002B2CF9AE}" pid="8" name="MSIP_Label_53b2c928-728b-4698-a3fd-c5d03555aa71_ContentBits">
    <vt:lpwstr>0</vt:lpwstr>
  </property>
</Properties>
</file>