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5220300091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Městské</w:t>
      </w:r>
      <w:r>
        <w:rPr>
          <w:spacing w:val="-8"/>
        </w:rPr>
        <w:t> </w:t>
      </w:r>
      <w:r>
        <w:rPr/>
        <w:t>lesy</w:t>
      </w:r>
      <w:r>
        <w:rPr>
          <w:spacing w:val="-6"/>
        </w:rPr>
        <w:t> </w:t>
      </w:r>
      <w:r>
        <w:rPr/>
        <w:t>Volary</w:t>
      </w:r>
      <w:r>
        <w:rPr>
          <w:spacing w:val="-6"/>
        </w:rPr>
        <w:t> </w:t>
      </w:r>
      <w:r>
        <w:rPr>
          <w:spacing w:val="-2"/>
        </w:rPr>
        <w:t>s.r.o.</w:t>
      </w:r>
    </w:p>
    <w:p>
      <w:pPr>
        <w:pStyle w:val="BodyText"/>
        <w:spacing w:line="237" w:lineRule="auto" w:before="2"/>
        <w:ind w:left="382"/>
      </w:pPr>
      <w:r>
        <w:rPr/>
        <w:t>obchodní společnost zapsaná v obchodním rejstříku vedeném Krajským</w:t>
      </w:r>
      <w:r>
        <w:rPr>
          <w:spacing w:val="40"/>
        </w:rPr>
        <w:t> </w:t>
      </w:r>
      <w:r>
        <w:rPr/>
        <w:t>soudem v Českých Budějovicích, oddíl C, vložka 8463</w:t>
      </w:r>
    </w:p>
    <w:p>
      <w:pPr>
        <w:pStyle w:val="BodyText"/>
        <w:tabs>
          <w:tab w:pos="3257" w:val="left" w:leader="none"/>
        </w:tabs>
        <w:spacing w:before="2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V</w:t>
      </w:r>
      <w:r>
        <w:rPr>
          <w:spacing w:val="-7"/>
        </w:rPr>
        <w:t> </w:t>
      </w:r>
      <w:r>
        <w:rPr/>
        <w:t>Kasárnách</w:t>
      </w:r>
      <w:r>
        <w:rPr>
          <w:spacing w:val="-4"/>
        </w:rPr>
        <w:t> </w:t>
      </w:r>
      <w:r>
        <w:rPr/>
        <w:t>645,</w:t>
      </w:r>
      <w:r>
        <w:rPr>
          <w:spacing w:val="-5"/>
        </w:rPr>
        <w:t> </w:t>
      </w:r>
      <w:r>
        <w:rPr/>
        <w:t>384</w:t>
      </w:r>
      <w:r>
        <w:rPr>
          <w:spacing w:val="-2"/>
        </w:rPr>
        <w:t> </w:t>
      </w:r>
      <w:r>
        <w:rPr/>
        <w:t>51</w:t>
      </w:r>
      <w:r>
        <w:rPr>
          <w:spacing w:val="-4"/>
        </w:rPr>
        <w:t> </w:t>
      </w:r>
      <w:r>
        <w:rPr>
          <w:spacing w:val="-2"/>
        </w:rPr>
        <w:t>Volary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25185080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Miroslavem</w:t>
      </w:r>
      <w:r>
        <w:rPr>
          <w:spacing w:val="-2"/>
        </w:rPr>
        <w:t> </w:t>
      </w:r>
      <w:r>
        <w:rPr/>
        <w:t>Ř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ž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b</w:t>
      </w:r>
      <w:r>
        <w:rPr>
          <w:spacing w:val="-3"/>
        </w:rPr>
        <w:t> </w:t>
      </w:r>
      <w:r>
        <w:rPr/>
        <w:t>k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4"/>
        </w:rPr>
        <w:t> </w:t>
      </w:r>
      <w:r>
        <w:rPr>
          <w:spacing w:val="-2"/>
        </w:rPr>
        <w:t>jednatelem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Československá</w:t>
      </w:r>
      <w:r>
        <w:rPr>
          <w:spacing w:val="-12"/>
        </w:rPr>
        <w:t> </w:t>
      </w:r>
      <w:r>
        <w:rPr/>
        <w:t>obchodní</w:t>
      </w:r>
      <w:r>
        <w:rPr>
          <w:spacing w:val="-12"/>
        </w:rPr>
        <w:t> </w:t>
      </w:r>
      <w:r>
        <w:rPr/>
        <w:t>banka,</w:t>
      </w:r>
      <w:r>
        <w:rPr>
          <w:spacing w:val="-9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201214769/0300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4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ze</w:t>
      </w:r>
      <w:r>
        <w:rPr>
          <w:spacing w:val="21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2"/>
          <w:sz w:val="20"/>
        </w:rPr>
        <w:t> </w:t>
      </w:r>
      <w:r>
        <w:rPr>
          <w:sz w:val="20"/>
        </w:rPr>
        <w:t>životního</w:t>
      </w:r>
      <w:r>
        <w:rPr>
          <w:spacing w:val="22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1"/>
          <w:sz w:val="20"/>
        </w:rPr>
        <w:t> </w:t>
      </w:r>
      <w:r>
        <w:rPr>
          <w:sz w:val="20"/>
        </w:rPr>
        <w:t>republiky</w:t>
      </w:r>
      <w:r>
        <w:rPr>
          <w:spacing w:val="21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5220300091 o poskytnutí finančních prostředků ze Státního fondu životního prostředí ČR ze dne 16.</w:t>
      </w:r>
      <w:r>
        <w:rPr>
          <w:spacing w:val="-1"/>
        </w:rPr>
        <w:t> </w:t>
      </w:r>
      <w:r>
        <w:rPr/>
        <w:t>9.</w:t>
      </w:r>
      <w:r>
        <w:rPr>
          <w:spacing w:val="-2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21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17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37" w:header="0" w:top="1060" w:bottom="162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602"/>
        <w:jc w:val="left"/>
      </w:pPr>
      <w:r>
        <w:rPr/>
        <w:t>„Udržitelná</w:t>
      </w:r>
      <w:r>
        <w:rPr>
          <w:spacing w:val="-10"/>
        </w:rPr>
        <w:t> </w:t>
      </w:r>
      <w:r>
        <w:rPr/>
        <w:t>elektromobilita</w:t>
      </w:r>
      <w:r>
        <w:rPr>
          <w:spacing w:val="-8"/>
        </w:rPr>
        <w:t> </w:t>
      </w:r>
      <w:r>
        <w:rPr/>
        <w:t>pro</w:t>
      </w:r>
      <w:r>
        <w:rPr>
          <w:spacing w:val="-9"/>
        </w:rPr>
        <w:t> </w:t>
      </w:r>
      <w:r>
        <w:rPr/>
        <w:t>Městské</w:t>
      </w:r>
      <w:r>
        <w:rPr>
          <w:spacing w:val="-9"/>
        </w:rPr>
        <w:t> </w:t>
      </w:r>
      <w:r>
        <w:rPr/>
        <w:t>lesy</w:t>
      </w:r>
      <w:r>
        <w:rPr>
          <w:spacing w:val="-8"/>
        </w:rPr>
        <w:t> </w:t>
      </w:r>
      <w:r>
        <w:rPr>
          <w:spacing w:val="-2"/>
        </w:rPr>
        <w:t>Volary“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2023.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40" w:lineRule="auto" w:before="120" w:after="0"/>
        <w:ind w:left="624" w:right="0" w:hanging="243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3"/>
          <w:sz w:val="20"/>
        </w:rPr>
        <w:t> </w:t>
      </w:r>
      <w:r>
        <w:rPr>
          <w:sz w:val="20"/>
        </w:rPr>
        <w:t>je</w:t>
      </w:r>
      <w:r>
        <w:rPr>
          <w:spacing w:val="13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v souladu</w:t>
      </w:r>
      <w:r>
        <w:rPr>
          <w:spacing w:val="14"/>
          <w:sz w:val="20"/>
        </w:rPr>
        <w:t> </w:t>
      </w:r>
      <w:r>
        <w:rPr>
          <w:sz w:val="20"/>
        </w:rPr>
        <w:t>s</w:t>
      </w:r>
      <w:r>
        <w:rPr>
          <w:spacing w:val="16"/>
          <w:sz w:val="20"/>
        </w:rPr>
        <w:t> </w:t>
      </w:r>
      <w:r>
        <w:rPr>
          <w:sz w:val="20"/>
        </w:rPr>
        <w:t>„Nařízením</w:t>
      </w:r>
      <w:r>
        <w:rPr>
          <w:spacing w:val="15"/>
          <w:sz w:val="20"/>
        </w:rPr>
        <w:t> </w:t>
      </w:r>
      <w:r>
        <w:rPr>
          <w:sz w:val="20"/>
        </w:rPr>
        <w:t>Komise</w:t>
      </w:r>
      <w:r>
        <w:rPr>
          <w:spacing w:val="15"/>
          <w:sz w:val="20"/>
        </w:rPr>
        <w:t> </w:t>
      </w:r>
      <w:r>
        <w:rPr>
          <w:sz w:val="20"/>
        </w:rPr>
        <w:t>(ES)</w:t>
      </w:r>
      <w:r>
        <w:rPr>
          <w:spacing w:val="13"/>
          <w:sz w:val="20"/>
        </w:rPr>
        <w:t> </w:t>
      </w:r>
      <w:r>
        <w:rPr>
          <w:sz w:val="20"/>
        </w:rPr>
        <w:t>č.</w:t>
      </w:r>
      <w:r>
        <w:rPr>
          <w:spacing w:val="14"/>
          <w:sz w:val="20"/>
        </w:rPr>
        <w:t> </w:t>
      </w:r>
      <w:r>
        <w:rPr>
          <w:sz w:val="20"/>
        </w:rPr>
        <w:t>1407/2013</w:t>
      </w:r>
      <w:r>
        <w:rPr>
          <w:spacing w:val="14"/>
          <w:sz w:val="20"/>
        </w:rPr>
        <w:t> </w:t>
      </w:r>
      <w:r>
        <w:rPr>
          <w:sz w:val="20"/>
        </w:rPr>
        <w:t>ze</w:t>
      </w:r>
      <w:r>
        <w:rPr>
          <w:spacing w:val="13"/>
          <w:sz w:val="20"/>
        </w:rPr>
        <w:t> </w:t>
      </w:r>
      <w:r>
        <w:rPr>
          <w:spacing w:val="-5"/>
          <w:sz w:val="20"/>
        </w:rPr>
        <w:t>dne</w:t>
      </w:r>
    </w:p>
    <w:p>
      <w:pPr>
        <w:pStyle w:val="BodyText"/>
        <w:spacing w:before="1"/>
      </w:pPr>
      <w:r>
        <w:rPr/>
        <w:t>18.</w:t>
      </w:r>
      <w:r>
        <w:rPr>
          <w:spacing w:val="62"/>
        </w:rPr>
        <w:t> </w:t>
      </w:r>
      <w:r>
        <w:rPr/>
        <w:t>prosince</w:t>
      </w:r>
      <w:r>
        <w:rPr>
          <w:spacing w:val="61"/>
        </w:rPr>
        <w:t> </w:t>
      </w:r>
      <w:r>
        <w:rPr/>
        <w:t>2013</w:t>
      </w:r>
      <w:r>
        <w:rPr>
          <w:spacing w:val="62"/>
        </w:rPr>
        <w:t> </w:t>
      </w:r>
      <w:r>
        <w:rPr/>
        <w:t>o použití</w:t>
      </w:r>
      <w:r>
        <w:rPr>
          <w:spacing w:val="61"/>
        </w:rPr>
        <w:t> </w:t>
      </w:r>
      <w:r>
        <w:rPr/>
        <w:t>článků</w:t>
      </w:r>
      <w:r>
        <w:rPr>
          <w:spacing w:val="62"/>
        </w:rPr>
        <w:t> </w:t>
      </w:r>
      <w:r>
        <w:rPr/>
        <w:t>107</w:t>
      </w:r>
      <w:r>
        <w:rPr>
          <w:spacing w:val="62"/>
        </w:rPr>
        <w:t> </w:t>
      </w:r>
      <w:r>
        <w:rPr/>
        <w:t>a</w:t>
      </w:r>
      <w:r>
        <w:rPr>
          <w:spacing w:val="61"/>
        </w:rPr>
        <w:t> </w:t>
      </w:r>
      <w:r>
        <w:rPr/>
        <w:t>108</w:t>
      </w:r>
      <w:r>
        <w:rPr>
          <w:spacing w:val="64"/>
        </w:rPr>
        <w:t> </w:t>
      </w:r>
      <w:r>
        <w:rPr/>
        <w:t>Smlouvy</w:t>
      </w:r>
      <w:r>
        <w:rPr>
          <w:spacing w:val="61"/>
        </w:rPr>
        <w:t> </w:t>
      </w:r>
      <w:r>
        <w:rPr/>
        <w:t>o</w:t>
      </w:r>
      <w:r>
        <w:rPr>
          <w:spacing w:val="62"/>
        </w:rPr>
        <w:t> </w:t>
      </w:r>
      <w:r>
        <w:rPr/>
        <w:t>fungování</w:t>
      </w:r>
      <w:r>
        <w:rPr>
          <w:spacing w:val="64"/>
        </w:rPr>
        <w:t> </w:t>
      </w:r>
      <w:r>
        <w:rPr/>
        <w:t>Evropské</w:t>
      </w:r>
      <w:r>
        <w:rPr>
          <w:spacing w:val="61"/>
        </w:rPr>
        <w:t> </w:t>
      </w:r>
      <w:r>
        <w:rPr/>
        <w:t>unie</w:t>
      </w:r>
      <w:r>
        <w:rPr>
          <w:spacing w:val="63"/>
        </w:rPr>
        <w:t> </w:t>
      </w:r>
      <w:r>
        <w:rPr/>
        <w:t>na</w:t>
      </w:r>
      <w:r>
        <w:rPr>
          <w:spacing w:val="61"/>
        </w:rPr>
        <w:t> </w:t>
      </w:r>
      <w:r>
        <w:rPr/>
        <w:t>podporu de minimis.“, zveřejněném v Úředním věstníku EU dne 24. 12. 2013.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3"/>
        <w:ind w:left="0"/>
        <w:rPr>
          <w:sz w:val="29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zavazuje</w:t>
      </w:r>
      <w:r>
        <w:rPr>
          <w:spacing w:val="11"/>
          <w:sz w:val="20"/>
        </w:rPr>
        <w:t> </w:t>
      </w:r>
      <w:r>
        <w:rPr>
          <w:sz w:val="20"/>
        </w:rPr>
        <w:t>poskytnout</w:t>
      </w:r>
      <w:r>
        <w:rPr>
          <w:spacing w:val="11"/>
          <w:sz w:val="20"/>
        </w:rPr>
        <w:t> </w:t>
      </w:r>
      <w:r>
        <w:rPr>
          <w:sz w:val="20"/>
        </w:rPr>
        <w:t>příjemci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2"/>
          <w:sz w:val="20"/>
        </w:rPr>
        <w:t> </w:t>
      </w:r>
      <w:r>
        <w:rPr>
          <w:sz w:val="20"/>
        </w:rPr>
        <w:t>formou</w:t>
      </w:r>
      <w:r>
        <w:rPr>
          <w:spacing w:val="13"/>
          <w:sz w:val="20"/>
        </w:rPr>
        <w:t> </w:t>
      </w:r>
      <w:r>
        <w:rPr>
          <w:sz w:val="20"/>
        </w:rPr>
        <w:t>dotace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b/>
          <w:sz w:val="20"/>
        </w:rPr>
        <w:t>900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  <w:spacing w:before="1"/>
      </w:pPr>
      <w:r>
        <w:rPr/>
        <w:t>devět</w:t>
      </w:r>
      <w:r>
        <w:rPr>
          <w:spacing w:val="-5"/>
        </w:rPr>
        <w:t> </w:t>
      </w:r>
      <w:r>
        <w:rPr/>
        <w:t>set</w:t>
      </w:r>
      <w:r>
        <w:rPr>
          <w:spacing w:val="-6"/>
        </w:rPr>
        <w:t> </w:t>
      </w:r>
      <w:r>
        <w:rPr/>
        <w:t>tisíc</w:t>
      </w:r>
      <w:r>
        <w:rPr>
          <w:spacing w:val="-5"/>
        </w:rPr>
        <w:t> </w:t>
      </w:r>
      <w:r>
        <w:rPr/>
        <w:t>korun</w:t>
      </w:r>
      <w:r>
        <w:rPr>
          <w:spacing w:val="-6"/>
        </w:rPr>
        <w:t> </w:t>
      </w:r>
      <w:r>
        <w:rPr>
          <w:spacing w:val="-2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> </w:t>
      </w:r>
      <w:r>
        <w:rPr>
          <w:sz w:val="20"/>
        </w:rPr>
        <w:t>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900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3"/>
          <w:sz w:val="20"/>
        </w:rPr>
        <w:t> </w:t>
      </w:r>
      <w:r>
        <w:rPr>
          <w:sz w:val="20"/>
        </w:rPr>
        <w:t>8)</w:t>
      </w:r>
      <w:r>
        <w:rPr>
          <w:spacing w:val="-3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3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5" w:after="0"/>
        <w:ind w:left="665" w:right="111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437" w:top="1060" w:bottom="1660" w:left="1320" w:right="1020"/>
        </w:sectPr>
      </w:pPr>
    </w:p>
    <w:p>
      <w:pPr>
        <w:pStyle w:val="BodyText"/>
        <w:spacing w:before="73"/>
        <w:jc w:val="both"/>
      </w:pPr>
      <w:r>
        <w:rPr/>
        <w:t>vážně</w:t>
      </w:r>
      <w:r>
        <w:rPr>
          <w:spacing w:val="-6"/>
        </w:rPr>
        <w:t> </w:t>
      </w:r>
      <w:r>
        <w:rPr/>
        <w:t>ohroženo.</w:t>
      </w:r>
      <w:r>
        <w:rPr>
          <w:spacing w:val="-4"/>
        </w:rPr>
        <w:t> </w:t>
      </w:r>
      <w:r>
        <w:rPr/>
        <w:t>Ustanovení</w:t>
      </w:r>
      <w:r>
        <w:rPr>
          <w:spacing w:val="-5"/>
        </w:rPr>
        <w:t> </w:t>
      </w:r>
      <w:r>
        <w:rPr/>
        <w:t>článku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bodu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tím</w:t>
      </w:r>
      <w:r>
        <w:rPr>
          <w:spacing w:val="-5"/>
        </w:rPr>
        <w:t> </w:t>
      </w:r>
      <w:r>
        <w:rPr/>
        <w:t>není</w:t>
      </w:r>
      <w:r>
        <w:rPr>
          <w:spacing w:val="-3"/>
        </w:rPr>
        <w:t>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284"/>
        <w:jc w:val="right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</w:t>
      </w:r>
      <w:r>
        <w:rPr>
          <w:w w:val="95"/>
          <w:sz w:val="20"/>
        </w:rPr>
        <w:t>potvrzuje,</w:t>
      </w:r>
      <w:r>
        <w:rPr>
          <w:spacing w:val="22"/>
          <w:sz w:val="20"/>
        </w:rPr>
        <w:t> </w:t>
      </w:r>
      <w:r>
        <w:rPr>
          <w:w w:val="95"/>
          <w:sz w:val="20"/>
        </w:rPr>
        <w:t>že</w:t>
      </w:r>
      <w:r>
        <w:rPr>
          <w:spacing w:val="22"/>
          <w:sz w:val="20"/>
        </w:rPr>
        <w:t> </w:t>
      </w:r>
      <w:r>
        <w:rPr>
          <w:w w:val="95"/>
          <w:sz w:val="20"/>
        </w:rPr>
        <w:t>předložené</w:t>
      </w:r>
      <w:r>
        <w:rPr>
          <w:spacing w:val="21"/>
          <w:sz w:val="20"/>
        </w:rPr>
        <w:t> </w:t>
      </w:r>
      <w:r>
        <w:rPr>
          <w:w w:val="95"/>
          <w:sz w:val="20"/>
        </w:rPr>
        <w:t>faktury</w:t>
      </w:r>
      <w:r>
        <w:rPr>
          <w:spacing w:val="21"/>
          <w:sz w:val="20"/>
        </w:rPr>
        <w:t> </w:t>
      </w:r>
      <w:r>
        <w:rPr>
          <w:w w:val="95"/>
          <w:sz w:val="20"/>
        </w:rPr>
        <w:t>odpovídají</w:t>
      </w:r>
      <w:r>
        <w:rPr>
          <w:spacing w:val="21"/>
          <w:sz w:val="20"/>
        </w:rPr>
        <w:t> </w:t>
      </w:r>
      <w:r>
        <w:rPr>
          <w:w w:val="95"/>
          <w:sz w:val="20"/>
        </w:rPr>
        <w:t>skutečným,</w:t>
      </w:r>
      <w:r>
        <w:rPr>
          <w:spacing w:val="26"/>
          <w:sz w:val="20"/>
        </w:rPr>
        <w:t> </w:t>
      </w:r>
      <w:r>
        <w:rPr>
          <w:w w:val="95"/>
          <w:sz w:val="20"/>
        </w:rPr>
        <w:t>účelně</w:t>
      </w:r>
      <w:r>
        <w:rPr>
          <w:spacing w:val="21"/>
          <w:sz w:val="20"/>
        </w:rPr>
        <w:t> </w:t>
      </w:r>
      <w:r>
        <w:rPr>
          <w:w w:val="95"/>
          <w:sz w:val="20"/>
        </w:rPr>
        <w:t>vynaloženým</w:t>
      </w:r>
      <w:r>
        <w:rPr>
          <w:spacing w:val="25"/>
          <w:sz w:val="20"/>
        </w:rPr>
        <w:t> </w:t>
      </w:r>
      <w:r>
        <w:rPr>
          <w:w w:val="95"/>
          <w:sz w:val="20"/>
        </w:rPr>
        <w:t>a</w:t>
      </w:r>
      <w:r>
        <w:rPr>
          <w:spacing w:val="21"/>
          <w:sz w:val="20"/>
        </w:rPr>
        <w:t> </w:t>
      </w:r>
      <w:r>
        <w:rPr>
          <w:w w:val="95"/>
          <w:sz w:val="20"/>
        </w:rPr>
        <w:t>způsobilým</w:t>
      </w:r>
      <w:r>
        <w:rPr>
          <w:spacing w:val="25"/>
          <w:sz w:val="20"/>
        </w:rPr>
        <w:t> </w:t>
      </w:r>
      <w:r>
        <w:rPr>
          <w:w w:val="95"/>
          <w:sz w:val="20"/>
        </w:rPr>
        <w:t>výdajům</w:t>
      </w:r>
      <w:r>
        <w:rPr>
          <w:spacing w:val="24"/>
          <w:sz w:val="20"/>
        </w:rPr>
        <w:t> </w:t>
      </w:r>
      <w:r>
        <w:rPr>
          <w:spacing w:val="-2"/>
          <w:w w:val="95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40" w:lineRule="auto" w:before="121" w:after="0"/>
        <w:ind w:left="424" w:right="108" w:hanging="425"/>
        <w:jc w:val="right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spacing w:before="1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0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0" w:hanging="360"/>
        <w:jc w:val="left"/>
        <w:rPr>
          <w:sz w:val="20"/>
        </w:rPr>
      </w:pPr>
      <w:r>
        <w:rPr>
          <w:sz w:val="20"/>
        </w:rPr>
        <w:t>akce Udržitelná elektromobilita pro Městské lesy Volary byla provedena v</w:t>
      </w:r>
      <w:r>
        <w:rPr>
          <w:spacing w:val="-2"/>
          <w:sz w:val="20"/>
        </w:rPr>
        <w:t> </w:t>
      </w:r>
      <w:r>
        <w:rPr>
          <w:sz w:val="20"/>
        </w:rPr>
        <w:t>souladu s</w:t>
      </w:r>
      <w:r>
        <w:rPr>
          <w:spacing w:val="-2"/>
          <w:sz w:val="20"/>
        </w:rPr>
        <w:t> </w:t>
      </w:r>
      <w:r>
        <w:rPr>
          <w:sz w:val="20"/>
        </w:rPr>
        <w:t>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12.</w:t>
      </w:r>
      <w:r>
        <w:rPr>
          <w:spacing w:val="-5"/>
          <w:sz w:val="20"/>
        </w:rPr>
        <w:t> </w:t>
      </w:r>
      <w:r>
        <w:rPr>
          <w:sz w:val="20"/>
        </w:rPr>
        <w:t>6.</w:t>
      </w:r>
      <w:r>
        <w:rPr>
          <w:spacing w:val="-5"/>
          <w:sz w:val="20"/>
        </w:rPr>
        <w:t> </w:t>
      </w:r>
      <w:r>
        <w:rPr>
          <w:sz w:val="20"/>
        </w:rPr>
        <w:t>2023</w:t>
      </w:r>
      <w:r>
        <w:rPr>
          <w:spacing w:val="-1"/>
          <w:sz w:val="20"/>
        </w:rPr>
        <w:t> </w:t>
      </w:r>
      <w:r>
        <w:rPr>
          <w:sz w:val="20"/>
        </w:rPr>
        <w:t>nakoupil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nových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vozidel,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809" w:right="112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7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1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3"/>
        </w:rPr>
        <w:t> </w:t>
      </w:r>
      <w:r>
        <w:rPr/>
        <w:t>platném</w:t>
      </w:r>
      <w:r>
        <w:rPr>
          <w:spacing w:val="-9"/>
        </w:rPr>
        <w:t> </w:t>
      </w:r>
      <w:r>
        <w:rPr/>
        <w:t>znění,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že</w:t>
      </w:r>
      <w:r>
        <w:rPr>
          <w:spacing w:val="-10"/>
        </w:rPr>
        <w:t> </w:t>
      </w:r>
      <w:r>
        <w:rPr/>
        <w:t>mohou</w:t>
      </w:r>
      <w:r>
        <w:rPr>
          <w:spacing w:val="-11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0"/>
        </w:rPr>
        <w:t> </w:t>
      </w:r>
      <w:r>
        <w:rPr/>
        <w:t>tohoto</w:t>
      </w:r>
      <w:r>
        <w:rPr>
          <w:spacing w:val="-10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předmět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5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65" w:lineRule="exact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nebude</w:t>
      </w:r>
      <w:r>
        <w:rPr>
          <w:spacing w:val="9"/>
          <w:sz w:val="20"/>
        </w:rPr>
        <w:t> </w:t>
      </w:r>
      <w:r>
        <w:rPr>
          <w:sz w:val="20"/>
        </w:rPr>
        <w:t>čerpat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10"/>
          <w:sz w:val="20"/>
        </w:rPr>
        <w:t> </w:t>
      </w:r>
      <w:r>
        <w:rPr>
          <w:sz w:val="20"/>
        </w:rPr>
        <w:t>stejné</w:t>
      </w:r>
      <w:r>
        <w:rPr>
          <w:spacing w:val="9"/>
          <w:sz w:val="20"/>
        </w:rPr>
        <w:t> </w:t>
      </w:r>
      <w:r>
        <w:rPr>
          <w:sz w:val="20"/>
        </w:rPr>
        <w:t>způsobilé</w:t>
      </w:r>
      <w:r>
        <w:rPr>
          <w:spacing w:val="9"/>
          <w:sz w:val="20"/>
        </w:rPr>
        <w:t> </w:t>
      </w:r>
      <w:r>
        <w:rPr>
          <w:sz w:val="20"/>
        </w:rPr>
        <w:t>výdaje</w:t>
      </w:r>
      <w:r>
        <w:rPr>
          <w:spacing w:val="9"/>
          <w:sz w:val="20"/>
        </w:rPr>
        <w:t> </w:t>
      </w:r>
      <w:r>
        <w:rPr>
          <w:sz w:val="20"/>
        </w:rPr>
        <w:t>nebo</w:t>
      </w:r>
      <w:r>
        <w:rPr>
          <w:spacing w:val="12"/>
          <w:sz w:val="20"/>
        </w:rPr>
        <w:t> </w:t>
      </w:r>
      <w:r>
        <w:rPr>
          <w:sz w:val="20"/>
        </w:rPr>
        <w:t>jejich</w:t>
      </w:r>
      <w:r>
        <w:rPr>
          <w:spacing w:val="13"/>
          <w:sz w:val="20"/>
        </w:rPr>
        <w:t> </w:t>
      </w:r>
      <w:r>
        <w:rPr>
          <w:sz w:val="20"/>
        </w:rPr>
        <w:t>části</w:t>
      </w:r>
      <w:r>
        <w:rPr>
          <w:spacing w:val="10"/>
          <w:sz w:val="20"/>
        </w:rPr>
        <w:t> </w:t>
      </w:r>
      <w:r>
        <w:rPr>
          <w:sz w:val="20"/>
        </w:rPr>
        <w:t>jinou</w:t>
      </w:r>
      <w:r>
        <w:rPr>
          <w:spacing w:val="11"/>
          <w:sz w:val="20"/>
        </w:rPr>
        <w:t> </w:t>
      </w:r>
      <w:r>
        <w:rPr>
          <w:sz w:val="20"/>
        </w:rPr>
        <w:t>veřejnou</w:t>
      </w:r>
      <w:r>
        <w:rPr>
          <w:spacing w:val="11"/>
          <w:sz w:val="20"/>
        </w:rPr>
        <w:t> </w:t>
      </w:r>
      <w:r>
        <w:rPr>
          <w:sz w:val="20"/>
        </w:rPr>
        <w:t>podporu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9"/>
          <w:sz w:val="20"/>
        </w:rPr>
        <w:t> </w:t>
      </w:r>
      <w:r>
        <w:rPr>
          <w:sz w:val="20"/>
        </w:rPr>
        <w:t>článku</w:t>
      </w:r>
      <w:r>
        <w:rPr>
          <w:spacing w:val="11"/>
          <w:sz w:val="20"/>
        </w:rPr>
        <w:t> </w:t>
      </w:r>
      <w:r>
        <w:rPr>
          <w:spacing w:val="-5"/>
          <w:sz w:val="20"/>
        </w:rPr>
        <w:t>107</w:t>
      </w:r>
    </w:p>
    <w:p>
      <w:pPr>
        <w:pStyle w:val="BodyText"/>
        <w:spacing w:line="265" w:lineRule="exact"/>
        <w:ind w:left="741"/>
        <w:jc w:val="both"/>
      </w:pPr>
      <w:r>
        <w:rPr/>
        <w:t>odst.</w:t>
      </w:r>
      <w:r>
        <w:rPr>
          <w:spacing w:val="-14"/>
        </w:rPr>
        <w:t> </w:t>
      </w:r>
      <w:r>
        <w:rPr/>
        <w:t>1</w:t>
      </w:r>
      <w:r>
        <w:rPr>
          <w:spacing w:val="-12"/>
        </w:rPr>
        <w:t> </w:t>
      </w:r>
      <w:r>
        <w:rPr/>
        <w:t>Smlouvy</w:t>
      </w:r>
      <w:r>
        <w:rPr>
          <w:spacing w:val="-14"/>
        </w:rPr>
        <w:t> </w:t>
      </w:r>
      <w:r>
        <w:rPr/>
        <w:t>o</w:t>
      </w:r>
      <w:r>
        <w:rPr>
          <w:spacing w:val="-10"/>
        </w:rPr>
        <w:t> </w:t>
      </w:r>
      <w:r>
        <w:rPr/>
        <w:t>fungování</w:t>
      </w:r>
      <w:r>
        <w:rPr>
          <w:spacing w:val="-14"/>
        </w:rPr>
        <w:t> </w:t>
      </w:r>
      <w:r>
        <w:rPr/>
        <w:t>Evropské</w:t>
      </w:r>
      <w:r>
        <w:rPr>
          <w:spacing w:val="-12"/>
        </w:rPr>
        <w:t> </w:t>
      </w:r>
      <w:r>
        <w:rPr/>
        <w:t>unie,</w:t>
      </w:r>
      <w:r>
        <w:rPr>
          <w:spacing w:val="-12"/>
        </w:rPr>
        <w:t> </w:t>
      </w:r>
      <w:r>
        <w:rPr/>
        <w:t>podporu</w:t>
      </w:r>
      <w:r>
        <w:rPr>
          <w:spacing w:val="-13"/>
        </w:rPr>
        <w:t> </w:t>
      </w:r>
      <w:r>
        <w:rPr/>
        <w:t>z</w:t>
      </w:r>
      <w:r>
        <w:rPr>
          <w:spacing w:val="-11"/>
        </w:rPr>
        <w:t> </w:t>
      </w:r>
      <w:r>
        <w:rPr/>
        <w:t>prostředků</w:t>
      </w:r>
      <w:r>
        <w:rPr>
          <w:spacing w:val="-13"/>
        </w:rPr>
        <w:t> </w:t>
      </w:r>
      <w:r>
        <w:rPr/>
        <w:t>Unie,</w:t>
      </w:r>
      <w:r>
        <w:rPr>
          <w:spacing w:val="-12"/>
        </w:rPr>
        <w:t> </w:t>
      </w:r>
      <w:r>
        <w:rPr/>
        <w:t>které</w:t>
      </w:r>
      <w:r>
        <w:rPr>
          <w:spacing w:val="-14"/>
        </w:rPr>
        <w:t> </w:t>
      </w:r>
      <w:r>
        <w:rPr/>
        <w:t>centrálně</w:t>
      </w:r>
      <w:r>
        <w:rPr>
          <w:spacing w:val="-11"/>
        </w:rPr>
        <w:t> </w:t>
      </w:r>
      <w:r>
        <w:rPr/>
        <w:t>spravují</w:t>
      </w:r>
      <w:r>
        <w:rPr>
          <w:spacing w:val="-14"/>
        </w:rPr>
        <w:t> </w:t>
      </w:r>
      <w:r>
        <w:rPr>
          <w:spacing w:val="-2"/>
        </w:rPr>
        <w:t>orgány,</w:t>
      </w:r>
    </w:p>
    <w:p>
      <w:pPr>
        <w:spacing w:after="0" w:line="265" w:lineRule="exact"/>
        <w:jc w:val="both"/>
        <w:sectPr>
          <w:pgSz w:w="12240" w:h="15840"/>
          <w:pgMar w:header="0" w:footer="1437" w:top="1060" w:bottom="1620" w:left="1320" w:right="1020"/>
        </w:sectPr>
      </w:pPr>
    </w:p>
    <w:p>
      <w:pPr>
        <w:pStyle w:val="BodyText"/>
        <w:spacing w:before="73"/>
        <w:ind w:left="741" w:right="117"/>
        <w:jc w:val="both"/>
      </w:pPr>
      <w:r>
        <w:rPr/>
        <w:t>agentury,</w:t>
      </w:r>
      <w:r>
        <w:rPr>
          <w:spacing w:val="-4"/>
        </w:rPr>
        <w:t> </w:t>
      </w:r>
      <w:r>
        <w:rPr/>
        <w:t>společné</w:t>
      </w:r>
      <w:r>
        <w:rPr>
          <w:spacing w:val="-4"/>
        </w:rPr>
        <w:t> </w:t>
      </w:r>
      <w:r>
        <w:rPr/>
        <w:t>podniky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jiné</w:t>
      </w:r>
      <w:r>
        <w:rPr>
          <w:spacing w:val="-5"/>
        </w:rPr>
        <w:t> </w:t>
      </w:r>
      <w:r>
        <w:rPr/>
        <w:t>subjekty</w:t>
      </w:r>
      <w:r>
        <w:rPr>
          <w:spacing w:val="-4"/>
        </w:rPr>
        <w:t> </w:t>
      </w:r>
      <w:r>
        <w:rPr/>
        <w:t>EU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která</w:t>
      </w:r>
      <w:r>
        <w:rPr>
          <w:spacing w:val="-4"/>
        </w:rPr>
        <w:t> </w:t>
      </w:r>
      <w:r>
        <w:rPr/>
        <w:t>není</w:t>
      </w:r>
      <w:r>
        <w:rPr>
          <w:spacing w:val="-4"/>
        </w:rPr>
        <w:t> </w:t>
      </w:r>
      <w:r>
        <w:rPr/>
        <w:t>přímo</w:t>
      </w:r>
      <w:r>
        <w:rPr>
          <w:spacing w:val="-3"/>
        </w:rPr>
        <w:t> </w:t>
      </w:r>
      <w:r>
        <w:rPr/>
        <w:t>ani</w:t>
      </w:r>
      <w:r>
        <w:rPr>
          <w:spacing w:val="-4"/>
        </w:rPr>
        <w:t> </w:t>
      </w:r>
      <w:r>
        <w:rPr/>
        <w:t>nepřímo</w:t>
      </w:r>
      <w:r>
        <w:rPr>
          <w:spacing w:val="-3"/>
        </w:rPr>
        <w:t> </w:t>
      </w:r>
      <w:r>
        <w:rPr/>
        <w:t>pod</w:t>
      </w:r>
      <w:r>
        <w:rPr>
          <w:spacing w:val="-3"/>
        </w:rPr>
        <w:t> </w:t>
      </w:r>
      <w:r>
        <w:rPr/>
        <w:t>kontrolou</w:t>
      </w:r>
      <w:r>
        <w:rPr>
          <w:spacing w:val="-3"/>
        </w:rPr>
        <w:t> </w:t>
      </w:r>
      <w:r>
        <w:rPr/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4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4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2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7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postiženo</w:t>
      </w:r>
      <w:r>
        <w:rPr>
          <w:spacing w:val="13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20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0"/>
          <w:sz w:val="20"/>
        </w:rPr>
        <w:t> </w:t>
      </w:r>
      <w:r>
        <w:rPr>
          <w:sz w:val="20"/>
        </w:rPr>
        <w:t>stanovených</w:t>
      </w:r>
      <w:r>
        <w:rPr>
          <w:spacing w:val="20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4"/>
          <w:sz w:val="20"/>
        </w:rPr>
        <w:t> </w:t>
      </w:r>
      <w:r>
        <w:rPr>
          <w:sz w:val="20"/>
        </w:rPr>
        <w:t>povinnost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1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37" w:top="1060" w:bottom="1660" w:left="1320" w:right="1020"/>
        </w:sectPr>
      </w:pPr>
    </w:p>
    <w:p>
      <w:pPr>
        <w:pStyle w:val="BodyText"/>
        <w:spacing w:before="73"/>
        <w:jc w:val="both"/>
      </w:pPr>
      <w:r>
        <w:rPr/>
        <w:t>a</w:t>
      </w:r>
      <w:r>
        <w:rPr>
          <w:spacing w:val="-7"/>
        </w:rPr>
        <w:t> </w:t>
      </w:r>
      <w:r>
        <w:rPr/>
        <w:t>o</w:t>
      </w:r>
      <w:r>
        <w:rPr>
          <w:spacing w:val="-12"/>
        </w:rPr>
        <w:t> </w:t>
      </w:r>
      <w:r>
        <w:rPr/>
        <w:t>registru</w:t>
      </w:r>
      <w:r>
        <w:rPr>
          <w:spacing w:val="-12"/>
        </w:rPr>
        <w:t> </w:t>
      </w:r>
      <w:r>
        <w:rPr/>
        <w:t>smluv</w:t>
      </w:r>
      <w:r>
        <w:rPr>
          <w:spacing w:val="-10"/>
        </w:rPr>
        <w:t> </w:t>
      </w:r>
      <w:r>
        <w:rPr/>
        <w:t>(zákon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2"/>
        </w:rPr>
        <w:t> </w:t>
      </w:r>
      <w:r>
        <w:rPr/>
        <w:t>smluv),</w:t>
      </w:r>
      <w:r>
        <w:rPr>
          <w:spacing w:val="-12"/>
        </w:rPr>
        <w:t> </w:t>
      </w:r>
      <w:r>
        <w:rPr/>
        <w:t>ve</w:t>
      </w:r>
      <w:r>
        <w:rPr>
          <w:spacing w:val="-13"/>
        </w:rPr>
        <w:t> </w:t>
      </w:r>
      <w:r>
        <w:rPr/>
        <w:t>znění</w:t>
      </w:r>
      <w:r>
        <w:rPr>
          <w:spacing w:val="-12"/>
        </w:rPr>
        <w:t> </w:t>
      </w:r>
      <w:r>
        <w:rPr/>
        <w:t>pozdějších</w:t>
      </w:r>
      <w:r>
        <w:rPr>
          <w:spacing w:val="-12"/>
        </w:rPr>
        <w:t> </w:t>
      </w:r>
      <w:r>
        <w:rPr/>
        <w:t>předpisů,</w:t>
      </w:r>
      <w:r>
        <w:rPr>
          <w:spacing w:val="-12"/>
        </w:rPr>
        <w:t> </w:t>
      </w:r>
      <w:r>
        <w:rPr/>
        <w:t>pokud</w:t>
      </w:r>
      <w:r>
        <w:rPr>
          <w:spacing w:val="-12"/>
        </w:rPr>
        <w:t> </w:t>
      </w:r>
      <w:r>
        <w:rPr/>
        <w:t>zveřejnění</w:t>
      </w:r>
      <w:r>
        <w:rPr>
          <w:spacing w:val="-10"/>
        </w:rPr>
        <w:t> </w:t>
      </w:r>
      <w:r>
        <w:rPr/>
        <w:t>této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jc w:val="both"/>
      </w:pPr>
      <w:r>
        <w:rPr/>
        <w:t>tento</w:t>
      </w:r>
      <w:r>
        <w:rPr>
          <w:spacing w:val="-7"/>
        </w:rPr>
        <w:t> </w:t>
      </w:r>
      <w:r>
        <w:rPr/>
        <w:t>zákon</w:t>
      </w:r>
      <w:r>
        <w:rPr>
          <w:spacing w:val="-7"/>
        </w:rPr>
        <w:t> </w:t>
      </w:r>
      <w:r>
        <w:rPr>
          <w:spacing w:val="-2"/>
        </w:rPr>
        <w:t>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37" w:top="1060" w:bottom="1660" w:left="1320" w:right="1020"/>
        </w:sectPr>
      </w:pPr>
    </w:p>
    <w:p>
      <w:pPr>
        <w:pStyle w:val="BodyText"/>
        <w:spacing w:before="139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79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2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37" w:top="182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7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7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7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37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37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371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2023-08-09T07:01:31Z</dcterms:created>
  <dcterms:modified xsi:type="dcterms:W3CDTF">2023-08-09T07:01:31Z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2023-08-09T00:00:00Z</vt:filetime>
  </property>
</Properties>
</file>