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F7139B">
        <w:rPr>
          <w:rFonts w:ascii="Arial" w:hAnsi="Arial" w:cs="Arial"/>
          <w:b/>
          <w:sz w:val="22"/>
          <w:szCs w:val="22"/>
        </w:rPr>
        <w:t>920/2023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AD7668" w:rsidRDefault="005D5838" w:rsidP="00E95E53">
      <w:pPr>
        <w:tabs>
          <w:tab w:val="left" w:pos="4080"/>
        </w:tabs>
        <w:jc w:val="center"/>
        <w:rPr>
          <w:rFonts w:ascii="Arial" w:hAnsi="Arial" w:cs="Arial"/>
          <w:b/>
          <w:szCs w:val="24"/>
        </w:rPr>
      </w:pPr>
      <w:r w:rsidRPr="005D5838">
        <w:rPr>
          <w:rFonts w:ascii="Arial" w:hAnsi="Arial" w:cs="Arial"/>
          <w:b/>
          <w:szCs w:val="24"/>
        </w:rPr>
        <w:t>AB provozu Česká Lípa - hlavní a boční schodiště</w:t>
      </w:r>
    </w:p>
    <w:p w:rsidR="005D5838" w:rsidRPr="00454D43" w:rsidRDefault="005D5838"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B13964" w:rsidRPr="00454D43" w:rsidRDefault="00B13964" w:rsidP="00B13964">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F7139B" w:rsidRDefault="00F7139B" w:rsidP="00F7139B">
      <w:pPr>
        <w:tabs>
          <w:tab w:val="left" w:pos="3960"/>
          <w:tab w:val="left" w:pos="6086"/>
        </w:tabs>
        <w:jc w:val="both"/>
        <w:rPr>
          <w:rFonts w:ascii="Arial" w:hAnsi="Arial" w:cs="Arial"/>
          <w:b/>
          <w:sz w:val="22"/>
          <w:szCs w:val="22"/>
        </w:rPr>
      </w:pPr>
      <w:r w:rsidRPr="00403117">
        <w:rPr>
          <w:rFonts w:ascii="Arial" w:hAnsi="Arial" w:cs="Arial"/>
          <w:b/>
          <w:sz w:val="22"/>
          <w:szCs w:val="22"/>
        </w:rPr>
        <w:t>Zhotovitel:</w:t>
      </w:r>
      <w:r w:rsidRPr="00403117">
        <w:rPr>
          <w:rFonts w:ascii="Arial" w:hAnsi="Arial" w:cs="Arial"/>
          <w:b/>
          <w:sz w:val="22"/>
          <w:szCs w:val="22"/>
        </w:rPr>
        <w:tab/>
      </w:r>
      <w:r w:rsidRPr="008C7361">
        <w:rPr>
          <w:rFonts w:ascii="Arial" w:hAnsi="Arial" w:cs="Arial"/>
          <w:b/>
          <w:sz w:val="22"/>
          <w:szCs w:val="22"/>
        </w:rPr>
        <w:t>Linea podlahy, s.r.o.</w:t>
      </w:r>
      <w:r>
        <w:rPr>
          <w:rFonts w:ascii="Arial" w:hAnsi="Arial" w:cs="Arial"/>
          <w:b/>
          <w:sz w:val="22"/>
          <w:szCs w:val="22"/>
        </w:rPr>
        <w:tab/>
      </w:r>
    </w:p>
    <w:p w:rsidR="00F7139B" w:rsidRPr="00403117" w:rsidRDefault="00F7139B" w:rsidP="00F7139B">
      <w:pPr>
        <w:tabs>
          <w:tab w:val="left" w:pos="3960"/>
        </w:tabs>
        <w:jc w:val="both"/>
        <w:rPr>
          <w:rFonts w:ascii="Arial" w:hAnsi="Arial" w:cs="Arial"/>
          <w:sz w:val="22"/>
          <w:szCs w:val="22"/>
        </w:rPr>
      </w:pPr>
      <w:r>
        <w:rPr>
          <w:rFonts w:ascii="Arial" w:hAnsi="Arial" w:cs="Arial"/>
          <w:b/>
          <w:sz w:val="22"/>
          <w:szCs w:val="22"/>
        </w:rPr>
        <w:t>sídlo</w:t>
      </w:r>
      <w:r w:rsidRPr="006439F3">
        <w:rPr>
          <w:rFonts w:ascii="Arial" w:hAnsi="Arial" w:cs="Arial"/>
          <w:b/>
          <w:sz w:val="22"/>
          <w:szCs w:val="22"/>
        </w:rPr>
        <w:t>:</w:t>
      </w:r>
      <w:r w:rsidRPr="00403117">
        <w:rPr>
          <w:rFonts w:ascii="Arial" w:hAnsi="Arial" w:cs="Arial"/>
          <w:b/>
          <w:sz w:val="22"/>
          <w:szCs w:val="22"/>
        </w:rPr>
        <w:tab/>
      </w:r>
      <w:r w:rsidRPr="008C7361">
        <w:rPr>
          <w:rFonts w:ascii="Arial" w:hAnsi="Arial" w:cs="Arial"/>
          <w:sz w:val="22"/>
          <w:szCs w:val="22"/>
        </w:rPr>
        <w:t>Kamýcká 440/7, Předměstí, 412 01 Litoměřice</w:t>
      </w:r>
    </w:p>
    <w:p w:rsidR="00F7139B" w:rsidRPr="00403117" w:rsidRDefault="00F7139B" w:rsidP="00F7139B">
      <w:pPr>
        <w:tabs>
          <w:tab w:val="left" w:pos="3960"/>
        </w:tabs>
        <w:jc w:val="both"/>
        <w:rPr>
          <w:rFonts w:ascii="Arial" w:hAnsi="Arial" w:cs="Arial"/>
          <w:b/>
          <w:sz w:val="22"/>
          <w:szCs w:val="22"/>
        </w:rPr>
      </w:pPr>
      <w:r w:rsidRPr="00403117">
        <w:rPr>
          <w:rFonts w:ascii="Arial" w:hAnsi="Arial" w:cs="Arial"/>
          <w:b/>
          <w:sz w:val="22"/>
          <w:szCs w:val="22"/>
        </w:rPr>
        <w:t>IČ</w:t>
      </w:r>
      <w:r w:rsidR="008052DD">
        <w:rPr>
          <w:rFonts w:ascii="Arial" w:hAnsi="Arial" w:cs="Arial"/>
          <w:b/>
          <w:sz w:val="22"/>
          <w:szCs w:val="22"/>
        </w:rPr>
        <w:t>O</w:t>
      </w:r>
      <w:r w:rsidRPr="00403117">
        <w:rPr>
          <w:rFonts w:ascii="Arial" w:hAnsi="Arial" w:cs="Arial"/>
          <w:b/>
          <w:sz w:val="22"/>
          <w:szCs w:val="22"/>
        </w:rPr>
        <w:t>:</w:t>
      </w:r>
      <w:r w:rsidRPr="00403117">
        <w:rPr>
          <w:rFonts w:ascii="Arial" w:hAnsi="Arial" w:cs="Arial"/>
          <w:b/>
          <w:sz w:val="22"/>
          <w:szCs w:val="22"/>
        </w:rPr>
        <w:tab/>
      </w:r>
      <w:r w:rsidRPr="008C7361">
        <w:rPr>
          <w:rFonts w:ascii="Arial" w:hAnsi="Arial" w:cs="Arial"/>
          <w:sz w:val="22"/>
          <w:szCs w:val="22"/>
        </w:rPr>
        <w:t>28702611</w:t>
      </w:r>
    </w:p>
    <w:p w:rsidR="00F7139B" w:rsidRPr="00403117" w:rsidRDefault="00F7139B" w:rsidP="00F7139B">
      <w:pPr>
        <w:tabs>
          <w:tab w:val="left" w:pos="3960"/>
        </w:tabs>
        <w:jc w:val="both"/>
        <w:rPr>
          <w:rFonts w:ascii="Arial" w:hAnsi="Arial" w:cs="Arial"/>
          <w:sz w:val="22"/>
          <w:szCs w:val="22"/>
        </w:rPr>
      </w:pPr>
      <w:r w:rsidRPr="00403117">
        <w:rPr>
          <w:rFonts w:ascii="Arial" w:hAnsi="Arial" w:cs="Arial"/>
          <w:b/>
          <w:sz w:val="22"/>
          <w:szCs w:val="22"/>
        </w:rPr>
        <w:t>DIČ:</w:t>
      </w:r>
      <w:r w:rsidRPr="00403117">
        <w:rPr>
          <w:rFonts w:ascii="Arial" w:hAnsi="Arial" w:cs="Arial"/>
          <w:b/>
          <w:sz w:val="22"/>
          <w:szCs w:val="22"/>
        </w:rPr>
        <w:tab/>
      </w:r>
      <w:r w:rsidRPr="000725C0">
        <w:rPr>
          <w:rFonts w:ascii="Arial" w:hAnsi="Arial" w:cs="Arial"/>
          <w:sz w:val="22"/>
          <w:szCs w:val="22"/>
        </w:rPr>
        <w:t>CZ</w:t>
      </w:r>
      <w:r w:rsidRPr="008C7361">
        <w:rPr>
          <w:rFonts w:ascii="Arial" w:hAnsi="Arial" w:cs="Arial"/>
          <w:sz w:val="22"/>
          <w:szCs w:val="22"/>
        </w:rPr>
        <w:t>28702611</w:t>
      </w:r>
    </w:p>
    <w:p w:rsidR="00F7139B" w:rsidRPr="006439F3" w:rsidRDefault="00F7139B" w:rsidP="00F7139B">
      <w:pPr>
        <w:tabs>
          <w:tab w:val="left" w:pos="3969"/>
        </w:tabs>
        <w:jc w:val="both"/>
        <w:rPr>
          <w:rFonts w:ascii="Arial" w:hAnsi="Arial" w:cs="Arial"/>
          <w:sz w:val="22"/>
          <w:szCs w:val="22"/>
        </w:rPr>
      </w:pPr>
    </w:p>
    <w:p w:rsidR="00F7139B" w:rsidRPr="006439F3" w:rsidRDefault="00F7139B" w:rsidP="00F7139B">
      <w:pPr>
        <w:tabs>
          <w:tab w:val="left" w:pos="3960"/>
        </w:tabs>
        <w:jc w:val="both"/>
        <w:rPr>
          <w:rFonts w:ascii="Arial" w:hAnsi="Arial" w:cs="Arial"/>
          <w:sz w:val="22"/>
          <w:szCs w:val="22"/>
        </w:rPr>
      </w:pPr>
      <w:r>
        <w:rPr>
          <w:rFonts w:ascii="Arial" w:hAnsi="Arial" w:cs="Arial"/>
          <w:sz w:val="22"/>
          <w:szCs w:val="22"/>
        </w:rPr>
        <w:t>Zhotovitel</w:t>
      </w:r>
      <w:r w:rsidRPr="006439F3">
        <w:rPr>
          <w:rFonts w:ascii="Arial" w:hAnsi="Arial" w:cs="Arial"/>
          <w:sz w:val="22"/>
          <w:szCs w:val="22"/>
        </w:rPr>
        <w:t xml:space="preserve"> je zapsán v obchodním rejstříku Krajského soudu v Ústí nad Labem v oddílu </w:t>
      </w:r>
      <w:r>
        <w:rPr>
          <w:rFonts w:ascii="Arial" w:hAnsi="Arial" w:cs="Arial"/>
          <w:sz w:val="22"/>
          <w:szCs w:val="22"/>
        </w:rPr>
        <w:t>C</w:t>
      </w:r>
      <w:r w:rsidRPr="006439F3">
        <w:rPr>
          <w:rFonts w:ascii="Arial" w:hAnsi="Arial" w:cs="Arial"/>
          <w:sz w:val="22"/>
          <w:szCs w:val="22"/>
        </w:rPr>
        <w:t xml:space="preserve">, vložce č. </w:t>
      </w:r>
      <w:r w:rsidRPr="008C7361">
        <w:rPr>
          <w:rFonts w:ascii="Arial" w:hAnsi="Arial" w:cs="Arial"/>
          <w:sz w:val="22"/>
          <w:szCs w:val="22"/>
        </w:rPr>
        <w:t>27512</w:t>
      </w:r>
      <w:r>
        <w:rPr>
          <w:rFonts w:ascii="Arial" w:hAnsi="Arial" w:cs="Arial"/>
          <w:sz w:val="22"/>
          <w:szCs w:val="22"/>
        </w:rPr>
        <w:t>.</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AD7668" w:rsidRDefault="00864AB4" w:rsidP="00864AB4">
      <w:pPr>
        <w:jc w:val="both"/>
        <w:rPr>
          <w:rFonts w:ascii="Arial" w:hAnsi="Arial" w:cs="Arial"/>
          <w:sz w:val="22"/>
          <w:szCs w:val="22"/>
        </w:rPr>
      </w:pPr>
    </w:p>
    <w:p w:rsidR="008267A4" w:rsidRPr="00AD7668" w:rsidRDefault="005D5838" w:rsidP="00864AB4">
      <w:pPr>
        <w:jc w:val="both"/>
        <w:rPr>
          <w:rFonts w:ascii="Arial" w:hAnsi="Arial" w:cs="Arial"/>
          <w:b/>
          <w:sz w:val="22"/>
          <w:szCs w:val="22"/>
        </w:rPr>
      </w:pPr>
      <w:r w:rsidRPr="005D5838">
        <w:rPr>
          <w:rFonts w:ascii="Arial" w:hAnsi="Arial" w:cs="Arial"/>
          <w:b/>
          <w:sz w:val="22"/>
          <w:szCs w:val="22"/>
        </w:rPr>
        <w:t>AB provozu Česká Lípa - hlavní a boční schodiště</w:t>
      </w:r>
    </w:p>
    <w:p w:rsidR="00AD7668" w:rsidRPr="00454D43" w:rsidRDefault="00AD7668"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0F2E37" w:rsidRDefault="000F2E37" w:rsidP="00A919B5">
      <w:pPr>
        <w:pStyle w:val="Zkladntext"/>
        <w:widowControl/>
        <w:spacing w:before="120"/>
        <w:jc w:val="center"/>
        <w:rPr>
          <w:rFonts w:cs="Arial"/>
          <w:b/>
          <w:color w:val="auto"/>
          <w:sz w:val="22"/>
          <w:szCs w:val="22"/>
          <w:u w:val="single"/>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4F3F86" w:rsidRPr="00606A22" w:rsidRDefault="004F3F86" w:rsidP="00001725">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w:t>
      </w:r>
      <w:r w:rsidR="00F7139B" w:rsidRPr="00432702">
        <w:rPr>
          <w:rFonts w:cs="Arial"/>
          <w:sz w:val="22"/>
          <w:szCs w:val="22"/>
        </w:rPr>
        <w:t xml:space="preserve">zavazuje provést výše uvedené dílo v rozsahu </w:t>
      </w:r>
      <w:r w:rsidR="00F7139B">
        <w:rPr>
          <w:rFonts w:cs="Arial"/>
          <w:sz w:val="22"/>
          <w:szCs w:val="22"/>
        </w:rPr>
        <w:t>V</w:t>
      </w:r>
      <w:r w:rsidR="00F7139B" w:rsidRPr="00432702">
        <w:rPr>
          <w:rFonts w:cs="Arial"/>
          <w:sz w:val="22"/>
          <w:szCs w:val="22"/>
        </w:rPr>
        <w:t>ýzvy k podání nabídky do výběrového řízení vypsaného objednatelem</w:t>
      </w:r>
      <w:r w:rsidR="00F7139B">
        <w:rPr>
          <w:rFonts w:cs="Arial"/>
          <w:sz w:val="22"/>
          <w:szCs w:val="22"/>
        </w:rPr>
        <w:t xml:space="preserve"> pod</w:t>
      </w:r>
      <w:r w:rsidR="00F7139B" w:rsidRPr="00432702">
        <w:rPr>
          <w:rFonts w:cs="Arial"/>
          <w:sz w:val="22"/>
          <w:szCs w:val="22"/>
        </w:rPr>
        <w:t xml:space="preserve"> č.j. POH/</w:t>
      </w:r>
      <w:r w:rsidR="00F7139B">
        <w:rPr>
          <w:rFonts w:cs="Arial"/>
          <w:sz w:val="22"/>
          <w:szCs w:val="22"/>
        </w:rPr>
        <w:t>35009/2023</w:t>
      </w:r>
      <w:r w:rsidR="00F7139B" w:rsidRPr="00432702">
        <w:rPr>
          <w:rFonts w:cs="Arial"/>
          <w:sz w:val="22"/>
          <w:szCs w:val="22"/>
        </w:rPr>
        <w:br/>
        <w:t xml:space="preserve">dne </w:t>
      </w:r>
      <w:r w:rsidR="00F7139B">
        <w:rPr>
          <w:rFonts w:cs="Arial"/>
          <w:sz w:val="22"/>
          <w:szCs w:val="22"/>
        </w:rPr>
        <w:t xml:space="preserve">4.7.2023 </w:t>
      </w:r>
      <w:r w:rsidR="00F7139B" w:rsidRPr="00432702">
        <w:rPr>
          <w:rFonts w:cs="Arial"/>
          <w:sz w:val="22"/>
          <w:szCs w:val="22"/>
        </w:rPr>
        <w:t xml:space="preserve">a přijaté cenové nabídky </w:t>
      </w:r>
      <w:r w:rsidR="00F7139B">
        <w:rPr>
          <w:rFonts w:cs="Arial"/>
          <w:sz w:val="22"/>
          <w:szCs w:val="22"/>
        </w:rPr>
        <w:t>zhotovitele</w:t>
      </w:r>
      <w:r w:rsidR="00F7139B" w:rsidRPr="00432702">
        <w:rPr>
          <w:rFonts w:cs="Arial"/>
          <w:sz w:val="22"/>
          <w:szCs w:val="22"/>
        </w:rPr>
        <w:t xml:space="preserve"> k výběrovému řízení ze dne </w:t>
      </w:r>
      <w:r w:rsidR="00F7139B">
        <w:rPr>
          <w:rFonts w:cs="Arial"/>
          <w:sz w:val="22"/>
          <w:szCs w:val="22"/>
        </w:rPr>
        <w:t>17.7.2023.</w:t>
      </w:r>
    </w:p>
    <w:p w:rsidR="007B1541" w:rsidRDefault="00606A22" w:rsidP="00F7139B">
      <w:pPr>
        <w:ind w:left="426"/>
        <w:jc w:val="both"/>
        <w:rPr>
          <w:rFonts w:ascii="Arial" w:hAnsi="Arial" w:cs="Arial"/>
          <w:sz w:val="22"/>
          <w:szCs w:val="22"/>
        </w:rPr>
      </w:pPr>
      <w:r w:rsidRPr="00124AEF">
        <w:rPr>
          <w:rFonts w:ascii="Arial" w:hAnsi="Arial" w:cs="Arial"/>
          <w:sz w:val="22"/>
          <w:szCs w:val="22"/>
        </w:rPr>
        <w:t xml:space="preserve">Předmětem díla </w:t>
      </w:r>
      <w:r w:rsidR="00124AEF" w:rsidRPr="00124AEF">
        <w:rPr>
          <w:rFonts w:ascii="Arial" w:hAnsi="Arial" w:cs="Arial"/>
          <w:sz w:val="22"/>
          <w:szCs w:val="22"/>
        </w:rPr>
        <w:t xml:space="preserve">je </w:t>
      </w:r>
      <w:r w:rsidR="007B1541" w:rsidRPr="007B1541">
        <w:rPr>
          <w:rFonts w:ascii="Arial" w:hAnsi="Arial" w:cs="Arial"/>
          <w:sz w:val="22"/>
          <w:szCs w:val="22"/>
        </w:rPr>
        <w:t xml:space="preserve">oprava venkovní keramické dlažby a mozaikové omítky na hlavním a bočním schodišti do administrativní budovy na adrese </w:t>
      </w:r>
      <w:r w:rsidR="00EF706B">
        <w:rPr>
          <w:rFonts w:ascii="Arial" w:hAnsi="Arial" w:cs="Arial"/>
          <w:sz w:val="22"/>
          <w:szCs w:val="22"/>
        </w:rPr>
        <w:t>………………………</w:t>
      </w:r>
      <w:r w:rsidR="007B1541" w:rsidRPr="007B1541">
        <w:rPr>
          <w:rFonts w:ascii="Arial" w:hAnsi="Arial" w:cs="Arial"/>
          <w:sz w:val="22"/>
          <w:szCs w:val="22"/>
        </w:rPr>
        <w:t>.</w:t>
      </w:r>
    </w:p>
    <w:p w:rsidR="00124AEF" w:rsidRPr="00124AEF" w:rsidRDefault="00124AEF" w:rsidP="00124AEF">
      <w:pPr>
        <w:ind w:left="426"/>
        <w:rPr>
          <w:rFonts w:ascii="Arial" w:hAnsi="Arial" w:cs="Arial"/>
          <w:sz w:val="22"/>
          <w:szCs w:val="22"/>
        </w:rPr>
      </w:pPr>
      <w:r w:rsidRPr="00124AEF">
        <w:rPr>
          <w:rFonts w:ascii="Arial" w:hAnsi="Arial" w:cs="Arial"/>
          <w:sz w:val="22"/>
          <w:szCs w:val="22"/>
        </w:rPr>
        <w:t xml:space="preserve">Jedná se </w:t>
      </w:r>
      <w:r w:rsidR="00797E89">
        <w:rPr>
          <w:rFonts w:ascii="Arial" w:hAnsi="Arial" w:cs="Arial"/>
          <w:sz w:val="22"/>
          <w:szCs w:val="22"/>
        </w:rPr>
        <w:t xml:space="preserve">o </w:t>
      </w:r>
      <w:r w:rsidRPr="00124AEF">
        <w:rPr>
          <w:rFonts w:ascii="Arial" w:hAnsi="Arial" w:cs="Arial"/>
          <w:sz w:val="22"/>
          <w:szCs w:val="22"/>
        </w:rPr>
        <w:t>tyto práce:</w:t>
      </w:r>
    </w:p>
    <w:p w:rsidR="007B1541" w:rsidRPr="007B1541" w:rsidRDefault="007B1541" w:rsidP="007B1541">
      <w:pPr>
        <w:ind w:firstLine="360"/>
        <w:jc w:val="both"/>
        <w:rPr>
          <w:rFonts w:ascii="Arial" w:hAnsi="Arial" w:cs="Arial"/>
          <w:sz w:val="22"/>
          <w:szCs w:val="22"/>
          <w:u w:val="single"/>
        </w:rPr>
      </w:pPr>
      <w:r w:rsidRPr="007B1541">
        <w:rPr>
          <w:rFonts w:ascii="Arial" w:hAnsi="Arial" w:cs="Arial"/>
          <w:sz w:val="22"/>
          <w:szCs w:val="22"/>
          <w:u w:val="single"/>
        </w:rPr>
        <w:t>Část č. 1 – Hlavní schodiště:</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Odstranění stávající degradované dekorativní mozaikové omítky (</w:t>
      </w:r>
      <w:proofErr w:type="spellStart"/>
      <w:r w:rsidRPr="007B1541">
        <w:rPr>
          <w:rFonts w:ascii="Arial" w:hAnsi="Arial" w:cs="Arial"/>
          <w:color w:val="auto"/>
          <w:sz w:val="22"/>
          <w:szCs w:val="22"/>
        </w:rPr>
        <w:t>marmolit</w:t>
      </w:r>
      <w:proofErr w:type="spellEnd"/>
      <w:r w:rsidRPr="007B1541">
        <w:rPr>
          <w:rFonts w:ascii="Arial" w:hAnsi="Arial" w:cs="Arial"/>
          <w:color w:val="auto"/>
          <w:sz w:val="22"/>
          <w:szCs w:val="22"/>
        </w:rPr>
        <w:t>) na bocích schodiště na ploše 2 m2</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Odstranění nesoudržných vrstev betonu na bocích schodiště na ploše 2 m2</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Vyrovnání a výplň děr betonového povrchu na bocích schodiště opravnou maltou na ploše 2 m2</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 xml:space="preserve">Natažení dekorativní mozaikové omítky, </w:t>
      </w:r>
      <w:proofErr w:type="spellStart"/>
      <w:r w:rsidRPr="007B1541">
        <w:rPr>
          <w:rFonts w:ascii="Arial" w:hAnsi="Arial" w:cs="Arial"/>
          <w:color w:val="auto"/>
          <w:sz w:val="22"/>
          <w:szCs w:val="22"/>
        </w:rPr>
        <w:t>střednězrné</w:t>
      </w:r>
      <w:proofErr w:type="spellEnd"/>
      <w:r w:rsidRPr="007B1541">
        <w:rPr>
          <w:rFonts w:ascii="Arial" w:hAnsi="Arial" w:cs="Arial"/>
          <w:color w:val="auto"/>
          <w:sz w:val="22"/>
          <w:szCs w:val="22"/>
        </w:rPr>
        <w:t>, dekor dle stávajícího povrchu na ploše 2 m2</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Odstranění (vybourání) stávající keramické dlažby na ploše 7,1 m2</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Odstranění stávajícího ocelového roštu pro čištění bot včetně vybourání rámu (ocelový L profil) - rozměry 181 cm x 46 cm</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Broušení betonového podkladu nové dlažby (odstranění zbytků lepidla a srovnání povrchu) na ploše 7,1 m2</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Instalace nového odnímatelného čistícího roštu s rámem - L profil (rozměry 181 cm x 46 cm), materiál pozinkovaná ocel</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 xml:space="preserve">Hydroizolační stěrka pod povrchem nové dlažby a v prostoru roštu na ploše 7,93 m2 </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 xml:space="preserve">Pokládka keramické dlažby 40x80 cm, odstín šedé, protiskluzová R10/B, na cementové lepidlo včetně spárování cementovou flexibilní spárovací hmotou na ploše 7,1 m2 </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 xml:space="preserve">Instalace hliníkových ukončovacích lišt na vodorovné hrany nové dlažby na bocích schodiště – 5,16 </w:t>
      </w:r>
      <w:proofErr w:type="spellStart"/>
      <w:r w:rsidRPr="007B1541">
        <w:rPr>
          <w:rFonts w:ascii="Arial" w:hAnsi="Arial" w:cs="Arial"/>
          <w:color w:val="auto"/>
          <w:sz w:val="22"/>
          <w:szCs w:val="22"/>
        </w:rPr>
        <w:t>bm</w:t>
      </w:r>
      <w:proofErr w:type="spellEnd"/>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Naložení, odvoz a likvidace vzniklého odpadu v souladu s platnými právními předpisy ČR</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 xml:space="preserve">Ostatní práce a náklady spojené s prováděním části č. 1 </w:t>
      </w:r>
    </w:p>
    <w:p w:rsidR="007B1541" w:rsidRPr="007B1541" w:rsidRDefault="007B1541" w:rsidP="007B1541">
      <w:pPr>
        <w:jc w:val="both"/>
        <w:rPr>
          <w:rFonts w:ascii="Arial" w:hAnsi="Arial" w:cs="Arial"/>
          <w:sz w:val="22"/>
          <w:szCs w:val="22"/>
        </w:rPr>
      </w:pPr>
    </w:p>
    <w:p w:rsidR="007B1541" w:rsidRPr="007B1541" w:rsidRDefault="007B1541" w:rsidP="007B1541">
      <w:pPr>
        <w:ind w:firstLine="360"/>
        <w:jc w:val="both"/>
        <w:rPr>
          <w:rFonts w:ascii="Arial" w:hAnsi="Arial" w:cs="Arial"/>
          <w:sz w:val="22"/>
          <w:szCs w:val="22"/>
          <w:u w:val="single"/>
        </w:rPr>
      </w:pPr>
      <w:r w:rsidRPr="007B1541">
        <w:rPr>
          <w:rFonts w:ascii="Arial" w:hAnsi="Arial" w:cs="Arial"/>
          <w:sz w:val="22"/>
          <w:szCs w:val="22"/>
          <w:u w:val="single"/>
        </w:rPr>
        <w:t>Část č. 2 – Boční schodiště:</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Odstranění stávající degradované dekorativní mozaikové omítky (</w:t>
      </w:r>
      <w:proofErr w:type="spellStart"/>
      <w:r w:rsidRPr="007B1541">
        <w:rPr>
          <w:rFonts w:ascii="Arial" w:hAnsi="Arial" w:cs="Arial"/>
          <w:color w:val="auto"/>
          <w:sz w:val="22"/>
          <w:szCs w:val="22"/>
        </w:rPr>
        <w:t>marmolit</w:t>
      </w:r>
      <w:proofErr w:type="spellEnd"/>
      <w:r w:rsidRPr="007B1541">
        <w:rPr>
          <w:rFonts w:ascii="Arial" w:hAnsi="Arial" w:cs="Arial"/>
          <w:color w:val="auto"/>
          <w:sz w:val="22"/>
          <w:szCs w:val="22"/>
        </w:rPr>
        <w:t>) na bocích schodiště na ploše 3 m2</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Odstranění nesoudržných vrstev betonu na bocích schodiště na ploše 3 m2</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Vyrovnání a výplň děr betonového povrchu na bocích schodiště opravnou maltou na ploše 3 m2</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 xml:space="preserve">Natažení dekorativní mozaikové omítky, </w:t>
      </w:r>
      <w:proofErr w:type="spellStart"/>
      <w:r w:rsidRPr="007B1541">
        <w:rPr>
          <w:rFonts w:ascii="Arial" w:hAnsi="Arial" w:cs="Arial"/>
          <w:color w:val="auto"/>
          <w:sz w:val="22"/>
          <w:szCs w:val="22"/>
        </w:rPr>
        <w:t>střednězrné</w:t>
      </w:r>
      <w:proofErr w:type="spellEnd"/>
      <w:r w:rsidRPr="007B1541">
        <w:rPr>
          <w:rFonts w:ascii="Arial" w:hAnsi="Arial" w:cs="Arial"/>
          <w:color w:val="auto"/>
          <w:sz w:val="22"/>
          <w:szCs w:val="22"/>
        </w:rPr>
        <w:t>, dekor dle stávajícího povrchu na ploše 3 m2</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lastRenderedPageBreak/>
        <w:t>Odstranění (vybourání) stávající keramické dlažby na ploše 3,24 m2</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Odstranění stávajícího ocelového roštu pro čištění bot včetně vybourání rámu (ocelový L profil) - rozměry 90 cm x 45 cm</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Broušení betonového podkladu nové dlažby (odstranění zbytků lepidla a srovnání povrchu) na ploše 3,24 m2</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Instalace nového odnímatelného čistícího roštu s rámem - L profil (rozměry 90 cm x 45 cm), materiál pozinkovaná ocel</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 xml:space="preserve">Hydroizolační stěrka pod povrchem nové dlažby a v prostoru roštu na ploše 3,65 m2 </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 xml:space="preserve">Pokládka keramické dlažby 40x80 cm, odstín šedé, protiskluzová R10/B, na cementové lepidlo včetně spárování cementovou flexibilní spárovací hmotou na ploše 3,24 m2 </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 xml:space="preserve">Instalace hliníkových ukončovacích lišt na vodorovné hrany nové dlažby na bocích schodiště – 4,1 </w:t>
      </w:r>
      <w:proofErr w:type="spellStart"/>
      <w:r w:rsidRPr="007B1541">
        <w:rPr>
          <w:rFonts w:ascii="Arial" w:hAnsi="Arial" w:cs="Arial"/>
          <w:color w:val="auto"/>
          <w:sz w:val="22"/>
          <w:szCs w:val="22"/>
        </w:rPr>
        <w:t>bm</w:t>
      </w:r>
      <w:proofErr w:type="spellEnd"/>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Naložení, odvoz a likvidace vzniklého odpadu v souladu s platnými právními předpisy ČR</w:t>
      </w:r>
    </w:p>
    <w:p w:rsidR="007B1541" w:rsidRPr="007B1541" w:rsidRDefault="007B1541" w:rsidP="007B154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7B1541">
        <w:rPr>
          <w:rFonts w:ascii="Arial" w:hAnsi="Arial" w:cs="Arial"/>
          <w:color w:val="auto"/>
          <w:sz w:val="22"/>
          <w:szCs w:val="22"/>
        </w:rPr>
        <w:t>Ostatní práce a náklady spojené s prováděním části č. 2</w:t>
      </w:r>
    </w:p>
    <w:p w:rsidR="007B1541" w:rsidRDefault="007B1541" w:rsidP="007B1541">
      <w:pPr>
        <w:jc w:val="both"/>
        <w:rPr>
          <w:rFonts w:ascii="Arial" w:hAnsi="Arial" w:cs="Arial"/>
          <w:sz w:val="22"/>
          <w:szCs w:val="22"/>
        </w:rPr>
      </w:pPr>
    </w:p>
    <w:p w:rsidR="008F371B" w:rsidRDefault="008F371B" w:rsidP="008F371B">
      <w:pPr>
        <w:ind w:firstLine="426"/>
        <w:jc w:val="both"/>
        <w:rPr>
          <w:rFonts w:ascii="Arial" w:hAnsi="Arial" w:cs="Arial"/>
          <w:sz w:val="22"/>
          <w:szCs w:val="22"/>
        </w:rPr>
      </w:pPr>
      <w:r>
        <w:rPr>
          <w:rFonts w:ascii="Arial" w:hAnsi="Arial" w:cs="Arial"/>
          <w:sz w:val="22"/>
          <w:szCs w:val="22"/>
        </w:rPr>
        <w:t>Odstranění ocelového zábradlí na schodištích zajistí objednatel.</w:t>
      </w:r>
    </w:p>
    <w:p w:rsidR="008F371B" w:rsidRPr="008F371B" w:rsidRDefault="008F371B" w:rsidP="008F371B">
      <w:pPr>
        <w:overflowPunct/>
        <w:autoSpaceDE/>
        <w:autoSpaceDN/>
        <w:adjustRightInd/>
        <w:jc w:val="both"/>
        <w:textAlignment w:val="auto"/>
        <w:rPr>
          <w:rFonts w:ascii="Arial" w:hAnsi="Arial" w:cs="Arial"/>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B914C9">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F55392" w:rsidRPr="00F55392" w:rsidRDefault="00F55392" w:rsidP="00B914C9">
      <w:pPr>
        <w:pStyle w:val="Odstavecseseznamem"/>
        <w:numPr>
          <w:ilvl w:val="0"/>
          <w:numId w:val="12"/>
        </w:numPr>
        <w:overflowPunct/>
        <w:jc w:val="both"/>
        <w:textAlignment w:val="auto"/>
        <w:rPr>
          <w:rFonts w:ascii="Arial" w:hAnsi="Arial" w:cs="Arial"/>
          <w:b/>
          <w:color w:val="auto"/>
          <w:sz w:val="22"/>
          <w:szCs w:val="22"/>
        </w:rPr>
      </w:pPr>
      <w:r>
        <w:rPr>
          <w:rFonts w:ascii="Arial" w:hAnsi="Arial" w:cs="Arial"/>
          <w:color w:val="000000"/>
          <w:sz w:val="22"/>
          <w:szCs w:val="22"/>
        </w:rPr>
        <w:t>B</w:t>
      </w:r>
      <w:r w:rsidRPr="00BE2BC8">
        <w:rPr>
          <w:rFonts w:ascii="Arial" w:hAnsi="Arial" w:cs="Arial"/>
          <w:color w:val="000000"/>
          <w:sz w:val="22"/>
          <w:szCs w:val="22"/>
        </w:rPr>
        <w:t xml:space="preserve">ez zbytečného odkladu po </w:t>
      </w:r>
      <w:r>
        <w:rPr>
          <w:rFonts w:ascii="Arial" w:hAnsi="Arial" w:cs="Arial"/>
          <w:color w:val="000000"/>
          <w:sz w:val="22"/>
          <w:szCs w:val="22"/>
        </w:rPr>
        <w:t>předání místa plnění díla</w:t>
      </w:r>
      <w:r w:rsidRPr="00030A1C">
        <w:rPr>
          <w:rFonts w:ascii="Arial" w:hAnsi="Arial" w:cs="Arial"/>
          <w:color w:val="000000"/>
          <w:sz w:val="22"/>
          <w:szCs w:val="22"/>
        </w:rPr>
        <w:t>.</w:t>
      </w:r>
      <w:r>
        <w:rPr>
          <w:rFonts w:ascii="Arial" w:hAnsi="Arial" w:cs="Arial"/>
          <w:color w:val="000000"/>
          <w:sz w:val="22"/>
          <w:szCs w:val="22"/>
        </w:rPr>
        <w:t xml:space="preserve"> </w:t>
      </w:r>
      <w:r w:rsidRPr="00C1346A">
        <w:rPr>
          <w:rFonts w:ascii="Arial" w:hAnsi="Arial" w:cs="Arial"/>
          <w:color w:val="000000"/>
          <w:sz w:val="22"/>
          <w:szCs w:val="22"/>
        </w:rPr>
        <w:t xml:space="preserve">Zhotovitel je povinen si převzít místo plnění nejpozději do 30 dnů ode dne </w:t>
      </w:r>
      <w:r>
        <w:rPr>
          <w:rFonts w:ascii="Arial" w:hAnsi="Arial" w:cs="Arial"/>
          <w:color w:val="000000"/>
          <w:sz w:val="22"/>
          <w:szCs w:val="22"/>
        </w:rPr>
        <w:t>výzvy TDI k převzetí místa plnění.</w:t>
      </w:r>
    </w:p>
    <w:p w:rsidR="00BE33C7" w:rsidRPr="00AD7668" w:rsidRDefault="00BE33C7" w:rsidP="00B914C9">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091202">
        <w:rPr>
          <w:rFonts w:ascii="Arial" w:hAnsi="Arial" w:cs="Arial"/>
          <w:b/>
          <w:color w:val="auto"/>
          <w:sz w:val="22"/>
          <w:szCs w:val="22"/>
        </w:rPr>
        <w:t xml:space="preserve"> </w:t>
      </w:r>
      <w:r w:rsidR="00091202">
        <w:rPr>
          <w:rFonts w:ascii="Arial" w:hAnsi="Arial" w:cs="Arial"/>
          <w:b/>
          <w:color w:val="auto"/>
          <w:sz w:val="22"/>
          <w:szCs w:val="22"/>
        </w:rPr>
        <w:tab/>
      </w:r>
      <w:r w:rsidR="00091202">
        <w:rPr>
          <w:rFonts w:ascii="Arial" w:hAnsi="Arial" w:cs="Arial"/>
          <w:b/>
          <w:color w:val="auto"/>
          <w:sz w:val="22"/>
          <w:szCs w:val="22"/>
        </w:rPr>
        <w:tab/>
      </w:r>
      <w:r w:rsidR="000F2E37">
        <w:rPr>
          <w:rFonts w:ascii="Arial" w:hAnsi="Arial" w:cs="Arial"/>
          <w:b/>
          <w:color w:val="auto"/>
          <w:sz w:val="22"/>
          <w:szCs w:val="22"/>
        </w:rPr>
        <w:t xml:space="preserve">nejpozději </w:t>
      </w:r>
      <w:r w:rsidR="000F2E37" w:rsidRPr="00306214">
        <w:rPr>
          <w:rFonts w:ascii="Arial" w:hAnsi="Arial" w:cs="Arial"/>
          <w:b/>
          <w:bCs/>
          <w:color w:val="000000"/>
          <w:sz w:val="22"/>
          <w:szCs w:val="22"/>
        </w:rPr>
        <w:t xml:space="preserve">do </w:t>
      </w:r>
      <w:r w:rsidR="008F371B">
        <w:rPr>
          <w:rFonts w:ascii="Arial" w:hAnsi="Arial" w:cs="Arial"/>
          <w:b/>
          <w:bCs/>
          <w:color w:val="000000"/>
          <w:sz w:val="22"/>
          <w:szCs w:val="22"/>
        </w:rPr>
        <w:t>30.11</w:t>
      </w:r>
      <w:r w:rsidR="00030A1C">
        <w:rPr>
          <w:rFonts w:ascii="Arial" w:hAnsi="Arial" w:cs="Arial"/>
          <w:b/>
          <w:bCs/>
          <w:color w:val="000000"/>
          <w:sz w:val="22"/>
          <w:szCs w:val="22"/>
        </w:rPr>
        <w:t>.2023</w:t>
      </w:r>
    </w:p>
    <w:p w:rsidR="00AD7668" w:rsidRDefault="00AD7668" w:rsidP="00AD7668">
      <w:pPr>
        <w:overflowPunct/>
        <w:jc w:val="both"/>
        <w:textAlignment w:val="auto"/>
        <w:rPr>
          <w:rFonts w:ascii="Arial" w:hAnsi="Arial" w:cs="Arial"/>
          <w:b/>
          <w:sz w:val="22"/>
          <w:szCs w:val="22"/>
        </w:rPr>
      </w:pPr>
    </w:p>
    <w:p w:rsidR="00AD7668" w:rsidRDefault="00AD7668" w:rsidP="00AD7668">
      <w:pPr>
        <w:pStyle w:val="Zkladntext"/>
        <w:ind w:left="426" w:hanging="426"/>
        <w:rPr>
          <w:rFonts w:cs="Arial"/>
          <w:b/>
          <w:sz w:val="22"/>
          <w:szCs w:val="22"/>
        </w:rPr>
      </w:pPr>
      <w:r>
        <w:rPr>
          <w:rFonts w:cs="Arial"/>
          <w:b/>
          <w:sz w:val="22"/>
          <w:szCs w:val="22"/>
        </w:rPr>
        <w:tab/>
      </w:r>
      <w:r w:rsidR="005D5838" w:rsidRPr="005D5838">
        <w:rPr>
          <w:rFonts w:cs="Arial"/>
          <w:b/>
          <w:sz w:val="22"/>
          <w:szCs w:val="22"/>
        </w:rPr>
        <w:t>Pozn.: Práce na bočním schodišti uvnitř areálu mohou být prováděny pouze v pracovních dnech od 7:00 do 15:00 hod.</w:t>
      </w:r>
    </w:p>
    <w:p w:rsidR="00AD7668" w:rsidRDefault="00AD7668" w:rsidP="00BE33C7">
      <w:pPr>
        <w:overflowPunct/>
        <w:ind w:left="426"/>
        <w:jc w:val="both"/>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lastRenderedPageBreak/>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Pr="003C769D" w:rsidRDefault="003C769D" w:rsidP="00B914C9">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3C769D" w:rsidRDefault="003C769D" w:rsidP="003C769D">
      <w:pPr>
        <w:widowControl w:val="0"/>
        <w:ind w:left="360" w:hanging="360"/>
        <w:jc w:val="both"/>
        <w:rPr>
          <w:rFonts w:ascii="Arial" w:hAnsi="Arial" w:cs="Arial"/>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D363E8" w:rsidRPr="00454D43" w:rsidRDefault="00D363E8" w:rsidP="00864AB4">
      <w:pPr>
        <w:widowControl w:val="0"/>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D363E8" w:rsidRDefault="00D363E8" w:rsidP="0095255A">
      <w:pPr>
        <w:ind w:firstLine="360"/>
        <w:jc w:val="both"/>
        <w:rPr>
          <w:rFonts w:ascii="Arial" w:hAnsi="Arial" w:cs="Arial"/>
          <w:sz w:val="22"/>
          <w:szCs w:val="22"/>
          <w:highlight w:val="yellow"/>
        </w:rPr>
      </w:pPr>
    </w:p>
    <w:p w:rsidR="00140208" w:rsidRPr="00F7139B" w:rsidRDefault="00140208" w:rsidP="0095255A">
      <w:pPr>
        <w:ind w:firstLine="360"/>
        <w:jc w:val="both"/>
        <w:rPr>
          <w:rFonts w:ascii="Arial" w:hAnsi="Arial" w:cs="Arial"/>
          <w:sz w:val="22"/>
          <w:szCs w:val="22"/>
        </w:rPr>
      </w:pPr>
      <w:r w:rsidRPr="00F7139B">
        <w:rPr>
          <w:rFonts w:ascii="Arial" w:hAnsi="Arial" w:cs="Arial"/>
          <w:sz w:val="22"/>
          <w:szCs w:val="22"/>
        </w:rPr>
        <w:t xml:space="preserve">Dílčí cena části č. 1 – </w:t>
      </w:r>
      <w:r w:rsidR="005D5838" w:rsidRPr="00F7139B">
        <w:rPr>
          <w:rFonts w:ascii="Arial" w:hAnsi="Arial" w:cs="Arial"/>
          <w:sz w:val="22"/>
          <w:szCs w:val="22"/>
        </w:rPr>
        <w:t>Hlavní schodiště</w:t>
      </w:r>
      <w:r w:rsidRPr="00F7139B">
        <w:rPr>
          <w:rFonts w:ascii="Arial" w:hAnsi="Arial" w:cs="Arial"/>
          <w:sz w:val="22"/>
          <w:szCs w:val="22"/>
        </w:rPr>
        <w:t>:</w:t>
      </w:r>
      <w:proofErr w:type="gramStart"/>
      <w:r w:rsidRPr="00F7139B">
        <w:rPr>
          <w:rFonts w:ascii="Arial" w:hAnsi="Arial" w:cs="Arial"/>
          <w:sz w:val="22"/>
          <w:szCs w:val="22"/>
        </w:rPr>
        <w:tab/>
      </w:r>
      <w:r w:rsidR="00F7139B" w:rsidRPr="00F7139B">
        <w:rPr>
          <w:rFonts w:ascii="Arial" w:hAnsi="Arial" w:cs="Arial"/>
          <w:sz w:val="22"/>
          <w:szCs w:val="22"/>
        </w:rPr>
        <w:t xml:space="preserve">  79.763</w:t>
      </w:r>
      <w:proofErr w:type="gramEnd"/>
      <w:r w:rsidR="00F7139B" w:rsidRPr="00F7139B">
        <w:rPr>
          <w:rFonts w:ascii="Arial" w:hAnsi="Arial" w:cs="Arial"/>
          <w:sz w:val="22"/>
          <w:szCs w:val="22"/>
        </w:rPr>
        <w:t>,03</w:t>
      </w:r>
      <w:r w:rsidRPr="00F7139B">
        <w:rPr>
          <w:rFonts w:ascii="Arial" w:hAnsi="Arial" w:cs="Arial"/>
          <w:sz w:val="22"/>
          <w:szCs w:val="22"/>
        </w:rPr>
        <w:t xml:space="preserve"> Kč bez DPH</w:t>
      </w:r>
    </w:p>
    <w:p w:rsidR="00140208" w:rsidRPr="00F7139B" w:rsidRDefault="00140208" w:rsidP="00140208">
      <w:pPr>
        <w:ind w:firstLine="360"/>
        <w:jc w:val="both"/>
        <w:rPr>
          <w:rFonts w:ascii="Arial" w:hAnsi="Arial" w:cs="Arial"/>
          <w:sz w:val="22"/>
          <w:szCs w:val="22"/>
          <w:u w:val="single"/>
        </w:rPr>
      </w:pPr>
      <w:r w:rsidRPr="00F7139B">
        <w:rPr>
          <w:rFonts w:ascii="Arial" w:hAnsi="Arial" w:cs="Arial"/>
          <w:sz w:val="22"/>
          <w:szCs w:val="22"/>
          <w:u w:val="single"/>
        </w:rPr>
        <w:t xml:space="preserve">Dílčí cena části č. 2 – </w:t>
      </w:r>
      <w:r w:rsidR="005D5838" w:rsidRPr="00F7139B">
        <w:rPr>
          <w:rFonts w:ascii="Arial" w:hAnsi="Arial" w:cs="Arial"/>
          <w:sz w:val="22"/>
          <w:szCs w:val="22"/>
          <w:u w:val="single"/>
        </w:rPr>
        <w:t>Boční schodiště</w:t>
      </w:r>
      <w:r w:rsidRPr="00F7139B">
        <w:rPr>
          <w:rFonts w:ascii="Arial" w:hAnsi="Arial" w:cs="Arial"/>
          <w:sz w:val="22"/>
          <w:szCs w:val="22"/>
          <w:u w:val="single"/>
        </w:rPr>
        <w:t>:</w:t>
      </w:r>
      <w:r w:rsidRPr="00F7139B">
        <w:rPr>
          <w:rFonts w:ascii="Arial" w:hAnsi="Arial" w:cs="Arial"/>
          <w:sz w:val="22"/>
          <w:szCs w:val="22"/>
          <w:u w:val="single"/>
        </w:rPr>
        <w:tab/>
      </w:r>
      <w:r w:rsidR="00F7139B" w:rsidRPr="00F7139B">
        <w:rPr>
          <w:rFonts w:ascii="Arial" w:hAnsi="Arial" w:cs="Arial"/>
          <w:sz w:val="22"/>
          <w:szCs w:val="22"/>
          <w:u w:val="single"/>
        </w:rPr>
        <w:t xml:space="preserve">  56.428,15</w:t>
      </w:r>
      <w:r w:rsidRPr="00F7139B">
        <w:rPr>
          <w:rFonts w:ascii="Arial" w:hAnsi="Arial" w:cs="Arial"/>
          <w:sz w:val="22"/>
          <w:szCs w:val="22"/>
          <w:u w:val="single"/>
        </w:rPr>
        <w:t xml:space="preserve"> Kč bez DPH</w:t>
      </w:r>
    </w:p>
    <w:p w:rsidR="00B13964" w:rsidRPr="006C1018" w:rsidRDefault="00282A2E" w:rsidP="00B13964">
      <w:pPr>
        <w:ind w:firstLine="360"/>
        <w:jc w:val="both"/>
        <w:rPr>
          <w:rFonts w:ascii="Arial" w:hAnsi="Arial" w:cs="Arial"/>
          <w:b/>
          <w:sz w:val="22"/>
          <w:szCs w:val="22"/>
        </w:rPr>
      </w:pPr>
      <w:r w:rsidRPr="00F7139B">
        <w:rPr>
          <w:rFonts w:ascii="Arial" w:hAnsi="Arial" w:cs="Arial"/>
          <w:b/>
          <w:sz w:val="22"/>
          <w:szCs w:val="22"/>
        </w:rPr>
        <w:t>Celková s</w:t>
      </w:r>
      <w:r w:rsidR="00B13964" w:rsidRPr="00F7139B">
        <w:rPr>
          <w:rFonts w:ascii="Arial" w:hAnsi="Arial" w:cs="Arial"/>
          <w:b/>
          <w:sz w:val="22"/>
          <w:szCs w:val="22"/>
        </w:rPr>
        <w:t>mluvní cena za dílo:</w:t>
      </w:r>
      <w:r w:rsidR="00B13964" w:rsidRPr="00F7139B">
        <w:rPr>
          <w:rFonts w:ascii="Arial" w:hAnsi="Arial" w:cs="Arial"/>
          <w:b/>
          <w:sz w:val="22"/>
          <w:szCs w:val="22"/>
        </w:rPr>
        <w:tab/>
      </w:r>
      <w:r w:rsidR="00140208" w:rsidRPr="00F7139B">
        <w:rPr>
          <w:rFonts w:ascii="Arial" w:hAnsi="Arial" w:cs="Arial"/>
          <w:b/>
          <w:sz w:val="22"/>
          <w:szCs w:val="22"/>
        </w:rPr>
        <w:tab/>
      </w:r>
      <w:r w:rsidR="00F7139B" w:rsidRPr="00F7139B">
        <w:rPr>
          <w:rFonts w:ascii="Arial" w:hAnsi="Arial" w:cs="Arial"/>
          <w:b/>
          <w:sz w:val="22"/>
          <w:szCs w:val="22"/>
        </w:rPr>
        <w:t>136.191,18</w:t>
      </w:r>
      <w:r w:rsidR="00B13964" w:rsidRPr="00F7139B">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B914C9">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140208" w:rsidRDefault="00140208" w:rsidP="00140208">
      <w:pPr>
        <w:pStyle w:val="Citace1"/>
        <w:numPr>
          <w:ilvl w:val="3"/>
          <w:numId w:val="9"/>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(tj. dokončená část č. 1 nebo část č. 2 viz popis v čl. II, odst. č. 1)</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140208" w:rsidRPr="007E0280" w:rsidRDefault="00140208" w:rsidP="00140208">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EF706B">
        <w:rPr>
          <w:rFonts w:ascii="Arial" w:hAnsi="Arial" w:cs="Arial"/>
          <w:b/>
          <w:i w:val="0"/>
          <w:color w:val="auto"/>
          <w:sz w:val="22"/>
          <w:szCs w:val="22"/>
        </w:rPr>
        <w:t>…………………………</w:t>
      </w:r>
    </w:p>
    <w:p w:rsidR="00140208" w:rsidRPr="006643C5" w:rsidRDefault="00140208" w:rsidP="00140208"/>
    <w:p w:rsidR="00140208" w:rsidRDefault="00140208" w:rsidP="00140208">
      <w:pPr>
        <w:pStyle w:val="Citace1"/>
        <w:numPr>
          <w:ilvl w:val="3"/>
          <w:numId w:val="9"/>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140208" w:rsidRPr="00543C51" w:rsidRDefault="00140208" w:rsidP="00140208">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140208" w:rsidRPr="006E2DAF" w:rsidRDefault="00140208" w:rsidP="00140208">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140208" w:rsidRPr="006E2DAF" w:rsidRDefault="00140208" w:rsidP="00140208">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BE33C7" w:rsidRDefault="00BE33C7" w:rsidP="00BE33C7">
      <w:pPr>
        <w:jc w:val="both"/>
        <w:rPr>
          <w:rFonts w:ascii="Arial" w:hAnsi="Arial" w:cs="Arial"/>
          <w:sz w:val="22"/>
          <w:szCs w:val="22"/>
        </w:rPr>
      </w:pPr>
    </w:p>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w:t>
      </w:r>
      <w:r w:rsidRPr="00454D43">
        <w:rPr>
          <w:rFonts w:ascii="Arial" w:hAnsi="Arial" w:cs="Arial"/>
          <w:color w:val="auto"/>
          <w:sz w:val="22"/>
          <w:szCs w:val="22"/>
        </w:rPr>
        <w:lastRenderedPageBreak/>
        <w:t>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363E8" w:rsidRDefault="00D363E8"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B13964" w:rsidRDefault="00B13964" w:rsidP="00B13964">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B13964" w:rsidRDefault="00B13964" w:rsidP="00B13964">
      <w:pPr>
        <w:pStyle w:val="A-odstavecodsazensodrkami"/>
        <w:numPr>
          <w:ilvl w:val="0"/>
          <w:numId w:val="0"/>
        </w:numPr>
      </w:pPr>
    </w:p>
    <w:p w:rsidR="00B13964" w:rsidRDefault="00B13964" w:rsidP="00B13964">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B13964" w:rsidRPr="00EB044F" w:rsidRDefault="00B13964" w:rsidP="00B13964"/>
    <w:p w:rsidR="00B13964" w:rsidRPr="00A467E6" w:rsidRDefault="00B13964" w:rsidP="00B13964">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B13964" w:rsidRDefault="00B13964" w:rsidP="00B13964">
      <w:pPr>
        <w:pStyle w:val="A-odstavecodsazensodrkami"/>
        <w:numPr>
          <w:ilvl w:val="0"/>
          <w:numId w:val="0"/>
        </w:numPr>
        <w:ind w:left="360"/>
      </w:pPr>
    </w:p>
    <w:p w:rsidR="00B13964" w:rsidRDefault="00B13964" w:rsidP="00B13964">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B13964" w:rsidRDefault="00B13964" w:rsidP="00B13964">
      <w:pPr>
        <w:pStyle w:val="A-odstavecodsazensodrkami"/>
        <w:numPr>
          <w:ilvl w:val="0"/>
          <w:numId w:val="0"/>
        </w:numPr>
      </w:pPr>
    </w:p>
    <w:p w:rsidR="00B13964" w:rsidRDefault="00B13964" w:rsidP="00B13964">
      <w:pPr>
        <w:pStyle w:val="A-odstavecodsazensodrkami"/>
        <w:numPr>
          <w:ilvl w:val="0"/>
          <w:numId w:val="2"/>
        </w:numPr>
      </w:pPr>
      <w:r>
        <w:t>Strana povinná je povinna uhradit vyúčtované sankce nejpozději do 30 dnů od dne obdržení příslušného vyúčtování.</w:t>
      </w:r>
    </w:p>
    <w:p w:rsidR="00B13964" w:rsidRDefault="00B13964" w:rsidP="00B13964">
      <w:pPr>
        <w:pStyle w:val="A-odstavecodsazensodrkami"/>
        <w:numPr>
          <w:ilvl w:val="0"/>
          <w:numId w:val="0"/>
        </w:numPr>
        <w:ind w:left="360" w:hanging="360"/>
      </w:pPr>
    </w:p>
    <w:p w:rsidR="00B13964" w:rsidRPr="004F5C7E" w:rsidRDefault="00B13964" w:rsidP="00B13964">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B13964" w:rsidRPr="00454D43" w:rsidRDefault="00331998" w:rsidP="00331998">
      <w:pPr>
        <w:pStyle w:val="A-odstavecodsazensodrkami"/>
        <w:numPr>
          <w:ilvl w:val="0"/>
          <w:numId w:val="0"/>
        </w:numPr>
        <w:tabs>
          <w:tab w:val="left" w:pos="5460"/>
        </w:tabs>
      </w:pPr>
      <w:r>
        <w:tab/>
      </w:r>
    </w:p>
    <w:p w:rsidR="006004A9" w:rsidRDefault="006004A9" w:rsidP="006004A9">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6004A9" w:rsidRPr="00454D43" w:rsidRDefault="006004A9" w:rsidP="006004A9">
      <w:pPr>
        <w:pStyle w:val="Zkladntext"/>
        <w:widowControl/>
        <w:jc w:val="center"/>
        <w:rPr>
          <w:rFonts w:cs="Arial"/>
          <w:b/>
          <w:color w:val="auto"/>
          <w:sz w:val="22"/>
          <w:szCs w:val="22"/>
          <w:u w:val="single"/>
        </w:rPr>
      </w:pPr>
    </w:p>
    <w:p w:rsidR="006004A9" w:rsidRPr="00454D43" w:rsidRDefault="006004A9" w:rsidP="006004A9">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6004A9" w:rsidRPr="00454D43" w:rsidRDefault="006004A9" w:rsidP="006004A9">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6004A9" w:rsidRPr="00454D43" w:rsidRDefault="006004A9" w:rsidP="006004A9">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6004A9" w:rsidRPr="00454D43" w:rsidRDefault="006004A9" w:rsidP="006004A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6004A9" w:rsidRPr="00454D43" w:rsidRDefault="006004A9" w:rsidP="006004A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lastRenderedPageBreak/>
        <w:t>dohodu o způsobu a termínech jejich odstranění, popřípadě o jiném způsobu jejich vypořádání</w:t>
      </w:r>
    </w:p>
    <w:p w:rsidR="006004A9" w:rsidRPr="00454D43" w:rsidRDefault="006004A9" w:rsidP="006004A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6004A9" w:rsidRPr="00454D43" w:rsidRDefault="006004A9" w:rsidP="006004A9">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6004A9" w:rsidRPr="00454D43" w:rsidRDefault="006004A9" w:rsidP="006004A9">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6004A9" w:rsidRDefault="006004A9" w:rsidP="006004A9">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6004A9" w:rsidRPr="00591B46" w:rsidRDefault="006004A9" w:rsidP="006004A9">
      <w:pPr>
        <w:pStyle w:val="Zkladntext"/>
        <w:widowControl/>
        <w:numPr>
          <w:ilvl w:val="0"/>
          <w:numId w:val="5"/>
        </w:numPr>
        <w:tabs>
          <w:tab w:val="left" w:pos="360"/>
        </w:tabs>
        <w:jc w:val="both"/>
        <w:rPr>
          <w:rFonts w:cs="Arial"/>
          <w:b/>
          <w:sz w:val="22"/>
          <w:szCs w:val="22"/>
        </w:rPr>
      </w:pPr>
      <w:r w:rsidRPr="00591B46">
        <w:rPr>
          <w:rFonts w:cs="Arial"/>
          <w:b/>
          <w:sz w:val="22"/>
          <w:szCs w:val="22"/>
        </w:rPr>
        <w:t xml:space="preserve">Záruční doba se sjednává na </w:t>
      </w:r>
      <w:r>
        <w:rPr>
          <w:rFonts w:cs="Arial"/>
          <w:b/>
          <w:color w:val="auto"/>
          <w:sz w:val="22"/>
          <w:szCs w:val="22"/>
        </w:rPr>
        <w:t>24</w:t>
      </w:r>
      <w:r w:rsidRPr="00591B46">
        <w:rPr>
          <w:rFonts w:cs="Arial"/>
          <w:b/>
          <w:color w:val="auto"/>
          <w:sz w:val="22"/>
          <w:szCs w:val="22"/>
        </w:rPr>
        <w:t xml:space="preserve"> </w:t>
      </w:r>
      <w:r w:rsidRPr="00591B46">
        <w:rPr>
          <w:rFonts w:cs="Arial"/>
          <w:b/>
          <w:sz w:val="22"/>
          <w:szCs w:val="22"/>
        </w:rPr>
        <w:t>měsíců ode dne předání a převzetí díla objednatelem.</w:t>
      </w:r>
    </w:p>
    <w:p w:rsidR="006004A9" w:rsidRDefault="006004A9" w:rsidP="006004A9">
      <w:pPr>
        <w:pStyle w:val="Zkladntext"/>
        <w:widowControl/>
        <w:tabs>
          <w:tab w:val="left" w:pos="360"/>
        </w:tabs>
        <w:jc w:val="both"/>
        <w:rPr>
          <w:rFonts w:cs="Arial"/>
          <w:sz w:val="22"/>
          <w:szCs w:val="22"/>
        </w:rPr>
      </w:pPr>
    </w:p>
    <w:p w:rsidR="006004A9" w:rsidRPr="009402A7" w:rsidRDefault="006004A9" w:rsidP="006004A9">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6004A9" w:rsidRDefault="006004A9" w:rsidP="006004A9">
      <w:pPr>
        <w:pStyle w:val="Zkladntext"/>
        <w:widowControl/>
        <w:tabs>
          <w:tab w:val="left" w:pos="360"/>
        </w:tabs>
        <w:ind w:left="360"/>
        <w:jc w:val="both"/>
        <w:rPr>
          <w:rFonts w:cs="Arial"/>
          <w:sz w:val="22"/>
          <w:szCs w:val="22"/>
        </w:rPr>
      </w:pPr>
    </w:p>
    <w:p w:rsidR="006004A9" w:rsidRPr="009402A7" w:rsidRDefault="006004A9" w:rsidP="006004A9">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6004A9" w:rsidRPr="00386410" w:rsidRDefault="006004A9" w:rsidP="006004A9">
      <w:pPr>
        <w:pStyle w:val="Zkladntext"/>
        <w:widowControl/>
        <w:jc w:val="both"/>
        <w:rPr>
          <w:rFonts w:cs="Arial"/>
          <w:sz w:val="22"/>
          <w:szCs w:val="22"/>
        </w:rPr>
      </w:pPr>
    </w:p>
    <w:p w:rsidR="006004A9" w:rsidRPr="00386410" w:rsidRDefault="006004A9" w:rsidP="006004A9">
      <w:pPr>
        <w:pStyle w:val="Zkladntext"/>
        <w:widowControl/>
        <w:numPr>
          <w:ilvl w:val="0"/>
          <w:numId w:val="5"/>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6004A9" w:rsidRPr="00386410" w:rsidRDefault="006004A9" w:rsidP="006004A9">
      <w:pPr>
        <w:pStyle w:val="Zkladntext"/>
        <w:widowControl/>
        <w:tabs>
          <w:tab w:val="left" w:pos="360"/>
        </w:tabs>
        <w:jc w:val="both"/>
        <w:rPr>
          <w:rFonts w:cs="Arial"/>
          <w:sz w:val="22"/>
          <w:szCs w:val="22"/>
        </w:rPr>
      </w:pPr>
    </w:p>
    <w:p w:rsidR="006004A9" w:rsidRDefault="006004A9" w:rsidP="006004A9">
      <w:pPr>
        <w:pStyle w:val="Zkladntext"/>
        <w:widowControl/>
        <w:numPr>
          <w:ilvl w:val="0"/>
          <w:numId w:val="5"/>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B914C9">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Default="00E97587" w:rsidP="00B914C9">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F2E2B" w:rsidRPr="00454D43" w:rsidRDefault="008F2E2B" w:rsidP="008F2E2B">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8F2E2B" w:rsidRDefault="00864AB4" w:rsidP="008F2E2B">
      <w:pPr>
        <w:widowControl w:val="0"/>
        <w:jc w:val="both"/>
        <w:rPr>
          <w:rFonts w:ascii="Arial" w:hAnsi="Arial" w:cs="Arial"/>
          <w:b/>
          <w:sz w:val="22"/>
          <w:szCs w:val="22"/>
        </w:rPr>
      </w:pPr>
    </w:p>
    <w:p w:rsidR="00864AB4" w:rsidRPr="00DE3369" w:rsidRDefault="00454D43" w:rsidP="00B914C9">
      <w:pPr>
        <w:pStyle w:val="Zkladntext"/>
        <w:keepNext/>
        <w:widowControl/>
        <w:numPr>
          <w:ilvl w:val="0"/>
          <w:numId w:val="3"/>
        </w:numPr>
        <w:tabs>
          <w:tab w:val="left" w:pos="360"/>
        </w:tabs>
        <w:jc w:val="both"/>
        <w:rPr>
          <w:rFonts w:cs="Arial"/>
          <w:color w:val="auto"/>
          <w:sz w:val="22"/>
          <w:szCs w:val="22"/>
        </w:rPr>
      </w:pPr>
      <w:r w:rsidRPr="00DE3369">
        <w:rPr>
          <w:rFonts w:cs="Arial"/>
          <w:color w:val="auto"/>
          <w:sz w:val="22"/>
          <w:szCs w:val="22"/>
        </w:rPr>
        <w:t>Zhotovitel</w:t>
      </w:r>
      <w:r w:rsidR="00864AB4" w:rsidRPr="00DE3369">
        <w:rPr>
          <w:rFonts w:cs="Arial"/>
          <w:color w:val="auto"/>
          <w:sz w:val="22"/>
          <w:szCs w:val="22"/>
        </w:rPr>
        <w:t xml:space="preserve"> provede dílo samostatně, na svůj náklad a na své nebezpečí. Bez zbytečných odkladů oznámí zjištění překážek, které znemožňují provedení díla.</w:t>
      </w:r>
    </w:p>
    <w:p w:rsidR="00DE3369" w:rsidRPr="00DE3369" w:rsidRDefault="00DE3369" w:rsidP="00DE3369">
      <w:pPr>
        <w:pStyle w:val="Zkladntext"/>
        <w:keepNext/>
        <w:widowControl/>
        <w:tabs>
          <w:tab w:val="left" w:pos="360"/>
        </w:tabs>
        <w:jc w:val="both"/>
        <w:rPr>
          <w:rFonts w:cs="Arial"/>
          <w:color w:val="auto"/>
          <w:sz w:val="22"/>
          <w:szCs w:val="22"/>
        </w:rPr>
      </w:pPr>
    </w:p>
    <w:p w:rsidR="00DE3369" w:rsidRP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 xml:space="preserve">Zhotovitel provede dohodnutou činnost na své nebezpečí a je povinen dodržovat všechny předpisy bezpečnosti a ochrany zdraví při práci (BOZP), požární ochrany (PO) a zákoníku </w:t>
      </w:r>
      <w:r w:rsidRPr="00DE3369">
        <w:rPr>
          <w:rFonts w:cs="Arial"/>
          <w:color w:val="auto"/>
          <w:sz w:val="22"/>
          <w:szCs w:val="22"/>
        </w:rPr>
        <w:lastRenderedPageBreak/>
        <w:t>práce (vše v platném znění), a to jak obecně platnými, tak souvisejícími s prováděnou činností v prostorách objednatele. Je odpovědný za škody vzniklé v důsledku nedodržování těchto předpisů.</w:t>
      </w:r>
    </w:p>
    <w:p w:rsidR="008F2E2B" w:rsidRDefault="008F2E2B" w:rsidP="00AC3E52">
      <w:pPr>
        <w:pStyle w:val="Zkladntext"/>
        <w:widowControl/>
        <w:spacing w:before="120"/>
        <w:jc w:val="center"/>
        <w:rPr>
          <w:rFonts w:cs="Arial"/>
          <w:b/>
          <w:color w:val="auto"/>
          <w:sz w:val="22"/>
          <w:szCs w:val="22"/>
          <w:u w:val="single"/>
        </w:rPr>
      </w:pPr>
    </w:p>
    <w:p w:rsidR="00AC3E52" w:rsidRDefault="00AC3E52" w:rsidP="00AC3E52">
      <w:pPr>
        <w:pStyle w:val="Zkladntext"/>
        <w:widowControl/>
        <w:spacing w:before="120"/>
        <w:jc w:val="center"/>
        <w:rPr>
          <w:rFonts w:cs="Arial"/>
          <w:b/>
          <w:color w:val="auto"/>
          <w:sz w:val="22"/>
          <w:szCs w:val="22"/>
          <w:u w:val="single"/>
        </w:rPr>
      </w:pPr>
      <w:r w:rsidRPr="00454D43">
        <w:rPr>
          <w:rFonts w:cs="Arial"/>
          <w:b/>
          <w:color w:val="auto"/>
          <w:sz w:val="22"/>
          <w:szCs w:val="22"/>
          <w:u w:val="single"/>
        </w:rPr>
        <w:t>Čl. X. ZÁVĚREČNÁ USTANOVENÍ</w:t>
      </w:r>
    </w:p>
    <w:p w:rsidR="008F2E2B" w:rsidRPr="00454D43" w:rsidRDefault="008F2E2B" w:rsidP="008F2E2B">
      <w:pPr>
        <w:widowControl w:val="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F55392" w:rsidRDefault="0057028F" w:rsidP="00F55392">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F55392" w:rsidRDefault="00F55392" w:rsidP="00F55392">
      <w:pPr>
        <w:pStyle w:val="Zkladntext"/>
        <w:widowControl/>
        <w:numPr>
          <w:ilvl w:val="0"/>
          <w:numId w:val="16"/>
        </w:numPr>
        <w:tabs>
          <w:tab w:val="left" w:pos="360"/>
        </w:tabs>
        <w:spacing w:before="120" w:after="120"/>
        <w:jc w:val="both"/>
        <w:rPr>
          <w:rFonts w:cs="Arial"/>
          <w:sz w:val="22"/>
          <w:szCs w:val="22"/>
        </w:rPr>
      </w:pPr>
      <w:r w:rsidRPr="00F55392">
        <w:rPr>
          <w:rFonts w:cs="Arial"/>
          <w:sz w:val="22"/>
          <w:szCs w:val="22"/>
        </w:rPr>
        <w:t>nepřevzetí místa plnění ve stanovené lhůtě (tj. do 30 dnů ode dne výzvy TDI).</w:t>
      </w:r>
    </w:p>
    <w:p w:rsidR="00F55392" w:rsidRDefault="00F55392" w:rsidP="00F55392">
      <w:pPr>
        <w:pStyle w:val="Zkladntext"/>
        <w:widowControl/>
        <w:numPr>
          <w:ilvl w:val="0"/>
          <w:numId w:val="16"/>
        </w:numPr>
        <w:tabs>
          <w:tab w:val="left" w:pos="360"/>
        </w:tabs>
        <w:spacing w:before="120" w:after="120"/>
        <w:jc w:val="both"/>
        <w:rPr>
          <w:rFonts w:cs="Arial"/>
          <w:sz w:val="22"/>
          <w:szCs w:val="22"/>
        </w:rPr>
      </w:pPr>
      <w:r w:rsidRPr="00F55392">
        <w:rPr>
          <w:rFonts w:cs="Arial"/>
          <w:sz w:val="22"/>
          <w:szCs w:val="22"/>
        </w:rPr>
        <w:t>prodlení zhotovitele se splněním termínu předání díla delší jak 60 dnů,</w:t>
      </w:r>
    </w:p>
    <w:p w:rsidR="0057028F" w:rsidRPr="00F55392" w:rsidRDefault="00F55392" w:rsidP="00F55392">
      <w:pPr>
        <w:pStyle w:val="Zkladntext"/>
        <w:widowControl/>
        <w:numPr>
          <w:ilvl w:val="0"/>
          <w:numId w:val="16"/>
        </w:numPr>
        <w:tabs>
          <w:tab w:val="left" w:pos="360"/>
        </w:tabs>
        <w:spacing w:before="120" w:after="120"/>
        <w:jc w:val="both"/>
        <w:rPr>
          <w:rFonts w:cs="Arial"/>
          <w:sz w:val="22"/>
          <w:szCs w:val="22"/>
        </w:rPr>
      </w:pPr>
      <w:r w:rsidRPr="00F55392">
        <w:rPr>
          <w:rFonts w:cs="Arial"/>
          <w:sz w:val="22"/>
          <w:szCs w:val="22"/>
        </w:rPr>
        <w:t>bezdůvodném přerušení prací zhotovitelem, které trvá více než 14 dnů</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B914C9">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827FF">
        <w:rPr>
          <w:rFonts w:cs="Arial"/>
          <w:b/>
          <w:sz w:val="22"/>
          <w:szCs w:val="22"/>
        </w:rPr>
        <w:t xml:space="preserve"> </w:t>
      </w:r>
      <w:r w:rsidR="006827FF" w:rsidRPr="00A554E7">
        <w:rPr>
          <w:rFonts w:cs="Arial"/>
          <w:b/>
          <w:sz w:val="22"/>
          <w:szCs w:val="22"/>
        </w:rPr>
        <w:t>Plnění předmětu této smlouvy před  účinností této smlouvy se považuje za plnění podle této smlouvy a práva a povinnosti z něj vzniklé se řídí touto smlouvou.</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B914C9">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B914C9">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B914C9">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B914C9">
      <w:pPr>
        <w:pStyle w:val="Zkladntext"/>
        <w:numPr>
          <w:ilvl w:val="0"/>
          <w:numId w:val="10"/>
        </w:numPr>
        <w:jc w:val="both"/>
        <w:rPr>
          <w:b/>
          <w:sz w:val="22"/>
          <w:szCs w:val="22"/>
        </w:rPr>
      </w:pPr>
      <w:r w:rsidRPr="007D516F">
        <w:rPr>
          <w:sz w:val="22"/>
          <w:szCs w:val="22"/>
        </w:rPr>
        <w:lastRenderedPageBreak/>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B914C9">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F7139B" w:rsidRPr="006439F3" w:rsidRDefault="00F7139B" w:rsidP="00F7139B">
      <w:pPr>
        <w:keepNext/>
        <w:jc w:val="both"/>
        <w:rPr>
          <w:rFonts w:ascii="Arial" w:hAnsi="Arial" w:cs="Arial"/>
          <w:sz w:val="22"/>
          <w:szCs w:val="22"/>
        </w:rPr>
      </w:pPr>
      <w:bookmarkStart w:id="0" w:name="_GoBack"/>
      <w:bookmarkEnd w:id="0"/>
    </w:p>
    <w:p w:rsidR="00F7139B" w:rsidRPr="006439F3" w:rsidRDefault="00F7139B" w:rsidP="00F7139B">
      <w:pPr>
        <w:keepNext/>
        <w:jc w:val="both"/>
        <w:rPr>
          <w:rFonts w:ascii="Arial" w:hAnsi="Arial" w:cs="Arial"/>
          <w:sz w:val="22"/>
          <w:szCs w:val="22"/>
        </w:rPr>
      </w:pPr>
    </w:p>
    <w:p w:rsidR="00F7139B" w:rsidRDefault="00F7139B" w:rsidP="00F7139B">
      <w:pPr>
        <w:keepNext/>
        <w:jc w:val="both"/>
        <w:rPr>
          <w:rFonts w:ascii="Arial" w:hAnsi="Arial" w:cs="Arial"/>
          <w:sz w:val="22"/>
          <w:szCs w:val="22"/>
        </w:rPr>
      </w:pPr>
    </w:p>
    <w:p w:rsidR="00F7139B" w:rsidRDefault="00F7139B" w:rsidP="00F7139B">
      <w:pPr>
        <w:keepNext/>
        <w:jc w:val="both"/>
        <w:rPr>
          <w:rFonts w:ascii="Arial" w:hAnsi="Arial" w:cs="Arial"/>
          <w:sz w:val="22"/>
          <w:szCs w:val="22"/>
        </w:rPr>
      </w:pPr>
    </w:p>
    <w:p w:rsidR="00F7139B" w:rsidRDefault="00F7139B" w:rsidP="00F7139B">
      <w:pPr>
        <w:keepNext/>
        <w:jc w:val="both"/>
        <w:rPr>
          <w:rFonts w:ascii="Arial" w:hAnsi="Arial" w:cs="Arial"/>
          <w:sz w:val="22"/>
          <w:szCs w:val="22"/>
        </w:rPr>
      </w:pPr>
    </w:p>
    <w:p w:rsidR="00F7139B" w:rsidRPr="006439F3" w:rsidRDefault="00F7139B" w:rsidP="00F7139B">
      <w:pPr>
        <w:keepNext/>
        <w:jc w:val="both"/>
        <w:rPr>
          <w:rFonts w:ascii="Arial" w:hAnsi="Arial" w:cs="Arial"/>
          <w:sz w:val="22"/>
          <w:szCs w:val="22"/>
        </w:rPr>
      </w:pPr>
    </w:p>
    <w:p w:rsidR="00F7139B" w:rsidRPr="006439F3" w:rsidRDefault="00F7139B" w:rsidP="00F7139B">
      <w:pPr>
        <w:keepNext/>
        <w:jc w:val="both"/>
        <w:rPr>
          <w:rFonts w:ascii="Arial" w:hAnsi="Arial" w:cs="Arial"/>
          <w:sz w:val="22"/>
          <w:szCs w:val="22"/>
        </w:rPr>
      </w:pPr>
    </w:p>
    <w:p w:rsidR="00F7139B" w:rsidRPr="006439F3" w:rsidRDefault="00F7139B" w:rsidP="00F7139B">
      <w:pPr>
        <w:keepNext/>
        <w:jc w:val="both"/>
        <w:rPr>
          <w:rFonts w:ascii="Arial" w:hAnsi="Arial" w:cs="Arial"/>
          <w:sz w:val="22"/>
          <w:szCs w:val="22"/>
        </w:rPr>
      </w:pPr>
      <w:r w:rsidRPr="006439F3">
        <w:rPr>
          <w:rFonts w:ascii="Arial" w:hAnsi="Arial" w:cs="Arial"/>
          <w:sz w:val="22"/>
          <w:szCs w:val="22"/>
        </w:rPr>
        <w:t>……………………………………</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t>……………………………………</w:t>
      </w:r>
    </w:p>
    <w:p w:rsidR="00F7139B" w:rsidRPr="006439F3" w:rsidRDefault="00F7139B" w:rsidP="00F7139B">
      <w:pPr>
        <w:keepNext/>
        <w:jc w:val="both"/>
        <w:rPr>
          <w:rFonts w:ascii="Arial" w:hAnsi="Arial" w:cs="Arial"/>
          <w:sz w:val="22"/>
          <w:szCs w:val="22"/>
        </w:rPr>
      </w:pPr>
      <w:r w:rsidRPr="006439F3">
        <w:rPr>
          <w:rFonts w:ascii="Arial" w:hAnsi="Arial" w:cs="Arial"/>
          <w:sz w:val="22"/>
          <w:szCs w:val="22"/>
        </w:rPr>
        <w:t>oprávněný zástupce objednatele</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Pr="00403117">
        <w:rPr>
          <w:rFonts w:ascii="Arial" w:hAnsi="Arial" w:cs="Arial"/>
          <w:sz w:val="22"/>
          <w:szCs w:val="22"/>
        </w:rPr>
        <w:t>oprávněný zástupce zhotovitele</w:t>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C4B" w:rsidRDefault="00AE6C4B">
      <w:r>
        <w:separator/>
      </w:r>
    </w:p>
  </w:endnote>
  <w:endnote w:type="continuationSeparator" w:id="0">
    <w:p w:rsidR="00AE6C4B" w:rsidRDefault="00AE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C1F4A">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C1F4A">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C4B" w:rsidRDefault="00AE6C4B">
      <w:r>
        <w:separator/>
      </w:r>
    </w:p>
  </w:footnote>
  <w:footnote w:type="continuationSeparator" w:id="0">
    <w:p w:rsidR="00AE6C4B" w:rsidRDefault="00AE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F23"/>
    <w:multiLevelType w:val="hybridMultilevel"/>
    <w:tmpl w:val="61B6F6D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CBF2A56"/>
    <w:multiLevelType w:val="hybridMultilevel"/>
    <w:tmpl w:val="D14CE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8A22BC"/>
    <w:multiLevelType w:val="hybridMultilevel"/>
    <w:tmpl w:val="714E5AA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74E3494"/>
    <w:multiLevelType w:val="hybridMultilevel"/>
    <w:tmpl w:val="AFDAB7F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AE15657"/>
    <w:multiLevelType w:val="hybridMultilevel"/>
    <w:tmpl w:val="8EA857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940E16"/>
    <w:multiLevelType w:val="hybridMultilevel"/>
    <w:tmpl w:val="20C6BDC6"/>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1DD22680"/>
    <w:multiLevelType w:val="hybridMultilevel"/>
    <w:tmpl w:val="87F6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15:restartNumberingAfterBreak="0">
    <w:nsid w:val="4CBF6FB4"/>
    <w:multiLevelType w:val="hybridMultilevel"/>
    <w:tmpl w:val="4D423B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35B6836"/>
    <w:multiLevelType w:val="hybridMultilevel"/>
    <w:tmpl w:val="7E5630A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6F5F5C48"/>
    <w:multiLevelType w:val="hybridMultilevel"/>
    <w:tmpl w:val="4B6E53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9"/>
  </w:num>
  <w:num w:numId="3">
    <w:abstractNumId w:val="15"/>
  </w:num>
  <w:num w:numId="4">
    <w:abstractNumId w:val="17"/>
  </w:num>
  <w:num w:numId="5">
    <w:abstractNumId w:val="11"/>
  </w:num>
  <w:num w:numId="6">
    <w:abstractNumId w:val="10"/>
  </w:num>
  <w:num w:numId="7">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1"/>
  </w:num>
  <w:num w:numId="10">
    <w:abstractNumId w:val="3"/>
  </w:num>
  <w:num w:numId="11">
    <w:abstractNumId w:val="12"/>
  </w:num>
  <w:num w:numId="12">
    <w:abstractNumId w:val="8"/>
  </w:num>
  <w:num w:numId="13">
    <w:abstractNumId w:val="7"/>
  </w:num>
  <w:num w:numId="14">
    <w:abstractNumId w:val="5"/>
  </w:num>
  <w:num w:numId="15">
    <w:abstractNumId w:val="14"/>
  </w:num>
  <w:num w:numId="16">
    <w:abstractNumId w:val="2"/>
  </w:num>
  <w:num w:numId="17">
    <w:abstractNumId w:val="20"/>
  </w:num>
  <w:num w:numId="18">
    <w:abstractNumId w:val="1"/>
  </w:num>
  <w:num w:numId="19">
    <w:abstractNumId w:val="20"/>
  </w:num>
  <w:num w:numId="20">
    <w:abstractNumId w:val="4"/>
  </w:num>
  <w:num w:numId="21">
    <w:abstractNumId w:val="6"/>
  </w:num>
  <w:num w:numId="22">
    <w:abstractNumId w:val="0"/>
  </w:num>
  <w:num w:numId="2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1725"/>
    <w:rsid w:val="00013DF1"/>
    <w:rsid w:val="0001739A"/>
    <w:rsid w:val="00022ABE"/>
    <w:rsid w:val="00022FDC"/>
    <w:rsid w:val="00030A1C"/>
    <w:rsid w:val="00032AD0"/>
    <w:rsid w:val="000402FF"/>
    <w:rsid w:val="000456A7"/>
    <w:rsid w:val="00053346"/>
    <w:rsid w:val="000706EC"/>
    <w:rsid w:val="000754A0"/>
    <w:rsid w:val="000903EA"/>
    <w:rsid w:val="00091202"/>
    <w:rsid w:val="00091338"/>
    <w:rsid w:val="000914C6"/>
    <w:rsid w:val="000927E7"/>
    <w:rsid w:val="00093AD2"/>
    <w:rsid w:val="000A10CD"/>
    <w:rsid w:val="000B0C8D"/>
    <w:rsid w:val="000B0E7E"/>
    <w:rsid w:val="000B2E4B"/>
    <w:rsid w:val="000B3C0B"/>
    <w:rsid w:val="000F2E37"/>
    <w:rsid w:val="000F53B1"/>
    <w:rsid w:val="00105240"/>
    <w:rsid w:val="001059B7"/>
    <w:rsid w:val="0011076F"/>
    <w:rsid w:val="00114CFD"/>
    <w:rsid w:val="00115540"/>
    <w:rsid w:val="00123974"/>
    <w:rsid w:val="00123B05"/>
    <w:rsid w:val="00124AEF"/>
    <w:rsid w:val="0013264C"/>
    <w:rsid w:val="00133429"/>
    <w:rsid w:val="00140208"/>
    <w:rsid w:val="00140A9C"/>
    <w:rsid w:val="001431E3"/>
    <w:rsid w:val="00145445"/>
    <w:rsid w:val="00151C33"/>
    <w:rsid w:val="00152D2A"/>
    <w:rsid w:val="001556E2"/>
    <w:rsid w:val="00161861"/>
    <w:rsid w:val="00166B4F"/>
    <w:rsid w:val="00191A3B"/>
    <w:rsid w:val="001A5569"/>
    <w:rsid w:val="001B07ED"/>
    <w:rsid w:val="001B6528"/>
    <w:rsid w:val="001C04BD"/>
    <w:rsid w:val="001C2360"/>
    <w:rsid w:val="001D3524"/>
    <w:rsid w:val="001D6BE7"/>
    <w:rsid w:val="001F12DA"/>
    <w:rsid w:val="001F7612"/>
    <w:rsid w:val="002001D9"/>
    <w:rsid w:val="0020184F"/>
    <w:rsid w:val="002044E5"/>
    <w:rsid w:val="002113D7"/>
    <w:rsid w:val="002157FE"/>
    <w:rsid w:val="00222E29"/>
    <w:rsid w:val="0023194C"/>
    <w:rsid w:val="00233602"/>
    <w:rsid w:val="002356F5"/>
    <w:rsid w:val="00236D02"/>
    <w:rsid w:val="002371A3"/>
    <w:rsid w:val="00241CC6"/>
    <w:rsid w:val="002427FD"/>
    <w:rsid w:val="00255B29"/>
    <w:rsid w:val="00271CF6"/>
    <w:rsid w:val="002727B2"/>
    <w:rsid w:val="002810BB"/>
    <w:rsid w:val="00282A2E"/>
    <w:rsid w:val="002841E7"/>
    <w:rsid w:val="002862E9"/>
    <w:rsid w:val="00292B4F"/>
    <w:rsid w:val="002A59FE"/>
    <w:rsid w:val="002B1846"/>
    <w:rsid w:val="002B32CB"/>
    <w:rsid w:val="002C4912"/>
    <w:rsid w:val="002C50E0"/>
    <w:rsid w:val="002D1039"/>
    <w:rsid w:val="002D299B"/>
    <w:rsid w:val="002E163E"/>
    <w:rsid w:val="002E73A1"/>
    <w:rsid w:val="002F1AC1"/>
    <w:rsid w:val="002F45A9"/>
    <w:rsid w:val="00302394"/>
    <w:rsid w:val="00302783"/>
    <w:rsid w:val="00306A1E"/>
    <w:rsid w:val="00312AFD"/>
    <w:rsid w:val="00312BF9"/>
    <w:rsid w:val="003139A9"/>
    <w:rsid w:val="00327DB4"/>
    <w:rsid w:val="00331998"/>
    <w:rsid w:val="00341CBF"/>
    <w:rsid w:val="00345399"/>
    <w:rsid w:val="00346C0D"/>
    <w:rsid w:val="003516F9"/>
    <w:rsid w:val="003566BA"/>
    <w:rsid w:val="003618B2"/>
    <w:rsid w:val="00366C34"/>
    <w:rsid w:val="003708BE"/>
    <w:rsid w:val="00376286"/>
    <w:rsid w:val="00386410"/>
    <w:rsid w:val="00390F08"/>
    <w:rsid w:val="003A15B7"/>
    <w:rsid w:val="003A7BC6"/>
    <w:rsid w:val="003A7D85"/>
    <w:rsid w:val="003B2A08"/>
    <w:rsid w:val="003B4077"/>
    <w:rsid w:val="003C1782"/>
    <w:rsid w:val="003C769D"/>
    <w:rsid w:val="003D1892"/>
    <w:rsid w:val="003D38EF"/>
    <w:rsid w:val="003E00EA"/>
    <w:rsid w:val="003E1633"/>
    <w:rsid w:val="003E3CB0"/>
    <w:rsid w:val="003F65A0"/>
    <w:rsid w:val="004167CE"/>
    <w:rsid w:val="004237EB"/>
    <w:rsid w:val="00424A5E"/>
    <w:rsid w:val="004258CF"/>
    <w:rsid w:val="004263A6"/>
    <w:rsid w:val="00431AB2"/>
    <w:rsid w:val="004335FB"/>
    <w:rsid w:val="004372A1"/>
    <w:rsid w:val="00437893"/>
    <w:rsid w:val="004433D8"/>
    <w:rsid w:val="004511E9"/>
    <w:rsid w:val="00451D8C"/>
    <w:rsid w:val="00454D43"/>
    <w:rsid w:val="00466A78"/>
    <w:rsid w:val="0046792E"/>
    <w:rsid w:val="004765B5"/>
    <w:rsid w:val="00492554"/>
    <w:rsid w:val="00492DC3"/>
    <w:rsid w:val="004943EB"/>
    <w:rsid w:val="004A2984"/>
    <w:rsid w:val="004B1199"/>
    <w:rsid w:val="004B2043"/>
    <w:rsid w:val="004B4DBE"/>
    <w:rsid w:val="004D4465"/>
    <w:rsid w:val="004E0521"/>
    <w:rsid w:val="004E0756"/>
    <w:rsid w:val="004E7A40"/>
    <w:rsid w:val="004E7D23"/>
    <w:rsid w:val="004F3F86"/>
    <w:rsid w:val="004F553C"/>
    <w:rsid w:val="00512F40"/>
    <w:rsid w:val="00516E1F"/>
    <w:rsid w:val="00520647"/>
    <w:rsid w:val="005247CA"/>
    <w:rsid w:val="005256B6"/>
    <w:rsid w:val="005302CD"/>
    <w:rsid w:val="0054280A"/>
    <w:rsid w:val="0055364E"/>
    <w:rsid w:val="00563146"/>
    <w:rsid w:val="005668D0"/>
    <w:rsid w:val="00566F54"/>
    <w:rsid w:val="0057028F"/>
    <w:rsid w:val="00581592"/>
    <w:rsid w:val="0058483B"/>
    <w:rsid w:val="00595DCE"/>
    <w:rsid w:val="005A52EE"/>
    <w:rsid w:val="005B1728"/>
    <w:rsid w:val="005B53AA"/>
    <w:rsid w:val="005B63A2"/>
    <w:rsid w:val="005C10DB"/>
    <w:rsid w:val="005C6983"/>
    <w:rsid w:val="005D5838"/>
    <w:rsid w:val="005F1C02"/>
    <w:rsid w:val="005F1C85"/>
    <w:rsid w:val="005F217B"/>
    <w:rsid w:val="005F34D9"/>
    <w:rsid w:val="006004A9"/>
    <w:rsid w:val="00601DBC"/>
    <w:rsid w:val="00602394"/>
    <w:rsid w:val="0060531F"/>
    <w:rsid w:val="00606A22"/>
    <w:rsid w:val="00610099"/>
    <w:rsid w:val="00642863"/>
    <w:rsid w:val="00656688"/>
    <w:rsid w:val="0067189F"/>
    <w:rsid w:val="0068009D"/>
    <w:rsid w:val="00681859"/>
    <w:rsid w:val="006827FF"/>
    <w:rsid w:val="00687E88"/>
    <w:rsid w:val="006A302C"/>
    <w:rsid w:val="006C4B77"/>
    <w:rsid w:val="006C6128"/>
    <w:rsid w:val="006C64E2"/>
    <w:rsid w:val="006D1516"/>
    <w:rsid w:val="006D29A4"/>
    <w:rsid w:val="006D4CF2"/>
    <w:rsid w:val="006D6504"/>
    <w:rsid w:val="006E5F9A"/>
    <w:rsid w:val="006F41C0"/>
    <w:rsid w:val="007111BD"/>
    <w:rsid w:val="00714263"/>
    <w:rsid w:val="00734FF3"/>
    <w:rsid w:val="00740ADB"/>
    <w:rsid w:val="00745DDE"/>
    <w:rsid w:val="0074616E"/>
    <w:rsid w:val="00765DAC"/>
    <w:rsid w:val="00767317"/>
    <w:rsid w:val="00771122"/>
    <w:rsid w:val="00780A71"/>
    <w:rsid w:val="00785E48"/>
    <w:rsid w:val="00787C27"/>
    <w:rsid w:val="00790434"/>
    <w:rsid w:val="0079147E"/>
    <w:rsid w:val="00792ECD"/>
    <w:rsid w:val="0079435D"/>
    <w:rsid w:val="00795415"/>
    <w:rsid w:val="00797E89"/>
    <w:rsid w:val="007A041D"/>
    <w:rsid w:val="007A0701"/>
    <w:rsid w:val="007B1541"/>
    <w:rsid w:val="007B15C4"/>
    <w:rsid w:val="007B76CB"/>
    <w:rsid w:val="007C2652"/>
    <w:rsid w:val="007D4BE6"/>
    <w:rsid w:val="007D5107"/>
    <w:rsid w:val="007E3DAD"/>
    <w:rsid w:val="007F14CA"/>
    <w:rsid w:val="007F41FE"/>
    <w:rsid w:val="007F60BA"/>
    <w:rsid w:val="007F7071"/>
    <w:rsid w:val="007F7B0E"/>
    <w:rsid w:val="008052DD"/>
    <w:rsid w:val="00811B43"/>
    <w:rsid w:val="008156E1"/>
    <w:rsid w:val="0081696E"/>
    <w:rsid w:val="00821D11"/>
    <w:rsid w:val="008267A4"/>
    <w:rsid w:val="00830AC2"/>
    <w:rsid w:val="008347C2"/>
    <w:rsid w:val="00844FF1"/>
    <w:rsid w:val="00855734"/>
    <w:rsid w:val="00855A6C"/>
    <w:rsid w:val="00856705"/>
    <w:rsid w:val="008570F3"/>
    <w:rsid w:val="00860849"/>
    <w:rsid w:val="0086126A"/>
    <w:rsid w:val="00863475"/>
    <w:rsid w:val="00864AB4"/>
    <w:rsid w:val="00872CA3"/>
    <w:rsid w:val="008819D0"/>
    <w:rsid w:val="00883D67"/>
    <w:rsid w:val="0088678E"/>
    <w:rsid w:val="0089405A"/>
    <w:rsid w:val="008A107C"/>
    <w:rsid w:val="008C1F4A"/>
    <w:rsid w:val="008C1FBE"/>
    <w:rsid w:val="008C390F"/>
    <w:rsid w:val="008D07D7"/>
    <w:rsid w:val="008D36CC"/>
    <w:rsid w:val="008F2E2B"/>
    <w:rsid w:val="008F3607"/>
    <w:rsid w:val="008F371B"/>
    <w:rsid w:val="009011E1"/>
    <w:rsid w:val="009177F7"/>
    <w:rsid w:val="00917F5B"/>
    <w:rsid w:val="00921CCC"/>
    <w:rsid w:val="009231A4"/>
    <w:rsid w:val="0092548D"/>
    <w:rsid w:val="00937B32"/>
    <w:rsid w:val="0094603D"/>
    <w:rsid w:val="009515EF"/>
    <w:rsid w:val="0095255A"/>
    <w:rsid w:val="009545B1"/>
    <w:rsid w:val="00956496"/>
    <w:rsid w:val="0095748D"/>
    <w:rsid w:val="0096148E"/>
    <w:rsid w:val="00963F3F"/>
    <w:rsid w:val="009672AA"/>
    <w:rsid w:val="0097281F"/>
    <w:rsid w:val="0098025D"/>
    <w:rsid w:val="009843E0"/>
    <w:rsid w:val="00985301"/>
    <w:rsid w:val="00985B9D"/>
    <w:rsid w:val="0098622A"/>
    <w:rsid w:val="00991B86"/>
    <w:rsid w:val="00995E3E"/>
    <w:rsid w:val="00996588"/>
    <w:rsid w:val="009A120B"/>
    <w:rsid w:val="009A39F9"/>
    <w:rsid w:val="009A3FBD"/>
    <w:rsid w:val="009C27C3"/>
    <w:rsid w:val="009C5A32"/>
    <w:rsid w:val="009D2E1E"/>
    <w:rsid w:val="009D4120"/>
    <w:rsid w:val="009D5612"/>
    <w:rsid w:val="009E3411"/>
    <w:rsid w:val="009E623B"/>
    <w:rsid w:val="00A0376A"/>
    <w:rsid w:val="00A1328C"/>
    <w:rsid w:val="00A2023D"/>
    <w:rsid w:val="00A24A0F"/>
    <w:rsid w:val="00A43B3A"/>
    <w:rsid w:val="00A71E04"/>
    <w:rsid w:val="00A72B4B"/>
    <w:rsid w:val="00A8568B"/>
    <w:rsid w:val="00A903B8"/>
    <w:rsid w:val="00A919B5"/>
    <w:rsid w:val="00A930F6"/>
    <w:rsid w:val="00A96966"/>
    <w:rsid w:val="00AA0137"/>
    <w:rsid w:val="00AA162A"/>
    <w:rsid w:val="00AA1BE2"/>
    <w:rsid w:val="00AB1358"/>
    <w:rsid w:val="00AB3ADF"/>
    <w:rsid w:val="00AB507D"/>
    <w:rsid w:val="00AC3E52"/>
    <w:rsid w:val="00AD1BFF"/>
    <w:rsid w:val="00AD1CF0"/>
    <w:rsid w:val="00AD7668"/>
    <w:rsid w:val="00AE2EEC"/>
    <w:rsid w:val="00AE6C4B"/>
    <w:rsid w:val="00AE6E47"/>
    <w:rsid w:val="00AF0169"/>
    <w:rsid w:val="00B02B95"/>
    <w:rsid w:val="00B0309E"/>
    <w:rsid w:val="00B11EF8"/>
    <w:rsid w:val="00B13964"/>
    <w:rsid w:val="00B20CF7"/>
    <w:rsid w:val="00B256CC"/>
    <w:rsid w:val="00B34EBF"/>
    <w:rsid w:val="00B368E0"/>
    <w:rsid w:val="00B63BF5"/>
    <w:rsid w:val="00B640F3"/>
    <w:rsid w:val="00B76C65"/>
    <w:rsid w:val="00B84D23"/>
    <w:rsid w:val="00B914C9"/>
    <w:rsid w:val="00B92AF5"/>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71C"/>
    <w:rsid w:val="00C22EC2"/>
    <w:rsid w:val="00C233E2"/>
    <w:rsid w:val="00C45D81"/>
    <w:rsid w:val="00C516BF"/>
    <w:rsid w:val="00C56345"/>
    <w:rsid w:val="00C66556"/>
    <w:rsid w:val="00C72A39"/>
    <w:rsid w:val="00C7519E"/>
    <w:rsid w:val="00C754D6"/>
    <w:rsid w:val="00C76C18"/>
    <w:rsid w:val="00C9156E"/>
    <w:rsid w:val="00CA35B6"/>
    <w:rsid w:val="00CB3556"/>
    <w:rsid w:val="00CB7010"/>
    <w:rsid w:val="00CC0E56"/>
    <w:rsid w:val="00CC19B0"/>
    <w:rsid w:val="00CF35ED"/>
    <w:rsid w:val="00CF4FE1"/>
    <w:rsid w:val="00CF5CA2"/>
    <w:rsid w:val="00D2173A"/>
    <w:rsid w:val="00D23E15"/>
    <w:rsid w:val="00D276F7"/>
    <w:rsid w:val="00D363E8"/>
    <w:rsid w:val="00D41B2F"/>
    <w:rsid w:val="00D533AF"/>
    <w:rsid w:val="00D56190"/>
    <w:rsid w:val="00D642B9"/>
    <w:rsid w:val="00D65B2C"/>
    <w:rsid w:val="00D747F2"/>
    <w:rsid w:val="00D74CA0"/>
    <w:rsid w:val="00D75EBF"/>
    <w:rsid w:val="00D83C7B"/>
    <w:rsid w:val="00D865BE"/>
    <w:rsid w:val="00D87104"/>
    <w:rsid w:val="00D94469"/>
    <w:rsid w:val="00D968F8"/>
    <w:rsid w:val="00DB2B84"/>
    <w:rsid w:val="00DC10D8"/>
    <w:rsid w:val="00DC579B"/>
    <w:rsid w:val="00DC6ACE"/>
    <w:rsid w:val="00DD0E1B"/>
    <w:rsid w:val="00DD400C"/>
    <w:rsid w:val="00DD73B7"/>
    <w:rsid w:val="00DE2F13"/>
    <w:rsid w:val="00DE3369"/>
    <w:rsid w:val="00DE675A"/>
    <w:rsid w:val="00DF0B5E"/>
    <w:rsid w:val="00DF41F7"/>
    <w:rsid w:val="00E06371"/>
    <w:rsid w:val="00E10428"/>
    <w:rsid w:val="00E2169D"/>
    <w:rsid w:val="00E327CE"/>
    <w:rsid w:val="00E437CA"/>
    <w:rsid w:val="00E44420"/>
    <w:rsid w:val="00E44E9E"/>
    <w:rsid w:val="00E50846"/>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C3026"/>
    <w:rsid w:val="00ED1285"/>
    <w:rsid w:val="00ED1664"/>
    <w:rsid w:val="00ED2006"/>
    <w:rsid w:val="00ED33E2"/>
    <w:rsid w:val="00EE43D6"/>
    <w:rsid w:val="00EF1AB7"/>
    <w:rsid w:val="00EF1E4B"/>
    <w:rsid w:val="00EF2804"/>
    <w:rsid w:val="00EF706B"/>
    <w:rsid w:val="00EF744B"/>
    <w:rsid w:val="00F05460"/>
    <w:rsid w:val="00F22DC0"/>
    <w:rsid w:val="00F24E79"/>
    <w:rsid w:val="00F25381"/>
    <w:rsid w:val="00F27BE3"/>
    <w:rsid w:val="00F32ACA"/>
    <w:rsid w:val="00F352E0"/>
    <w:rsid w:val="00F52D0A"/>
    <w:rsid w:val="00F54D46"/>
    <w:rsid w:val="00F55392"/>
    <w:rsid w:val="00F5552E"/>
    <w:rsid w:val="00F67B02"/>
    <w:rsid w:val="00F67C3F"/>
    <w:rsid w:val="00F7139B"/>
    <w:rsid w:val="00F7232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44C4A"/>
  <w15:docId w15:val="{E0954A04-EFC2-4D1C-A967-3CF18820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B13964"/>
    <w:rPr>
      <w:color w:val="0000FF" w:themeColor="hyperlink"/>
      <w:u w:val="single"/>
    </w:rPr>
  </w:style>
  <w:style w:type="character" w:styleId="Nevyeenzmnka">
    <w:name w:val="Unresolved Mention"/>
    <w:basedOn w:val="Standardnpsmoodstavce"/>
    <w:uiPriority w:val="99"/>
    <w:semiHidden/>
    <w:unhideWhenUsed/>
    <w:rsid w:val="00B13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521940849">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29919387">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213230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38AB-9BA3-4F4E-9D57-D4699273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2682</Words>
  <Characters>15825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Ing. Petr Stárek</cp:lastModifiedBy>
  <cp:revision>4</cp:revision>
  <cp:lastPrinted>2019-02-26T08:14:00Z</cp:lastPrinted>
  <dcterms:created xsi:type="dcterms:W3CDTF">2023-08-08T13:24:00Z</dcterms:created>
  <dcterms:modified xsi:type="dcterms:W3CDTF">2023-08-08T13:25:00Z</dcterms:modified>
</cp:coreProperties>
</file>