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B20" w:rsidRDefault="00FD0AA3">
      <w:pPr>
        <w:rPr>
          <w:sz w:val="2"/>
          <w:szCs w:val="2"/>
        </w:rPr>
      </w:pPr>
      <w:r>
        <w:rPr>
          <w:noProof/>
          <w:lang w:bidi="ar-SA"/>
        </w:rPr>
        <w:drawing>
          <wp:inline distT="0" distB="0" distL="0" distR="0">
            <wp:extent cx="694690" cy="46926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694690" cy="469265"/>
                    </a:xfrm>
                    <a:prstGeom prst="rect">
                      <a:avLst/>
                    </a:prstGeom>
                  </pic:spPr>
                </pic:pic>
              </a:graphicData>
            </a:graphic>
          </wp:inline>
        </w:drawing>
      </w:r>
    </w:p>
    <w:p w:rsidR="00215B20" w:rsidRDefault="00FD0AA3">
      <w:pPr>
        <w:pStyle w:val="Titulekobrzku0"/>
        <w:shd w:val="clear" w:color="auto" w:fill="auto"/>
        <w:spacing w:line="240" w:lineRule="auto"/>
        <w:ind w:firstLine="0"/>
        <w:rPr>
          <w:sz w:val="22"/>
          <w:szCs w:val="22"/>
        </w:rPr>
      </w:pPr>
      <w:r>
        <w:rPr>
          <w:rFonts w:ascii="Calibri" w:eastAsia="Calibri" w:hAnsi="Calibri" w:cs="Calibri"/>
          <w:color w:val="231F20"/>
          <w:sz w:val="22"/>
          <w:szCs w:val="22"/>
        </w:rPr>
        <w:t>Příloha č. 1:</w:t>
      </w:r>
    </w:p>
    <w:p w:rsidR="00215B20" w:rsidRDefault="00215B20">
      <w:pPr>
        <w:spacing w:after="159" w:line="1" w:lineRule="exact"/>
      </w:pPr>
    </w:p>
    <w:p w:rsidR="00215B20" w:rsidRDefault="00FD0AA3">
      <w:pPr>
        <w:pStyle w:val="Zkladntext30"/>
        <w:shd w:val="clear" w:color="auto" w:fill="auto"/>
        <w:jc w:val="both"/>
        <w:sectPr w:rsidR="00215B20">
          <w:headerReference w:type="even" r:id="rId8"/>
          <w:headerReference w:type="default" r:id="rId9"/>
          <w:pgSz w:w="11900" w:h="16840"/>
          <w:pgMar w:top="1441" w:right="6836" w:bottom="1441" w:left="1391" w:header="0" w:footer="1013" w:gutter="0"/>
          <w:pgNumType w:start="1"/>
          <w:cols w:space="720"/>
          <w:noEndnote/>
          <w:docGrid w:linePitch="360"/>
        </w:sectPr>
      </w:pPr>
      <w:r>
        <w:t>Seznam lokalit, specifikace a ceny Služeb</w:t>
      </w:r>
    </w:p>
    <w:p w:rsidR="00215B20" w:rsidRDefault="00FD0AA3">
      <w:pPr>
        <w:pStyle w:val="Zkladntext50"/>
        <w:shd w:val="clear" w:color="auto" w:fill="auto"/>
        <w:spacing w:after="560"/>
        <w:ind w:left="0" w:firstLine="480"/>
        <w:rPr>
          <w:sz w:val="22"/>
          <w:szCs w:val="22"/>
        </w:rPr>
      </w:pPr>
      <w:r>
        <w:rPr>
          <w:b/>
          <w:bCs/>
          <w:i w:val="0"/>
          <w:iCs w:val="0"/>
          <w:sz w:val="22"/>
          <w:szCs w:val="22"/>
        </w:rPr>
        <w:lastRenderedPageBreak/>
        <w:t xml:space="preserve">Příloha </w:t>
      </w:r>
      <w:proofErr w:type="gramStart"/>
      <w:r>
        <w:rPr>
          <w:b/>
          <w:bCs/>
          <w:i w:val="0"/>
          <w:iCs w:val="0"/>
          <w:sz w:val="22"/>
          <w:szCs w:val="22"/>
        </w:rPr>
        <w:t>č.l:</w:t>
      </w:r>
      <w:proofErr w:type="gramEnd"/>
      <w:r>
        <w:rPr>
          <w:b/>
          <w:bCs/>
          <w:i w:val="0"/>
          <w:iCs w:val="0"/>
          <w:sz w:val="22"/>
          <w:szCs w:val="22"/>
        </w:rPr>
        <w:t xml:space="preserve"> Objemy služeb a specifikace </w:t>
      </w:r>
      <w:r>
        <w:rPr>
          <w:b/>
          <w:bCs/>
          <w:i w:val="0"/>
          <w:iCs w:val="0"/>
          <w:sz w:val="22"/>
          <w:szCs w:val="22"/>
        </w:rPr>
        <w:t>cen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
        <w:gridCol w:w="4718"/>
        <w:gridCol w:w="883"/>
        <w:gridCol w:w="1277"/>
        <w:gridCol w:w="1541"/>
        <w:gridCol w:w="1498"/>
        <w:gridCol w:w="1421"/>
        <w:gridCol w:w="1382"/>
        <w:gridCol w:w="547"/>
        <w:gridCol w:w="1234"/>
      </w:tblGrid>
      <w:tr w:rsidR="00215B20">
        <w:tblPrEx>
          <w:tblCellMar>
            <w:top w:w="0" w:type="dxa"/>
            <w:bottom w:w="0" w:type="dxa"/>
          </w:tblCellMar>
        </w:tblPrEx>
        <w:trPr>
          <w:trHeight w:hRule="exact" w:val="542"/>
          <w:jc w:val="center"/>
        </w:trPr>
        <w:tc>
          <w:tcPr>
            <w:tcW w:w="379" w:type="dxa"/>
            <w:tcBorders>
              <w:top w:val="single" w:sz="4" w:space="0" w:color="auto"/>
              <w:left w:val="single" w:sz="4" w:space="0" w:color="auto"/>
            </w:tcBorders>
            <w:shd w:val="clear" w:color="auto" w:fill="FCCC9B"/>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w:t>
            </w:r>
          </w:p>
        </w:tc>
        <w:tc>
          <w:tcPr>
            <w:tcW w:w="4718" w:type="dxa"/>
            <w:tcBorders>
              <w:top w:val="single" w:sz="4" w:space="0" w:color="auto"/>
            </w:tcBorders>
            <w:shd w:val="clear" w:color="auto" w:fill="FCCC9B"/>
          </w:tcPr>
          <w:p w:rsidR="00215B20" w:rsidRDefault="00FD0AA3">
            <w:pPr>
              <w:pStyle w:val="Jin0"/>
              <w:shd w:val="clear" w:color="auto" w:fill="auto"/>
              <w:spacing w:after="0" w:line="240" w:lineRule="auto"/>
              <w:rPr>
                <w:sz w:val="17"/>
                <w:szCs w:val="17"/>
              </w:rPr>
            </w:pPr>
            <w:r>
              <w:rPr>
                <w:rFonts w:ascii="Calibri" w:eastAsia="Calibri" w:hAnsi="Calibri" w:cs="Calibri"/>
                <w:b/>
                <w:bCs/>
                <w:sz w:val="17"/>
                <w:szCs w:val="17"/>
              </w:rPr>
              <w:t>Požadovaná služba</w:t>
            </w:r>
          </w:p>
        </w:tc>
        <w:tc>
          <w:tcPr>
            <w:tcW w:w="883" w:type="dxa"/>
            <w:tcBorders>
              <w:top w:val="single" w:sz="4" w:space="0" w:color="auto"/>
            </w:tcBorders>
            <w:shd w:val="clear" w:color="auto" w:fill="FCCC9B"/>
            <w:vAlign w:val="bottom"/>
          </w:tcPr>
          <w:p w:rsidR="00215B20" w:rsidRDefault="00FD0AA3">
            <w:pPr>
              <w:pStyle w:val="Jin0"/>
              <w:shd w:val="clear" w:color="auto" w:fill="auto"/>
              <w:spacing w:after="40" w:line="240" w:lineRule="auto"/>
              <w:ind w:firstLine="180"/>
              <w:rPr>
                <w:sz w:val="17"/>
                <w:szCs w:val="17"/>
              </w:rPr>
            </w:pPr>
            <w:r>
              <w:rPr>
                <w:rFonts w:ascii="Calibri" w:eastAsia="Calibri" w:hAnsi="Calibri" w:cs="Calibri"/>
                <w:b/>
                <w:bCs/>
                <w:sz w:val="17"/>
                <w:szCs w:val="17"/>
              </w:rPr>
              <w:t>Rychlost</w:t>
            </w:r>
          </w:p>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(Mbps)</w:t>
            </w:r>
          </w:p>
        </w:tc>
        <w:tc>
          <w:tcPr>
            <w:tcW w:w="1277" w:type="dxa"/>
            <w:tcBorders>
              <w:top w:val="single" w:sz="4" w:space="0" w:color="auto"/>
            </w:tcBorders>
            <w:shd w:val="clear" w:color="auto" w:fill="FCCC9B"/>
            <w:vAlign w:val="bottom"/>
          </w:tcPr>
          <w:p w:rsidR="00215B20" w:rsidRDefault="00FD0AA3">
            <w:pPr>
              <w:pStyle w:val="Jin0"/>
              <w:shd w:val="clear" w:color="auto" w:fill="auto"/>
              <w:spacing w:after="0" w:line="276" w:lineRule="auto"/>
              <w:jc w:val="center"/>
              <w:rPr>
                <w:sz w:val="17"/>
                <w:szCs w:val="17"/>
              </w:rPr>
            </w:pPr>
            <w:r>
              <w:rPr>
                <w:rFonts w:ascii="Calibri" w:eastAsia="Calibri" w:hAnsi="Calibri" w:cs="Calibri"/>
                <w:b/>
                <w:bCs/>
                <w:sz w:val="17"/>
                <w:szCs w:val="17"/>
              </w:rPr>
              <w:t>Technologie připojení</w:t>
            </w:r>
          </w:p>
        </w:tc>
        <w:tc>
          <w:tcPr>
            <w:tcW w:w="1541" w:type="dxa"/>
            <w:tcBorders>
              <w:top w:val="single" w:sz="4" w:space="0" w:color="auto"/>
            </w:tcBorders>
            <w:shd w:val="clear" w:color="auto" w:fill="FCCC9B"/>
          </w:tcPr>
          <w:p w:rsidR="00215B20" w:rsidRDefault="00FD0AA3">
            <w:pPr>
              <w:pStyle w:val="Jin0"/>
              <w:shd w:val="clear" w:color="auto" w:fill="auto"/>
              <w:spacing w:after="0" w:line="240" w:lineRule="auto"/>
              <w:jc w:val="center"/>
              <w:rPr>
                <w:sz w:val="17"/>
                <w:szCs w:val="17"/>
              </w:rPr>
            </w:pPr>
            <w:r>
              <w:rPr>
                <w:rFonts w:ascii="Calibri" w:eastAsia="Calibri" w:hAnsi="Calibri" w:cs="Calibri"/>
                <w:b/>
                <w:bCs/>
                <w:sz w:val="17"/>
                <w:szCs w:val="17"/>
              </w:rPr>
              <w:t>Jednotka</w:t>
            </w:r>
          </w:p>
        </w:tc>
        <w:tc>
          <w:tcPr>
            <w:tcW w:w="1498" w:type="dxa"/>
            <w:tcBorders>
              <w:top w:val="single" w:sz="4" w:space="0" w:color="auto"/>
            </w:tcBorders>
            <w:shd w:val="clear" w:color="auto" w:fill="FCCC9B"/>
            <w:vAlign w:val="bottom"/>
          </w:tcPr>
          <w:p w:rsidR="00215B20" w:rsidRDefault="00FD0AA3">
            <w:pPr>
              <w:pStyle w:val="Jin0"/>
              <w:shd w:val="clear" w:color="auto" w:fill="auto"/>
              <w:spacing w:after="0" w:line="240" w:lineRule="auto"/>
              <w:rPr>
                <w:sz w:val="17"/>
                <w:szCs w:val="17"/>
              </w:rPr>
            </w:pPr>
            <w:r>
              <w:rPr>
                <w:rFonts w:ascii="Calibri" w:eastAsia="Calibri" w:hAnsi="Calibri" w:cs="Calibri"/>
                <w:b/>
                <w:bCs/>
                <w:sz w:val="17"/>
                <w:szCs w:val="17"/>
              </w:rPr>
              <w:t>Cena za jednotku</w:t>
            </w:r>
          </w:p>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(bez DPH)</w:t>
            </w:r>
          </w:p>
        </w:tc>
        <w:tc>
          <w:tcPr>
            <w:tcW w:w="1421" w:type="dxa"/>
            <w:tcBorders>
              <w:top w:val="single" w:sz="4" w:space="0" w:color="auto"/>
            </w:tcBorders>
            <w:shd w:val="clear" w:color="auto" w:fill="FCCC9B"/>
            <w:vAlign w:val="bottom"/>
          </w:tcPr>
          <w:p w:rsidR="00215B20" w:rsidRDefault="00FD0AA3">
            <w:pPr>
              <w:pStyle w:val="Jin0"/>
              <w:shd w:val="clear" w:color="auto" w:fill="auto"/>
              <w:spacing w:after="0" w:line="240" w:lineRule="auto"/>
              <w:rPr>
                <w:sz w:val="17"/>
                <w:szCs w:val="17"/>
              </w:rPr>
            </w:pPr>
            <w:r>
              <w:rPr>
                <w:rFonts w:ascii="Calibri" w:eastAsia="Calibri" w:hAnsi="Calibri" w:cs="Calibri"/>
                <w:b/>
                <w:bCs/>
                <w:sz w:val="17"/>
                <w:szCs w:val="17"/>
              </w:rPr>
              <w:t>Počet jednotek</w:t>
            </w:r>
          </w:p>
          <w:p w:rsidR="00215B20" w:rsidRDefault="00FD0AA3">
            <w:pPr>
              <w:pStyle w:val="Jin0"/>
              <w:shd w:val="clear" w:color="auto" w:fill="auto"/>
              <w:spacing w:after="0" w:line="240" w:lineRule="auto"/>
              <w:ind w:firstLine="340"/>
              <w:rPr>
                <w:sz w:val="17"/>
                <w:szCs w:val="17"/>
              </w:rPr>
            </w:pPr>
            <w:r>
              <w:rPr>
                <w:rFonts w:ascii="Calibri" w:eastAsia="Calibri" w:hAnsi="Calibri" w:cs="Calibri"/>
                <w:sz w:val="17"/>
                <w:szCs w:val="17"/>
              </w:rPr>
              <w:t>za měsíc</w:t>
            </w:r>
          </w:p>
        </w:tc>
        <w:tc>
          <w:tcPr>
            <w:tcW w:w="1382" w:type="dxa"/>
            <w:tcBorders>
              <w:top w:val="single" w:sz="4" w:space="0" w:color="auto"/>
            </w:tcBorders>
            <w:shd w:val="clear" w:color="auto" w:fill="FCCC9B"/>
            <w:vAlign w:val="bottom"/>
          </w:tcPr>
          <w:p w:rsidR="00215B20" w:rsidRDefault="00FD0AA3">
            <w:pPr>
              <w:pStyle w:val="Jin0"/>
              <w:shd w:val="clear" w:color="auto" w:fill="auto"/>
              <w:spacing w:after="0" w:line="240" w:lineRule="auto"/>
              <w:rPr>
                <w:sz w:val="17"/>
                <w:szCs w:val="17"/>
              </w:rPr>
            </w:pPr>
            <w:r>
              <w:rPr>
                <w:rFonts w:ascii="Calibri" w:eastAsia="Calibri" w:hAnsi="Calibri" w:cs="Calibri"/>
                <w:b/>
                <w:bCs/>
                <w:sz w:val="17"/>
                <w:szCs w:val="17"/>
              </w:rPr>
              <w:t>Cena bez DPH</w:t>
            </w:r>
          </w:p>
          <w:p w:rsidR="00215B20" w:rsidRDefault="00FD0AA3">
            <w:pPr>
              <w:pStyle w:val="Jin0"/>
              <w:shd w:val="clear" w:color="auto" w:fill="auto"/>
              <w:spacing w:after="0" w:line="240" w:lineRule="auto"/>
              <w:ind w:firstLine="260"/>
              <w:jc w:val="both"/>
              <w:rPr>
                <w:sz w:val="17"/>
                <w:szCs w:val="17"/>
              </w:rPr>
            </w:pPr>
            <w:r>
              <w:rPr>
                <w:rFonts w:ascii="Calibri" w:eastAsia="Calibri" w:hAnsi="Calibri" w:cs="Calibri"/>
                <w:sz w:val="17"/>
                <w:szCs w:val="17"/>
              </w:rPr>
              <w:t>za 1 měsíc</w:t>
            </w:r>
          </w:p>
        </w:tc>
        <w:tc>
          <w:tcPr>
            <w:tcW w:w="547" w:type="dxa"/>
            <w:tcBorders>
              <w:top w:val="single" w:sz="4" w:space="0" w:color="auto"/>
            </w:tcBorders>
            <w:shd w:val="clear" w:color="auto" w:fill="FCCC9B"/>
            <w:vAlign w:val="bottom"/>
          </w:tcPr>
          <w:p w:rsidR="00215B20" w:rsidRDefault="00FD0AA3">
            <w:pPr>
              <w:pStyle w:val="Jin0"/>
              <w:shd w:val="clear" w:color="auto" w:fill="auto"/>
              <w:spacing w:after="40" w:line="240" w:lineRule="auto"/>
              <w:jc w:val="right"/>
              <w:rPr>
                <w:sz w:val="17"/>
                <w:szCs w:val="17"/>
              </w:rPr>
            </w:pPr>
            <w:r>
              <w:rPr>
                <w:rFonts w:ascii="Calibri" w:eastAsia="Calibri" w:hAnsi="Calibri" w:cs="Calibri"/>
                <w:b/>
                <w:bCs/>
                <w:sz w:val="17"/>
                <w:szCs w:val="17"/>
              </w:rPr>
              <w:t>DPH</w:t>
            </w:r>
          </w:p>
          <w:p w:rsidR="00215B20" w:rsidRDefault="00FD0AA3">
            <w:pPr>
              <w:pStyle w:val="Jin0"/>
              <w:shd w:val="clear" w:color="auto" w:fill="auto"/>
              <w:spacing w:after="0" w:line="240" w:lineRule="auto"/>
              <w:jc w:val="right"/>
              <w:rPr>
                <w:sz w:val="17"/>
                <w:szCs w:val="17"/>
              </w:rPr>
            </w:pPr>
            <w:r>
              <w:rPr>
                <w:rFonts w:ascii="Calibri" w:eastAsia="Calibri" w:hAnsi="Calibri" w:cs="Calibri"/>
                <w:sz w:val="17"/>
                <w:szCs w:val="17"/>
              </w:rPr>
              <w:t>(v%)</w:t>
            </w:r>
          </w:p>
        </w:tc>
        <w:tc>
          <w:tcPr>
            <w:tcW w:w="1234" w:type="dxa"/>
            <w:tcBorders>
              <w:top w:val="single" w:sz="4" w:space="0" w:color="auto"/>
              <w:right w:val="single" w:sz="4" w:space="0" w:color="auto"/>
            </w:tcBorders>
            <w:shd w:val="clear" w:color="auto" w:fill="FCCC9B"/>
            <w:vAlign w:val="bottom"/>
          </w:tcPr>
          <w:p w:rsidR="00215B20" w:rsidRDefault="00FD0AA3">
            <w:pPr>
              <w:pStyle w:val="Jin0"/>
              <w:shd w:val="clear" w:color="auto" w:fill="auto"/>
              <w:spacing w:after="0" w:line="240" w:lineRule="auto"/>
              <w:rPr>
                <w:sz w:val="17"/>
                <w:szCs w:val="17"/>
              </w:rPr>
            </w:pPr>
            <w:r>
              <w:rPr>
                <w:rFonts w:ascii="Calibri" w:eastAsia="Calibri" w:hAnsi="Calibri" w:cs="Calibri"/>
                <w:b/>
                <w:bCs/>
                <w:sz w:val="17"/>
                <w:szCs w:val="17"/>
              </w:rPr>
              <w:t>Cena vč. DPH</w:t>
            </w:r>
          </w:p>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za 1 měsíc</w:t>
            </w:r>
          </w:p>
        </w:tc>
      </w:tr>
      <w:tr w:rsidR="00215B20">
        <w:tblPrEx>
          <w:tblCellMar>
            <w:top w:w="0" w:type="dxa"/>
            <w:bottom w:w="0" w:type="dxa"/>
          </w:tblCellMar>
        </w:tblPrEx>
        <w:trPr>
          <w:trHeight w:hRule="exact" w:val="259"/>
          <w:jc w:val="center"/>
        </w:trPr>
        <w:tc>
          <w:tcPr>
            <w:tcW w:w="379" w:type="dxa"/>
            <w:tcBorders>
              <w:top w:val="single" w:sz="4" w:space="0" w:color="auto"/>
              <w:left w:val="single" w:sz="4" w:space="0" w:color="auto"/>
            </w:tcBorders>
            <w:shd w:val="clear" w:color="auto" w:fill="D3D5D7"/>
          </w:tcPr>
          <w:p w:rsidR="00215B20" w:rsidRDefault="00215B20">
            <w:pPr>
              <w:rPr>
                <w:sz w:val="10"/>
                <w:szCs w:val="10"/>
              </w:rPr>
            </w:pPr>
          </w:p>
        </w:tc>
        <w:tc>
          <w:tcPr>
            <w:tcW w:w="4718" w:type="dxa"/>
            <w:tcBorders>
              <w:top w:val="single" w:sz="4" w:space="0" w:color="auto"/>
            </w:tcBorders>
            <w:shd w:val="clear" w:color="auto" w:fill="D3D5D7"/>
          </w:tcPr>
          <w:p w:rsidR="00215B20" w:rsidRDefault="00FD0AA3">
            <w:pPr>
              <w:pStyle w:val="Jin0"/>
              <w:shd w:val="clear" w:color="auto" w:fill="auto"/>
              <w:spacing w:after="0" w:line="240" w:lineRule="auto"/>
              <w:rPr>
                <w:sz w:val="17"/>
                <w:szCs w:val="17"/>
              </w:rPr>
            </w:pPr>
            <w:r>
              <w:rPr>
                <w:rFonts w:ascii="Calibri" w:eastAsia="Calibri" w:hAnsi="Calibri" w:cs="Calibri"/>
                <w:b/>
                <w:bCs/>
                <w:sz w:val="17"/>
                <w:szCs w:val="17"/>
              </w:rPr>
              <w:t>Internet</w:t>
            </w:r>
          </w:p>
        </w:tc>
        <w:tc>
          <w:tcPr>
            <w:tcW w:w="883" w:type="dxa"/>
            <w:tcBorders>
              <w:top w:val="single" w:sz="4" w:space="0" w:color="auto"/>
            </w:tcBorders>
            <w:shd w:val="clear" w:color="auto" w:fill="D3D5D7"/>
          </w:tcPr>
          <w:p w:rsidR="00215B20" w:rsidRDefault="00215B20">
            <w:pPr>
              <w:rPr>
                <w:sz w:val="10"/>
                <w:szCs w:val="10"/>
              </w:rPr>
            </w:pPr>
          </w:p>
        </w:tc>
        <w:tc>
          <w:tcPr>
            <w:tcW w:w="1277" w:type="dxa"/>
            <w:tcBorders>
              <w:top w:val="single" w:sz="4" w:space="0" w:color="auto"/>
            </w:tcBorders>
            <w:shd w:val="clear" w:color="auto" w:fill="D3D5D7"/>
          </w:tcPr>
          <w:p w:rsidR="00215B20" w:rsidRDefault="00215B20">
            <w:pPr>
              <w:rPr>
                <w:sz w:val="10"/>
                <w:szCs w:val="10"/>
              </w:rPr>
            </w:pPr>
          </w:p>
        </w:tc>
        <w:tc>
          <w:tcPr>
            <w:tcW w:w="1541" w:type="dxa"/>
            <w:tcBorders>
              <w:top w:val="single" w:sz="4" w:space="0" w:color="auto"/>
            </w:tcBorders>
            <w:shd w:val="clear" w:color="auto" w:fill="D3D5D7"/>
          </w:tcPr>
          <w:p w:rsidR="00215B20" w:rsidRDefault="00215B20">
            <w:pPr>
              <w:rPr>
                <w:sz w:val="10"/>
                <w:szCs w:val="10"/>
              </w:rPr>
            </w:pPr>
          </w:p>
        </w:tc>
        <w:tc>
          <w:tcPr>
            <w:tcW w:w="1498" w:type="dxa"/>
            <w:tcBorders>
              <w:top w:val="single" w:sz="4" w:space="0" w:color="auto"/>
            </w:tcBorders>
            <w:shd w:val="clear" w:color="auto" w:fill="D3D5D7"/>
          </w:tcPr>
          <w:p w:rsidR="00215B20" w:rsidRDefault="00215B20">
            <w:pPr>
              <w:rPr>
                <w:sz w:val="10"/>
                <w:szCs w:val="10"/>
              </w:rPr>
            </w:pPr>
          </w:p>
        </w:tc>
        <w:tc>
          <w:tcPr>
            <w:tcW w:w="1421" w:type="dxa"/>
            <w:tcBorders>
              <w:top w:val="single" w:sz="4" w:space="0" w:color="auto"/>
            </w:tcBorders>
            <w:shd w:val="clear" w:color="auto" w:fill="D3D5D7"/>
          </w:tcPr>
          <w:p w:rsidR="00215B20" w:rsidRDefault="00215B20">
            <w:pPr>
              <w:rPr>
                <w:sz w:val="10"/>
                <w:szCs w:val="10"/>
              </w:rPr>
            </w:pPr>
          </w:p>
        </w:tc>
        <w:tc>
          <w:tcPr>
            <w:tcW w:w="1382" w:type="dxa"/>
            <w:tcBorders>
              <w:top w:val="single" w:sz="4" w:space="0" w:color="auto"/>
            </w:tcBorders>
            <w:shd w:val="clear" w:color="auto" w:fill="D3D5D7"/>
          </w:tcPr>
          <w:p w:rsidR="00215B20" w:rsidRDefault="00215B20">
            <w:pPr>
              <w:rPr>
                <w:sz w:val="10"/>
                <w:szCs w:val="10"/>
              </w:rPr>
            </w:pPr>
          </w:p>
        </w:tc>
        <w:tc>
          <w:tcPr>
            <w:tcW w:w="547" w:type="dxa"/>
            <w:tcBorders>
              <w:top w:val="single" w:sz="4" w:space="0" w:color="auto"/>
            </w:tcBorders>
            <w:shd w:val="clear" w:color="auto" w:fill="D3D5D7"/>
          </w:tcPr>
          <w:p w:rsidR="00215B20" w:rsidRDefault="00215B20">
            <w:pPr>
              <w:rPr>
                <w:sz w:val="10"/>
                <w:szCs w:val="10"/>
              </w:rPr>
            </w:pPr>
          </w:p>
        </w:tc>
        <w:tc>
          <w:tcPr>
            <w:tcW w:w="1234" w:type="dxa"/>
            <w:tcBorders>
              <w:top w:val="single" w:sz="4" w:space="0" w:color="auto"/>
              <w:right w:val="single" w:sz="4" w:space="0" w:color="auto"/>
            </w:tcBorders>
            <w:shd w:val="clear" w:color="auto" w:fill="D3D5D7"/>
          </w:tcPr>
          <w:p w:rsidR="00215B20" w:rsidRDefault="00215B20">
            <w:pPr>
              <w:rPr>
                <w:sz w:val="10"/>
                <w:szCs w:val="10"/>
              </w:rPr>
            </w:pPr>
          </w:p>
        </w:tc>
      </w:tr>
      <w:tr w:rsidR="00215B20">
        <w:tblPrEx>
          <w:tblCellMar>
            <w:top w:w="0" w:type="dxa"/>
            <w:bottom w:w="0" w:type="dxa"/>
          </w:tblCellMar>
        </w:tblPrEx>
        <w:trPr>
          <w:trHeight w:hRule="exact" w:val="259"/>
          <w:jc w:val="center"/>
        </w:trPr>
        <w:tc>
          <w:tcPr>
            <w:tcW w:w="379"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1</w:t>
            </w:r>
          </w:p>
        </w:tc>
        <w:tc>
          <w:tcPr>
            <w:tcW w:w="4718" w:type="dxa"/>
            <w:tcBorders>
              <w:top w:val="single" w:sz="4" w:space="0" w:color="auto"/>
            </w:tcBorders>
            <w:shd w:val="clear" w:color="auto" w:fill="FFFFFF"/>
            <w:vAlign w:val="center"/>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Valdštejnské nám. 3, Praha 1</w:t>
            </w:r>
          </w:p>
        </w:tc>
        <w:tc>
          <w:tcPr>
            <w:tcW w:w="883" w:type="dxa"/>
            <w:tcBorders>
              <w:top w:val="single" w:sz="4" w:space="0" w:color="auto"/>
            </w:tcBorders>
            <w:shd w:val="clear" w:color="auto" w:fill="FFFFFF"/>
            <w:vAlign w:val="bottom"/>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80</w:t>
            </w:r>
          </w:p>
        </w:tc>
        <w:tc>
          <w:tcPr>
            <w:tcW w:w="1277" w:type="dxa"/>
            <w:tcBorders>
              <w:top w:val="single" w:sz="4" w:space="0" w:color="auto"/>
            </w:tcBorders>
            <w:shd w:val="clear" w:color="auto" w:fill="F6EB13"/>
            <w:vAlign w:val="center"/>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optika</w:t>
            </w:r>
          </w:p>
        </w:tc>
        <w:tc>
          <w:tcPr>
            <w:tcW w:w="1541" w:type="dxa"/>
            <w:tcBorders>
              <w:top w:val="single" w:sz="4" w:space="0" w:color="auto"/>
            </w:tcBorders>
            <w:shd w:val="clear" w:color="auto" w:fill="FFFFFF"/>
            <w:vAlign w:val="center"/>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vAlign w:val="center"/>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 xml:space="preserve">3 </w:t>
            </w:r>
            <w:r>
              <w:rPr>
                <w:rFonts w:ascii="Calibri" w:eastAsia="Calibri" w:hAnsi="Calibri" w:cs="Calibri"/>
                <w:sz w:val="17"/>
                <w:szCs w:val="17"/>
              </w:rPr>
              <w:t>490,00 Kč</w:t>
            </w:r>
          </w:p>
        </w:tc>
        <w:tc>
          <w:tcPr>
            <w:tcW w:w="1421" w:type="dxa"/>
            <w:tcBorders>
              <w:top w:val="single" w:sz="4" w:space="0" w:color="auto"/>
            </w:tcBorders>
            <w:shd w:val="clear" w:color="auto" w:fill="FFFFFF"/>
            <w:vAlign w:val="bottom"/>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tcBorders>
              <w:top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3 490,00 Kč</w:t>
            </w:r>
          </w:p>
        </w:tc>
        <w:tc>
          <w:tcPr>
            <w:tcW w:w="547" w:type="dxa"/>
            <w:tcBorders>
              <w:top w:val="single" w:sz="4" w:space="0" w:color="auto"/>
            </w:tcBorders>
            <w:shd w:val="clear" w:color="auto" w:fill="FFFFFF"/>
            <w:vAlign w:val="bottom"/>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top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4 222,90 Kč</w:t>
            </w:r>
          </w:p>
        </w:tc>
      </w:tr>
      <w:tr w:rsidR="00215B20">
        <w:tblPrEx>
          <w:tblCellMar>
            <w:top w:w="0" w:type="dxa"/>
            <w:bottom w:w="0" w:type="dxa"/>
          </w:tblCellMar>
        </w:tblPrEx>
        <w:trPr>
          <w:trHeight w:hRule="exact" w:val="259"/>
          <w:jc w:val="center"/>
        </w:trPr>
        <w:tc>
          <w:tcPr>
            <w:tcW w:w="379" w:type="dxa"/>
            <w:tcBorders>
              <w:left w:val="single" w:sz="4" w:space="0" w:color="auto"/>
            </w:tcBorders>
            <w:shd w:val="clear" w:color="auto" w:fill="FFFFFF"/>
            <w:vAlign w:val="bottom"/>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2</w:t>
            </w:r>
          </w:p>
        </w:tc>
        <w:tc>
          <w:tcPr>
            <w:tcW w:w="4718" w:type="dxa"/>
            <w:shd w:val="clear" w:color="auto" w:fill="FFFFFF"/>
            <w:vAlign w:val="center"/>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Liliová 5, Praha 1 - vyhrazený okruh - Valdštejnské nám. 3, PÍ</w:t>
            </w:r>
          </w:p>
        </w:tc>
        <w:tc>
          <w:tcPr>
            <w:tcW w:w="883" w:type="dxa"/>
            <w:shd w:val="clear" w:color="auto" w:fill="FFFFFF"/>
            <w:vAlign w:val="bottom"/>
          </w:tcPr>
          <w:p w:rsidR="00215B20" w:rsidRDefault="00FD0AA3">
            <w:pPr>
              <w:pStyle w:val="Jin0"/>
              <w:shd w:val="clear" w:color="auto" w:fill="auto"/>
              <w:spacing w:after="0" w:line="240" w:lineRule="auto"/>
              <w:ind w:firstLine="300"/>
              <w:rPr>
                <w:sz w:val="17"/>
                <w:szCs w:val="17"/>
              </w:rPr>
            </w:pPr>
            <w:r>
              <w:rPr>
                <w:rFonts w:ascii="Calibri" w:eastAsia="Calibri" w:hAnsi="Calibri" w:cs="Calibri"/>
                <w:sz w:val="17"/>
                <w:szCs w:val="17"/>
              </w:rPr>
              <w:t>1000</w:t>
            </w:r>
          </w:p>
        </w:tc>
        <w:tc>
          <w:tcPr>
            <w:tcW w:w="1277" w:type="dxa"/>
            <w:tcBorders>
              <w:top w:val="single" w:sz="4" w:space="0" w:color="auto"/>
            </w:tcBorders>
            <w:shd w:val="clear" w:color="auto" w:fill="F6EB13"/>
            <w:vAlign w:val="center"/>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optika</w:t>
            </w:r>
          </w:p>
        </w:tc>
        <w:tc>
          <w:tcPr>
            <w:tcW w:w="1541" w:type="dxa"/>
            <w:shd w:val="clear" w:color="auto" w:fill="FFFFFF"/>
            <w:vAlign w:val="center"/>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vAlign w:val="center"/>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8 990,00 Kč</w:t>
            </w:r>
          </w:p>
        </w:tc>
        <w:tc>
          <w:tcPr>
            <w:tcW w:w="1421" w:type="dxa"/>
            <w:shd w:val="clear" w:color="auto" w:fill="FFFFFF"/>
            <w:vAlign w:val="bottom"/>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vAlign w:val="center"/>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8 990,00 Kč</w:t>
            </w:r>
          </w:p>
        </w:tc>
        <w:tc>
          <w:tcPr>
            <w:tcW w:w="547" w:type="dxa"/>
            <w:shd w:val="clear" w:color="auto" w:fill="FFFFFF"/>
            <w:vAlign w:val="bottom"/>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10 877,90 Kč</w:t>
            </w:r>
          </w:p>
        </w:tc>
      </w:tr>
      <w:tr w:rsidR="00215B20">
        <w:tblPrEx>
          <w:tblCellMar>
            <w:top w:w="0" w:type="dxa"/>
            <w:bottom w:w="0" w:type="dxa"/>
          </w:tblCellMar>
        </w:tblPrEx>
        <w:trPr>
          <w:trHeight w:hRule="exact" w:val="264"/>
          <w:jc w:val="center"/>
        </w:trPr>
        <w:tc>
          <w:tcPr>
            <w:tcW w:w="379" w:type="dxa"/>
            <w:tcBorders>
              <w:left w:val="single" w:sz="4" w:space="0" w:color="auto"/>
            </w:tcBorders>
            <w:shd w:val="clear" w:color="auto" w:fill="FFFFFF"/>
            <w:vAlign w:val="center"/>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3</w:t>
            </w:r>
          </w:p>
        </w:tc>
        <w:tc>
          <w:tcPr>
            <w:tcW w:w="4718" w:type="dxa"/>
            <w:shd w:val="clear" w:color="auto" w:fill="FFFFFF"/>
            <w:vAlign w:val="center"/>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Horoměřická 2328/3, 160 00 Praha 6</w:t>
            </w:r>
          </w:p>
        </w:tc>
        <w:tc>
          <w:tcPr>
            <w:tcW w:w="883" w:type="dxa"/>
            <w:shd w:val="clear" w:color="auto" w:fill="FFFFFF"/>
            <w:vAlign w:val="center"/>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20</w:t>
            </w:r>
          </w:p>
        </w:tc>
        <w:tc>
          <w:tcPr>
            <w:tcW w:w="1277" w:type="dxa"/>
            <w:tcBorders>
              <w:top w:val="single" w:sz="4" w:space="0" w:color="auto"/>
            </w:tcBorders>
            <w:shd w:val="clear" w:color="auto" w:fill="F6EB13"/>
            <w:vAlign w:val="center"/>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lang w:val="en-US" w:eastAsia="en-US" w:bidi="en-US"/>
              </w:rPr>
              <w:t>radio</w:t>
            </w:r>
          </w:p>
        </w:tc>
        <w:tc>
          <w:tcPr>
            <w:tcW w:w="1541" w:type="dxa"/>
            <w:shd w:val="clear" w:color="auto" w:fill="FFFFFF"/>
            <w:vAlign w:val="center"/>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vAlign w:val="center"/>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1 990,00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vAlign w:val="center"/>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1 990,00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vAlign w:val="center"/>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2 407,90 Kč</w:t>
            </w:r>
          </w:p>
        </w:tc>
      </w:tr>
      <w:tr w:rsidR="00215B20">
        <w:tblPrEx>
          <w:tblCellMar>
            <w:top w:w="0" w:type="dxa"/>
            <w:bottom w:w="0" w:type="dxa"/>
          </w:tblCellMar>
        </w:tblPrEx>
        <w:trPr>
          <w:trHeight w:hRule="exact" w:val="259"/>
          <w:jc w:val="center"/>
        </w:trPr>
        <w:tc>
          <w:tcPr>
            <w:tcW w:w="379" w:type="dxa"/>
            <w:tcBorders>
              <w:left w:val="single" w:sz="4" w:space="0" w:color="auto"/>
            </w:tcBorders>
            <w:shd w:val="clear" w:color="auto" w:fill="FFFFFF"/>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4</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Sudkovy sady 24/1, 186 00 Praha 8</w:t>
            </w:r>
          </w:p>
        </w:tc>
        <w:tc>
          <w:tcPr>
            <w:tcW w:w="883" w:type="dxa"/>
            <w:shd w:val="clear" w:color="auto" w:fill="FFFFFF"/>
            <w:vAlign w:val="center"/>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10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metalika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1 890,00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1 890,00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2 286,90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5</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Na Perštýně 12/356, 110 00 Praha 1</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optika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jc w:val="right"/>
              <w:rPr>
                <w:sz w:val="17"/>
                <w:szCs w:val="17"/>
              </w:rPr>
            </w:pPr>
            <w:r>
              <w:rPr>
                <w:rFonts w:ascii="Calibri" w:eastAsia="Calibri" w:hAnsi="Calibri" w:cs="Calibri"/>
                <w:sz w:val="17"/>
                <w:szCs w:val="17"/>
              </w:rPr>
              <w:t>3 490,00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3 490,00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4 222,90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vAlign w:val="center"/>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6</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Sabinova 5, 130 00 Praha 3</w:t>
            </w:r>
          </w:p>
        </w:tc>
        <w:tc>
          <w:tcPr>
            <w:tcW w:w="883" w:type="dxa"/>
            <w:shd w:val="clear" w:color="auto" w:fill="FFFFFF"/>
          </w:tcPr>
          <w:p w:rsidR="00215B20" w:rsidRDefault="00FD0AA3">
            <w:pPr>
              <w:pStyle w:val="Jin0"/>
              <w:shd w:val="clear" w:color="auto" w:fill="auto"/>
              <w:spacing w:after="0" w:line="240" w:lineRule="auto"/>
              <w:ind w:firstLine="300"/>
              <w:rPr>
                <w:sz w:val="17"/>
                <w:szCs w:val="17"/>
              </w:rPr>
            </w:pPr>
            <w:r>
              <w:rPr>
                <w:rFonts w:ascii="Calibri" w:eastAsia="Calibri" w:hAnsi="Calibri" w:cs="Calibri"/>
                <w:sz w:val="17"/>
                <w:szCs w:val="17"/>
              </w:rPr>
              <w:t>2x50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optika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8 990,00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8 990,00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10 877,90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7</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Senovážné náměstí 6, 370 21 České Budějovice</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optika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4 190,00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4 190,00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5 069,90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vAlign w:val="center"/>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8</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Náměstí Přemysla Otakara II. 34, České Budějovice</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lang w:val="en-US" w:eastAsia="en-US" w:bidi="en-US"/>
              </w:rPr>
              <w:t>radio</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3 980,00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 xml:space="preserve">3 </w:t>
            </w:r>
            <w:r>
              <w:rPr>
                <w:rFonts w:ascii="Calibri" w:eastAsia="Calibri" w:hAnsi="Calibri" w:cs="Calibri"/>
                <w:sz w:val="17"/>
                <w:szCs w:val="17"/>
              </w:rPr>
              <w:t>980,00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4 815,80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tcPr>
          <w:p w:rsidR="00215B20" w:rsidRDefault="00FD0AA3">
            <w:pPr>
              <w:pStyle w:val="Jin0"/>
              <w:shd w:val="clear" w:color="auto" w:fill="auto"/>
              <w:spacing w:after="0" w:line="240" w:lineRule="auto"/>
              <w:ind w:firstLine="160"/>
              <w:jc w:val="both"/>
              <w:rPr>
                <w:sz w:val="17"/>
                <w:szCs w:val="17"/>
              </w:rPr>
            </w:pPr>
            <w:r>
              <w:rPr>
                <w:rFonts w:ascii="Calibri" w:eastAsia="Calibri" w:hAnsi="Calibri" w:cs="Calibri"/>
                <w:sz w:val="17"/>
                <w:szCs w:val="17"/>
              </w:rPr>
              <w:t>9</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Prešovská 171/7, Plzeň</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metalika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5 432,90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10</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Kostelní81, 357 33 Loket</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optika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5 432,90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11</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 xml:space="preserve">Podmokelská 1, 400 07 Ústí </w:t>
            </w:r>
            <w:proofErr w:type="gramStart"/>
            <w:r>
              <w:rPr>
                <w:rFonts w:ascii="Calibri" w:eastAsia="Calibri" w:hAnsi="Calibri" w:cs="Calibri"/>
                <w:sz w:val="17"/>
                <w:szCs w:val="17"/>
              </w:rPr>
              <w:t>n.L - Krásné</w:t>
            </w:r>
            <w:proofErr w:type="gramEnd"/>
            <w:r>
              <w:rPr>
                <w:rFonts w:ascii="Calibri" w:eastAsia="Calibri" w:hAnsi="Calibri" w:cs="Calibri"/>
                <w:sz w:val="17"/>
                <w:szCs w:val="17"/>
              </w:rPr>
              <w:t xml:space="preserve"> Březno</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lang w:val="en-US" w:eastAsia="en-US" w:bidi="en-US"/>
              </w:rPr>
              <w:t>radio</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3 490,00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3 490,00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4 222,90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12</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Jablonecká 23/642, 460 01 Liberec</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lang w:val="en-US" w:eastAsia="en-US" w:bidi="en-US"/>
              </w:rPr>
              <w:t>radio</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2 990,00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2 990,00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3 617,90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13</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Hradecká 6, 588 56Telč</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metalika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5 432,90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14</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Sychrov 1, 463 44 Sychrov</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30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metalia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5 432,90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15</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 xml:space="preserve">Přihrádek </w:t>
            </w:r>
            <w:proofErr w:type="gramStart"/>
            <w:r>
              <w:rPr>
                <w:rFonts w:ascii="Calibri" w:eastAsia="Calibri" w:hAnsi="Calibri" w:cs="Calibri"/>
                <w:sz w:val="17"/>
                <w:szCs w:val="17"/>
              </w:rPr>
              <w:t>čp.5, 53116</w:t>
            </w:r>
            <w:proofErr w:type="gramEnd"/>
            <w:r>
              <w:rPr>
                <w:rFonts w:ascii="Calibri" w:eastAsia="Calibri" w:hAnsi="Calibri" w:cs="Calibri"/>
                <w:sz w:val="17"/>
                <w:szCs w:val="17"/>
              </w:rPr>
              <w:t xml:space="preserve"> Pardubice</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lang w:val="en-US" w:eastAsia="en-US" w:bidi="en-US"/>
              </w:rPr>
              <w:t>radio</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5 432,90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16</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Okružní 418, 551 02 Jaroměř - Josefov</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lang w:val="en-US" w:eastAsia="en-US" w:bidi="en-US"/>
              </w:rPr>
              <w:t>radio</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4 490,00</w:t>
            </w:r>
            <w:r>
              <w:rPr>
                <w:rFonts w:ascii="Calibri" w:eastAsia="Calibri" w:hAnsi="Calibri" w:cs="Calibri"/>
                <w:sz w:val="17"/>
                <w:szCs w:val="17"/>
              </w:rPr>
              <w:t xml:space="preserve"> Kč</w:t>
            </w:r>
          </w:p>
        </w:tc>
        <w:tc>
          <w:tcPr>
            <w:tcW w:w="1421" w:type="dxa"/>
            <w:shd w:val="clear" w:color="auto" w:fill="FFFFFF"/>
            <w:vAlign w:val="center"/>
          </w:tcPr>
          <w:p w:rsidR="00215B20" w:rsidRDefault="00FD0AA3">
            <w:pPr>
              <w:pStyle w:val="Jin0"/>
              <w:shd w:val="clear" w:color="auto" w:fill="auto"/>
              <w:spacing w:after="0" w:line="240" w:lineRule="auto"/>
              <w:jc w:val="right"/>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5 432,90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17</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nám. Svobody 8, 601 54 Brno</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optika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5 432,90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18</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Odboje 1, 702 00 Ostrava</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lang w:val="en-US" w:eastAsia="en-US" w:bidi="en-US"/>
              </w:rPr>
              <w:t>radio</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5 432,90 Kč</w:t>
            </w:r>
          </w:p>
        </w:tc>
      </w:tr>
      <w:tr w:rsidR="00215B20">
        <w:tblPrEx>
          <w:tblCellMar>
            <w:top w:w="0" w:type="dxa"/>
            <w:bottom w:w="0" w:type="dxa"/>
          </w:tblCellMar>
        </w:tblPrEx>
        <w:trPr>
          <w:trHeight w:hRule="exact" w:val="240"/>
          <w:jc w:val="center"/>
        </w:trPr>
        <w:tc>
          <w:tcPr>
            <w:tcW w:w="379" w:type="dxa"/>
            <w:tcBorders>
              <w:left w:val="single" w:sz="4" w:space="0" w:color="auto"/>
            </w:tcBorders>
            <w:shd w:val="clear" w:color="auto" w:fill="FFFFFF"/>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19</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Horní náměstí 25, 771 11 Olomouc</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lang w:val="en-US" w:eastAsia="en-US" w:bidi="en-US"/>
              </w:rPr>
              <w:t>radio</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4 490,00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4 490,00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5 432,90 Kč</w:t>
            </w:r>
          </w:p>
        </w:tc>
      </w:tr>
      <w:tr w:rsidR="00215B20">
        <w:tblPrEx>
          <w:tblCellMar>
            <w:top w:w="0" w:type="dxa"/>
            <w:bottom w:w="0" w:type="dxa"/>
          </w:tblCellMar>
        </w:tblPrEx>
        <w:trPr>
          <w:trHeight w:hRule="exact" w:val="235"/>
          <w:jc w:val="center"/>
        </w:trPr>
        <w:tc>
          <w:tcPr>
            <w:tcW w:w="379" w:type="dxa"/>
            <w:tcBorders>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20</w:t>
            </w:r>
          </w:p>
        </w:tc>
        <w:tc>
          <w:tcPr>
            <w:tcW w:w="4718" w:type="dxa"/>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Sněmovní nám. 1, 767 01 Kroměříž</w:t>
            </w:r>
          </w:p>
        </w:tc>
        <w:tc>
          <w:tcPr>
            <w:tcW w:w="883" w:type="dxa"/>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25</w:t>
            </w:r>
          </w:p>
        </w:tc>
        <w:tc>
          <w:tcPr>
            <w:tcW w:w="1277" w:type="dxa"/>
            <w:tcBorders>
              <w:top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metalika</w:t>
            </w:r>
          </w:p>
        </w:tc>
        <w:tc>
          <w:tcPr>
            <w:tcW w:w="1541" w:type="dxa"/>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2 990,00 Kč</w:t>
            </w:r>
          </w:p>
        </w:tc>
        <w:tc>
          <w:tcPr>
            <w:tcW w:w="1421" w:type="dxa"/>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2 990,00 Kč</w:t>
            </w:r>
          </w:p>
        </w:tc>
        <w:tc>
          <w:tcPr>
            <w:tcW w:w="547" w:type="dxa"/>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3 617,90 Kč</w:t>
            </w:r>
          </w:p>
        </w:tc>
      </w:tr>
      <w:tr w:rsidR="00215B20">
        <w:tblPrEx>
          <w:tblCellMar>
            <w:top w:w="0" w:type="dxa"/>
            <w:bottom w:w="0" w:type="dxa"/>
          </w:tblCellMar>
        </w:tblPrEx>
        <w:trPr>
          <w:trHeight w:hRule="exact" w:val="269"/>
          <w:jc w:val="center"/>
        </w:trPr>
        <w:tc>
          <w:tcPr>
            <w:tcW w:w="379" w:type="dxa"/>
            <w:tcBorders>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both"/>
              <w:rPr>
                <w:sz w:val="17"/>
                <w:szCs w:val="17"/>
              </w:rPr>
            </w:pPr>
            <w:r>
              <w:rPr>
                <w:rFonts w:ascii="Calibri" w:eastAsia="Calibri" w:hAnsi="Calibri" w:cs="Calibri"/>
                <w:sz w:val="17"/>
                <w:szCs w:val="17"/>
              </w:rPr>
              <w:t>21</w:t>
            </w:r>
          </w:p>
        </w:tc>
        <w:tc>
          <w:tcPr>
            <w:tcW w:w="4718" w:type="dxa"/>
            <w:tcBorders>
              <w:bottom w:val="single" w:sz="4" w:space="0" w:color="auto"/>
            </w:tcBorders>
            <w:shd w:val="clear" w:color="auto" w:fill="FFFFFF"/>
          </w:tcPr>
          <w:p w:rsidR="00215B20" w:rsidRDefault="00FD0AA3">
            <w:pPr>
              <w:pStyle w:val="Jin0"/>
              <w:shd w:val="clear" w:color="auto" w:fill="auto"/>
              <w:spacing w:after="0" w:line="240" w:lineRule="auto"/>
              <w:rPr>
                <w:sz w:val="17"/>
                <w:szCs w:val="17"/>
              </w:rPr>
            </w:pPr>
            <w:r>
              <w:rPr>
                <w:rFonts w:ascii="Calibri" w:eastAsia="Calibri" w:hAnsi="Calibri" w:cs="Calibri"/>
                <w:sz w:val="17"/>
                <w:szCs w:val="17"/>
              </w:rPr>
              <w:t>Riegrovo náměstí 3228/22, 76701 Kroměříž</w:t>
            </w:r>
          </w:p>
        </w:tc>
        <w:tc>
          <w:tcPr>
            <w:tcW w:w="883" w:type="dxa"/>
            <w:tcBorders>
              <w:bottom w:val="single" w:sz="4" w:space="0" w:color="auto"/>
            </w:tcBorders>
            <w:shd w:val="clear" w:color="auto" w:fill="FFFFFF"/>
          </w:tcPr>
          <w:p w:rsidR="00215B20" w:rsidRDefault="00FD0AA3">
            <w:pPr>
              <w:pStyle w:val="Jin0"/>
              <w:shd w:val="clear" w:color="auto" w:fill="auto"/>
              <w:spacing w:after="0" w:line="240" w:lineRule="auto"/>
              <w:ind w:firstLine="380"/>
              <w:jc w:val="both"/>
              <w:rPr>
                <w:sz w:val="17"/>
                <w:szCs w:val="17"/>
              </w:rPr>
            </w:pPr>
            <w:r>
              <w:rPr>
                <w:rFonts w:ascii="Calibri" w:eastAsia="Calibri" w:hAnsi="Calibri" w:cs="Calibri"/>
                <w:sz w:val="17"/>
                <w:szCs w:val="17"/>
              </w:rPr>
              <w:t>50</w:t>
            </w:r>
          </w:p>
        </w:tc>
        <w:tc>
          <w:tcPr>
            <w:tcW w:w="1277" w:type="dxa"/>
            <w:tcBorders>
              <w:top w:val="single" w:sz="4" w:space="0" w:color="auto"/>
              <w:bottom w:val="single" w:sz="4" w:space="0" w:color="auto"/>
            </w:tcBorders>
            <w:shd w:val="clear" w:color="auto" w:fill="F6EB13"/>
          </w:tcPr>
          <w:p w:rsidR="00215B20" w:rsidRDefault="00FD0AA3">
            <w:pPr>
              <w:pStyle w:val="Jin0"/>
              <w:shd w:val="clear" w:color="auto" w:fill="auto"/>
              <w:spacing w:after="0" w:line="240" w:lineRule="auto"/>
              <w:jc w:val="center"/>
              <w:rPr>
                <w:sz w:val="17"/>
                <w:szCs w:val="17"/>
              </w:rPr>
            </w:pPr>
            <w:r>
              <w:rPr>
                <w:rFonts w:ascii="Calibri" w:eastAsia="Calibri" w:hAnsi="Calibri" w:cs="Calibri"/>
                <w:sz w:val="17"/>
                <w:szCs w:val="17"/>
              </w:rPr>
              <w:t>optika</w:t>
            </w:r>
          </w:p>
        </w:tc>
        <w:tc>
          <w:tcPr>
            <w:tcW w:w="1541" w:type="dxa"/>
            <w:tcBorders>
              <w:bottom w:val="single" w:sz="4" w:space="0" w:color="auto"/>
            </w:tcBorders>
            <w:shd w:val="clear" w:color="auto" w:fill="FFFFFF"/>
          </w:tcPr>
          <w:p w:rsidR="00215B20" w:rsidRDefault="00FD0AA3">
            <w:pPr>
              <w:pStyle w:val="Jin0"/>
              <w:shd w:val="clear" w:color="auto" w:fill="auto"/>
              <w:spacing w:after="0" w:line="240" w:lineRule="auto"/>
              <w:jc w:val="center"/>
              <w:rPr>
                <w:sz w:val="17"/>
                <w:szCs w:val="17"/>
              </w:rPr>
            </w:pPr>
            <w:proofErr w:type="gramStart"/>
            <w:r>
              <w:rPr>
                <w:rFonts w:ascii="Calibri" w:eastAsia="Calibri" w:hAnsi="Calibri" w:cs="Calibri"/>
                <w:sz w:val="17"/>
                <w:szCs w:val="17"/>
              </w:rPr>
              <w:t>měs</w:t>
            </w:r>
            <w:proofErr w:type="gramEnd"/>
            <w:r>
              <w:rPr>
                <w:rFonts w:ascii="Calibri" w:eastAsia="Calibri" w:hAnsi="Calibri" w:cs="Calibri"/>
                <w:sz w:val="17"/>
                <w:szCs w:val="17"/>
              </w:rPr>
              <w:t>.</w:t>
            </w:r>
            <w:proofErr w:type="gramStart"/>
            <w:r>
              <w:rPr>
                <w:rFonts w:ascii="Calibri" w:eastAsia="Calibri" w:hAnsi="Calibri" w:cs="Calibri"/>
                <w:sz w:val="17"/>
                <w:szCs w:val="17"/>
              </w:rPr>
              <w:t>paušál</w:t>
            </w:r>
            <w:proofErr w:type="gramEnd"/>
          </w:p>
        </w:tc>
        <w:tc>
          <w:tcPr>
            <w:tcW w:w="1498" w:type="dxa"/>
            <w:tcBorders>
              <w:top w:val="single" w:sz="4" w:space="0" w:color="auto"/>
              <w:bottom w:val="single" w:sz="4" w:space="0" w:color="auto"/>
            </w:tcBorders>
            <w:shd w:val="clear" w:color="auto" w:fill="F6EB13"/>
          </w:tcPr>
          <w:p w:rsidR="00215B20" w:rsidRDefault="00FD0AA3">
            <w:pPr>
              <w:pStyle w:val="Jin0"/>
              <w:shd w:val="clear" w:color="auto" w:fill="auto"/>
              <w:spacing w:after="0" w:line="240" w:lineRule="auto"/>
              <w:ind w:firstLine="460"/>
              <w:jc w:val="both"/>
              <w:rPr>
                <w:sz w:val="17"/>
                <w:szCs w:val="17"/>
              </w:rPr>
            </w:pPr>
            <w:r>
              <w:rPr>
                <w:rFonts w:ascii="Calibri" w:eastAsia="Calibri" w:hAnsi="Calibri" w:cs="Calibri"/>
                <w:sz w:val="17"/>
                <w:szCs w:val="17"/>
              </w:rPr>
              <w:t>2 990,00 Kč</w:t>
            </w:r>
          </w:p>
        </w:tc>
        <w:tc>
          <w:tcPr>
            <w:tcW w:w="1421" w:type="dxa"/>
            <w:tcBorders>
              <w:bottom w:val="single" w:sz="4" w:space="0" w:color="auto"/>
            </w:tcBorders>
            <w:shd w:val="clear" w:color="auto" w:fill="FFFFFF"/>
            <w:vAlign w:val="center"/>
          </w:tcPr>
          <w:p w:rsidR="00215B20" w:rsidRDefault="00FD0AA3">
            <w:pPr>
              <w:pStyle w:val="Jin0"/>
              <w:shd w:val="clear" w:color="auto" w:fill="auto"/>
              <w:spacing w:after="0" w:line="240" w:lineRule="auto"/>
              <w:ind w:left="1180"/>
              <w:jc w:val="both"/>
              <w:rPr>
                <w:sz w:val="17"/>
                <w:szCs w:val="17"/>
              </w:rPr>
            </w:pPr>
            <w:r>
              <w:rPr>
                <w:rFonts w:ascii="Calibri" w:eastAsia="Calibri" w:hAnsi="Calibri" w:cs="Calibri"/>
                <w:sz w:val="17"/>
                <w:szCs w:val="17"/>
              </w:rPr>
              <w:t>1</w:t>
            </w:r>
          </w:p>
        </w:tc>
        <w:tc>
          <w:tcPr>
            <w:tcW w:w="1382" w:type="dxa"/>
            <w:tcBorders>
              <w:bottom w:val="single" w:sz="4" w:space="0" w:color="auto"/>
            </w:tcBorders>
            <w:shd w:val="clear" w:color="auto" w:fill="FFFFFF"/>
          </w:tcPr>
          <w:p w:rsidR="00215B20" w:rsidRDefault="00FD0AA3">
            <w:pPr>
              <w:pStyle w:val="Jin0"/>
              <w:shd w:val="clear" w:color="auto" w:fill="auto"/>
              <w:spacing w:after="0" w:line="240" w:lineRule="auto"/>
              <w:ind w:firstLine="420"/>
              <w:jc w:val="both"/>
              <w:rPr>
                <w:sz w:val="17"/>
                <w:szCs w:val="17"/>
              </w:rPr>
            </w:pPr>
            <w:r>
              <w:rPr>
                <w:rFonts w:ascii="Calibri" w:eastAsia="Calibri" w:hAnsi="Calibri" w:cs="Calibri"/>
                <w:sz w:val="17"/>
                <w:szCs w:val="17"/>
              </w:rPr>
              <w:t>2 990,00 Kč</w:t>
            </w:r>
          </w:p>
        </w:tc>
        <w:tc>
          <w:tcPr>
            <w:tcW w:w="547" w:type="dxa"/>
            <w:tcBorders>
              <w:bottom w:val="single" w:sz="4" w:space="0" w:color="auto"/>
            </w:tcBorders>
            <w:shd w:val="clear" w:color="auto" w:fill="FFFFFF"/>
            <w:vAlign w:val="center"/>
          </w:tcPr>
          <w:p w:rsidR="00215B20" w:rsidRDefault="00FD0AA3">
            <w:pPr>
              <w:pStyle w:val="Jin0"/>
              <w:shd w:val="clear" w:color="auto" w:fill="auto"/>
              <w:spacing w:after="0" w:line="240" w:lineRule="auto"/>
              <w:ind w:firstLine="240"/>
              <w:jc w:val="both"/>
              <w:rPr>
                <w:sz w:val="17"/>
                <w:szCs w:val="17"/>
              </w:rPr>
            </w:pPr>
            <w:r>
              <w:rPr>
                <w:rFonts w:ascii="Calibri" w:eastAsia="Calibri" w:hAnsi="Calibri" w:cs="Calibri"/>
                <w:sz w:val="17"/>
                <w:szCs w:val="17"/>
              </w:rPr>
              <w:t>21</w:t>
            </w:r>
          </w:p>
        </w:tc>
        <w:tc>
          <w:tcPr>
            <w:tcW w:w="1234" w:type="dxa"/>
            <w:tcBorders>
              <w:bottom w:val="single" w:sz="4" w:space="0" w:color="auto"/>
              <w:right w:val="single" w:sz="4" w:space="0" w:color="auto"/>
            </w:tcBorders>
            <w:shd w:val="clear" w:color="auto" w:fill="FFFFFF"/>
          </w:tcPr>
          <w:p w:rsidR="00215B20" w:rsidRDefault="00FD0AA3">
            <w:pPr>
              <w:pStyle w:val="Jin0"/>
              <w:shd w:val="clear" w:color="auto" w:fill="auto"/>
              <w:spacing w:after="0" w:line="240" w:lineRule="auto"/>
              <w:ind w:firstLine="200"/>
              <w:jc w:val="both"/>
              <w:rPr>
                <w:sz w:val="17"/>
                <w:szCs w:val="17"/>
              </w:rPr>
            </w:pPr>
            <w:r>
              <w:rPr>
                <w:rFonts w:ascii="Calibri" w:eastAsia="Calibri" w:hAnsi="Calibri" w:cs="Calibri"/>
                <w:sz w:val="17"/>
                <w:szCs w:val="17"/>
              </w:rPr>
              <w:t>3</w:t>
            </w:r>
            <w:r>
              <w:rPr>
                <w:rFonts w:ascii="Calibri" w:eastAsia="Calibri" w:hAnsi="Calibri" w:cs="Calibri"/>
                <w:sz w:val="17"/>
                <w:szCs w:val="17"/>
              </w:rPr>
              <w:t xml:space="preserve"> 617,90 Kč</w:t>
            </w:r>
          </w:p>
        </w:tc>
      </w:tr>
    </w:tbl>
    <w:p w:rsidR="00215B20" w:rsidRDefault="00215B20">
      <w:pPr>
        <w:spacing w:after="199" w:line="1" w:lineRule="exact"/>
      </w:pPr>
    </w:p>
    <w:p w:rsidR="00215B20" w:rsidRDefault="00215B20">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8611"/>
        <w:gridCol w:w="4661"/>
        <w:gridCol w:w="1608"/>
      </w:tblGrid>
      <w:tr w:rsidR="00215B20">
        <w:tblPrEx>
          <w:tblCellMar>
            <w:top w:w="0" w:type="dxa"/>
            <w:bottom w:w="0" w:type="dxa"/>
          </w:tblCellMar>
        </w:tblPrEx>
        <w:trPr>
          <w:trHeight w:hRule="exact" w:val="557"/>
          <w:jc w:val="center"/>
        </w:trPr>
        <w:tc>
          <w:tcPr>
            <w:tcW w:w="8611" w:type="dxa"/>
            <w:tcBorders>
              <w:top w:val="single" w:sz="4" w:space="0" w:color="auto"/>
              <w:left w:val="single" w:sz="4" w:space="0" w:color="auto"/>
            </w:tcBorders>
            <w:shd w:val="clear" w:color="auto" w:fill="D3D5D7"/>
            <w:vAlign w:val="bottom"/>
          </w:tcPr>
          <w:p w:rsidR="00215B20" w:rsidRDefault="00FD0AA3">
            <w:pPr>
              <w:pStyle w:val="Jin0"/>
              <w:shd w:val="clear" w:color="auto" w:fill="auto"/>
              <w:spacing w:after="0" w:line="276" w:lineRule="auto"/>
              <w:ind w:left="440"/>
              <w:rPr>
                <w:sz w:val="17"/>
                <w:szCs w:val="17"/>
              </w:rPr>
            </w:pPr>
            <w:r>
              <w:rPr>
                <w:rFonts w:ascii="Calibri" w:eastAsia="Calibri" w:hAnsi="Calibri" w:cs="Calibri"/>
                <w:b/>
                <w:bCs/>
                <w:sz w:val="17"/>
                <w:szCs w:val="17"/>
              </w:rPr>
              <w:t>Celková cena za jeden měsíc bez DPH Celková cena za jeden měsíc včetně DPH</w:t>
            </w:r>
          </w:p>
        </w:tc>
        <w:tc>
          <w:tcPr>
            <w:tcW w:w="4661" w:type="dxa"/>
            <w:tcBorders>
              <w:top w:val="single" w:sz="4" w:space="0" w:color="auto"/>
            </w:tcBorders>
            <w:shd w:val="clear" w:color="auto" w:fill="D3D5D7"/>
          </w:tcPr>
          <w:p w:rsidR="00215B20" w:rsidRDefault="00FD0AA3">
            <w:pPr>
              <w:pStyle w:val="Jin0"/>
              <w:shd w:val="clear" w:color="auto" w:fill="auto"/>
              <w:spacing w:after="0" w:line="240" w:lineRule="auto"/>
              <w:ind w:right="440"/>
              <w:jc w:val="right"/>
              <w:rPr>
                <w:sz w:val="17"/>
                <w:szCs w:val="17"/>
              </w:rPr>
            </w:pPr>
            <w:r>
              <w:rPr>
                <w:rFonts w:ascii="Calibri" w:eastAsia="Calibri" w:hAnsi="Calibri" w:cs="Calibri"/>
                <w:b/>
                <w:bCs/>
                <w:sz w:val="17"/>
                <w:szCs w:val="17"/>
              </w:rPr>
              <w:t>89 880 Kč</w:t>
            </w:r>
          </w:p>
        </w:tc>
        <w:tc>
          <w:tcPr>
            <w:tcW w:w="1608" w:type="dxa"/>
            <w:tcBorders>
              <w:top w:val="single" w:sz="4" w:space="0" w:color="auto"/>
              <w:right w:val="single" w:sz="4" w:space="0" w:color="auto"/>
            </w:tcBorders>
            <w:shd w:val="clear" w:color="auto" w:fill="D3D5D7"/>
            <w:vAlign w:val="bottom"/>
          </w:tcPr>
          <w:p w:rsidR="00215B20" w:rsidRDefault="00FD0AA3">
            <w:pPr>
              <w:pStyle w:val="Jin0"/>
              <w:shd w:val="clear" w:color="auto" w:fill="auto"/>
              <w:spacing w:after="0" w:line="240" w:lineRule="auto"/>
              <w:ind w:firstLine="520"/>
              <w:rPr>
                <w:sz w:val="17"/>
                <w:szCs w:val="17"/>
              </w:rPr>
            </w:pPr>
            <w:r>
              <w:rPr>
                <w:rFonts w:ascii="Calibri" w:eastAsia="Calibri" w:hAnsi="Calibri" w:cs="Calibri"/>
                <w:b/>
                <w:bCs/>
                <w:sz w:val="17"/>
                <w:szCs w:val="17"/>
              </w:rPr>
              <w:t>108 755 Kč</w:t>
            </w:r>
          </w:p>
        </w:tc>
      </w:tr>
      <w:tr w:rsidR="00215B20">
        <w:tblPrEx>
          <w:tblCellMar>
            <w:top w:w="0" w:type="dxa"/>
            <w:bottom w:w="0" w:type="dxa"/>
          </w:tblCellMar>
        </w:tblPrEx>
        <w:trPr>
          <w:trHeight w:hRule="exact" w:val="250"/>
          <w:jc w:val="center"/>
        </w:trPr>
        <w:tc>
          <w:tcPr>
            <w:tcW w:w="14880" w:type="dxa"/>
            <w:gridSpan w:val="3"/>
            <w:tcBorders>
              <w:top w:val="single" w:sz="4" w:space="0" w:color="auto"/>
              <w:left w:val="single" w:sz="4" w:space="0" w:color="auto"/>
              <w:right w:val="single" w:sz="4" w:space="0" w:color="auto"/>
            </w:tcBorders>
            <w:shd w:val="clear" w:color="auto" w:fill="FCCC9B"/>
          </w:tcPr>
          <w:p w:rsidR="00215B20" w:rsidRDefault="00215B20">
            <w:pPr>
              <w:rPr>
                <w:sz w:val="10"/>
                <w:szCs w:val="10"/>
              </w:rPr>
            </w:pPr>
          </w:p>
        </w:tc>
      </w:tr>
      <w:tr w:rsidR="00215B20">
        <w:tblPrEx>
          <w:tblCellMar>
            <w:top w:w="0" w:type="dxa"/>
            <w:bottom w:w="0" w:type="dxa"/>
          </w:tblCellMar>
        </w:tblPrEx>
        <w:trPr>
          <w:trHeight w:hRule="exact" w:val="518"/>
          <w:jc w:val="center"/>
        </w:trPr>
        <w:tc>
          <w:tcPr>
            <w:tcW w:w="8611" w:type="dxa"/>
            <w:tcBorders>
              <w:top w:val="single" w:sz="4" w:space="0" w:color="auto"/>
              <w:left w:val="single" w:sz="4" w:space="0" w:color="auto"/>
            </w:tcBorders>
            <w:shd w:val="clear" w:color="auto" w:fill="C5D79B"/>
            <w:vAlign w:val="bottom"/>
          </w:tcPr>
          <w:p w:rsidR="00215B20" w:rsidRDefault="00FD0AA3">
            <w:pPr>
              <w:pStyle w:val="Jin0"/>
              <w:shd w:val="clear" w:color="auto" w:fill="auto"/>
              <w:spacing w:after="0" w:line="276" w:lineRule="auto"/>
              <w:ind w:left="440"/>
              <w:rPr>
                <w:sz w:val="17"/>
                <w:szCs w:val="17"/>
              </w:rPr>
            </w:pPr>
            <w:r>
              <w:rPr>
                <w:rFonts w:ascii="Calibri" w:eastAsia="Calibri" w:hAnsi="Calibri" w:cs="Calibri"/>
                <w:b/>
                <w:bCs/>
                <w:sz w:val="17"/>
                <w:szCs w:val="17"/>
              </w:rPr>
              <w:t>CELKOVÁ CENA ZA CELOU DOBU PLNĚNÍ (24 měsíců) BEZ DPH CELKOVÁ CENA ZA CELOU DOBU PLNĚNÍ (24 měsíců) VČETNĚ DPH</w:t>
            </w:r>
          </w:p>
        </w:tc>
        <w:tc>
          <w:tcPr>
            <w:tcW w:w="4661" w:type="dxa"/>
            <w:tcBorders>
              <w:top w:val="single" w:sz="4" w:space="0" w:color="auto"/>
            </w:tcBorders>
            <w:shd w:val="clear" w:color="auto" w:fill="C5D79B"/>
          </w:tcPr>
          <w:p w:rsidR="00215B20" w:rsidRDefault="00FD0AA3">
            <w:pPr>
              <w:pStyle w:val="Jin0"/>
              <w:shd w:val="clear" w:color="auto" w:fill="auto"/>
              <w:spacing w:after="0" w:line="240" w:lineRule="auto"/>
              <w:ind w:right="440"/>
              <w:jc w:val="right"/>
              <w:rPr>
                <w:sz w:val="17"/>
                <w:szCs w:val="17"/>
              </w:rPr>
            </w:pPr>
            <w:r>
              <w:rPr>
                <w:rFonts w:ascii="Calibri" w:eastAsia="Calibri" w:hAnsi="Calibri" w:cs="Calibri"/>
                <w:b/>
                <w:bCs/>
                <w:sz w:val="17"/>
                <w:szCs w:val="17"/>
              </w:rPr>
              <w:t>2 157 120 Kč</w:t>
            </w:r>
          </w:p>
        </w:tc>
        <w:tc>
          <w:tcPr>
            <w:tcW w:w="1608" w:type="dxa"/>
            <w:tcBorders>
              <w:top w:val="single" w:sz="4" w:space="0" w:color="auto"/>
              <w:right w:val="single" w:sz="4" w:space="0" w:color="auto"/>
            </w:tcBorders>
            <w:shd w:val="clear" w:color="auto" w:fill="C5D79B"/>
            <w:vAlign w:val="bottom"/>
          </w:tcPr>
          <w:p w:rsidR="00215B20" w:rsidRDefault="00FD0AA3">
            <w:pPr>
              <w:pStyle w:val="Jin0"/>
              <w:shd w:val="clear" w:color="auto" w:fill="auto"/>
              <w:spacing w:after="0" w:line="240" w:lineRule="auto"/>
              <w:ind w:firstLine="460"/>
              <w:rPr>
                <w:sz w:val="17"/>
                <w:szCs w:val="17"/>
              </w:rPr>
            </w:pPr>
            <w:r>
              <w:rPr>
                <w:rFonts w:ascii="Calibri" w:eastAsia="Calibri" w:hAnsi="Calibri" w:cs="Calibri"/>
                <w:b/>
                <w:bCs/>
                <w:sz w:val="17"/>
                <w:szCs w:val="17"/>
              </w:rPr>
              <w:t>2 610 115 Kč</w:t>
            </w:r>
          </w:p>
        </w:tc>
      </w:tr>
      <w:tr w:rsidR="00215B20">
        <w:tblPrEx>
          <w:tblCellMar>
            <w:top w:w="0" w:type="dxa"/>
            <w:bottom w:w="0" w:type="dxa"/>
          </w:tblCellMar>
        </w:tblPrEx>
        <w:trPr>
          <w:trHeight w:hRule="exact" w:val="288"/>
          <w:jc w:val="center"/>
        </w:trPr>
        <w:tc>
          <w:tcPr>
            <w:tcW w:w="14880" w:type="dxa"/>
            <w:gridSpan w:val="3"/>
            <w:tcBorders>
              <w:top w:val="single" w:sz="4" w:space="0" w:color="auto"/>
              <w:left w:val="single" w:sz="4" w:space="0" w:color="auto"/>
              <w:bottom w:val="single" w:sz="4" w:space="0" w:color="auto"/>
              <w:right w:val="single" w:sz="4" w:space="0" w:color="auto"/>
            </w:tcBorders>
            <w:shd w:val="clear" w:color="auto" w:fill="FCCC9B"/>
          </w:tcPr>
          <w:p w:rsidR="00215B20" w:rsidRDefault="00215B20">
            <w:pPr>
              <w:rPr>
                <w:sz w:val="10"/>
                <w:szCs w:val="10"/>
              </w:rPr>
            </w:pPr>
          </w:p>
        </w:tc>
      </w:tr>
    </w:tbl>
    <w:p w:rsidR="00215B20" w:rsidRDefault="00FD0AA3">
      <w:pPr>
        <w:pStyle w:val="Titulektabulky0"/>
        <w:shd w:val="clear" w:color="auto" w:fill="auto"/>
        <w:spacing w:line="360" w:lineRule="auto"/>
        <w:ind w:left="442"/>
      </w:pPr>
      <w:r>
        <w:rPr>
          <w:b/>
          <w:bCs/>
          <w:color w:val="D92026"/>
        </w:rPr>
        <w:t xml:space="preserve">Dodavatel vyplní či upraví pouze žlutě označené buňky, obsah a vzorce ostatních buňek </w:t>
      </w:r>
      <w:proofErr w:type="gramStart"/>
      <w:r>
        <w:rPr>
          <w:b/>
          <w:bCs/>
          <w:color w:val="D92026"/>
        </w:rPr>
        <w:t>nesmí úpravo</w:t>
      </w:r>
      <w:proofErr w:type="gramEnd"/>
      <w:r>
        <w:rPr>
          <w:b/>
          <w:bCs/>
          <w:color w:val="D92026"/>
        </w:rPr>
        <w:t xml:space="preserve"> Dodavatel veškeré poskytované slevy či bonusy započte dojednotkových cen uvedených ve sloup</w:t>
      </w:r>
    </w:p>
    <w:p w:rsidR="00215B20" w:rsidRDefault="00215B20">
      <w:pPr>
        <w:spacing w:after="599" w:line="1" w:lineRule="exact"/>
      </w:pPr>
    </w:p>
    <w:p w:rsidR="00215B20" w:rsidRDefault="00FD0AA3">
      <w:pPr>
        <w:pStyle w:val="Zkladntext50"/>
        <w:shd w:val="clear" w:color="auto" w:fill="auto"/>
        <w:spacing w:after="0"/>
        <w:ind w:left="6820" w:firstLine="0"/>
        <w:sectPr w:rsidR="00215B20">
          <w:headerReference w:type="even" r:id="rId10"/>
          <w:headerReference w:type="default" r:id="rId11"/>
          <w:pgSz w:w="16840" w:h="11900" w:orient="landscape"/>
          <w:pgMar w:top="833" w:right="1355" w:bottom="543" w:left="606" w:header="405" w:footer="115" w:gutter="0"/>
          <w:cols w:space="720"/>
          <w:noEndnote/>
          <w:docGrid w:linePitch="360"/>
        </w:sectPr>
      </w:pPr>
      <w:r>
        <w:rPr>
          <w:noProof/>
          <w:lang w:bidi="ar-SA"/>
        </w:rPr>
        <mc:AlternateContent>
          <mc:Choice Requires="wps">
            <w:drawing>
              <wp:anchor distT="0" distB="0" distL="114300" distR="114300" simplePos="0" relativeHeight="125829378" behindDoc="0" locked="0" layoutInCell="1" allowOverlap="1">
                <wp:simplePos x="0" y="0"/>
                <wp:positionH relativeFrom="page">
                  <wp:posOffset>676910</wp:posOffset>
                </wp:positionH>
                <wp:positionV relativeFrom="paragraph">
                  <wp:posOffset>12700</wp:posOffset>
                </wp:positionV>
                <wp:extent cx="1490345" cy="182880"/>
                <wp:effectExtent l="0" t="0" r="0" b="0"/>
                <wp:wrapSquare wrapText="right"/>
                <wp:docPr id="6" name="Shape 6"/>
                <wp:cNvGraphicFramePr/>
                <a:graphic xmlns:a="http://schemas.openxmlformats.org/drawingml/2006/main">
                  <a:graphicData uri="http://schemas.microsoft.com/office/word/2010/wordprocessingShape">
                    <wps:wsp>
                      <wps:cNvSpPr txBox="1"/>
                      <wps:spPr>
                        <a:xfrm>
                          <a:off x="0" y="0"/>
                          <a:ext cx="1490345" cy="182880"/>
                        </a:xfrm>
                        <a:prstGeom prst="rect">
                          <a:avLst/>
                        </a:prstGeom>
                        <a:noFill/>
                      </wps:spPr>
                      <wps:txbx>
                        <w:txbxContent>
                          <w:p w:rsidR="00215B20" w:rsidRDefault="00FD0AA3">
                            <w:pPr>
                              <w:pStyle w:val="Zkladntext50"/>
                              <w:shd w:val="clear" w:color="auto" w:fill="auto"/>
                              <w:spacing w:after="0"/>
                              <w:ind w:left="0" w:firstLine="0"/>
                            </w:pPr>
                            <w:r>
                              <w:t>Národní památkový ústav</w:t>
                            </w:r>
                          </w:p>
                        </w:txbxContent>
                      </wps:txbx>
                      <wps:bodyPr wrap="none" lIns="0" tIns="0" rIns="0" bIns="0"/>
                    </wps:wsp>
                  </a:graphicData>
                </a:graphic>
              </wp:anchor>
            </w:drawing>
          </mc:Choice>
          <mc:Fallback>
            <w:pict>
              <v:shape id="_x0000_s1032" type="#_x0000_t202" style="position:absolute;margin-left:53.299999999999997pt;margin-top:1.pt;width:117.34999999999999pt;height:14.4pt;z-index:-1258293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Národní památkový ústav</w:t>
                      </w:r>
                    </w:p>
                  </w:txbxContent>
                </v:textbox>
                <w10:wrap type="square" side="right" anchorx="page"/>
              </v:shape>
            </w:pict>
          </mc:Fallback>
        </mc:AlternateContent>
      </w:r>
      <w:r>
        <w:t xml:space="preserve">Zadávací </w:t>
      </w:r>
      <w:r>
        <w:t>dokumentace - Připojení do Internetu pro NPÚ</w:t>
      </w:r>
    </w:p>
    <w:p w:rsidR="00215B20" w:rsidRDefault="00FD0AA3">
      <w:pPr>
        <w:rPr>
          <w:sz w:val="2"/>
          <w:szCs w:val="2"/>
        </w:rPr>
      </w:pPr>
      <w:r>
        <w:rPr>
          <w:noProof/>
          <w:lang w:bidi="ar-SA"/>
        </w:rPr>
        <w:lastRenderedPageBreak/>
        <w:drawing>
          <wp:inline distT="0" distB="0" distL="0" distR="0">
            <wp:extent cx="694690" cy="46926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694690" cy="469265"/>
                    </a:xfrm>
                    <a:prstGeom prst="rect">
                      <a:avLst/>
                    </a:prstGeom>
                  </pic:spPr>
                </pic:pic>
              </a:graphicData>
            </a:graphic>
          </wp:inline>
        </w:drawing>
      </w:r>
    </w:p>
    <w:p w:rsidR="00215B20" w:rsidRDefault="00FD0AA3">
      <w:pPr>
        <w:pStyle w:val="Titulekobrzku0"/>
        <w:shd w:val="clear" w:color="auto" w:fill="auto"/>
        <w:spacing w:line="240" w:lineRule="auto"/>
        <w:ind w:firstLine="0"/>
        <w:rPr>
          <w:sz w:val="22"/>
          <w:szCs w:val="22"/>
        </w:rPr>
      </w:pPr>
      <w:r>
        <w:rPr>
          <w:rFonts w:ascii="Calibri" w:eastAsia="Calibri" w:hAnsi="Calibri" w:cs="Calibri"/>
          <w:color w:val="231F20"/>
          <w:sz w:val="22"/>
          <w:szCs w:val="22"/>
        </w:rPr>
        <w:t>Příloha č. 2:</w:t>
      </w:r>
    </w:p>
    <w:p w:rsidR="00215B20" w:rsidRDefault="00215B20">
      <w:pPr>
        <w:spacing w:after="139" w:line="1" w:lineRule="exact"/>
      </w:pPr>
    </w:p>
    <w:p w:rsidR="00215B20" w:rsidRDefault="00FD0AA3">
      <w:pPr>
        <w:pStyle w:val="Zkladntext30"/>
        <w:shd w:val="clear" w:color="auto" w:fill="auto"/>
        <w:spacing w:after="1880"/>
      </w:pPr>
      <w:r>
        <w:t>Ceník ostatních Služeb (Přehled ostatních služeb)</w:t>
      </w:r>
    </w:p>
    <w:p w:rsidR="00215B20" w:rsidRDefault="00FD0AA3">
      <w:pPr>
        <w:pStyle w:val="Zkladntext30"/>
        <w:shd w:val="clear" w:color="auto" w:fill="auto"/>
        <w:sectPr w:rsidR="00215B20">
          <w:headerReference w:type="even" r:id="rId13"/>
          <w:headerReference w:type="default" r:id="rId14"/>
          <w:pgSz w:w="11900" w:h="16840"/>
          <w:pgMar w:top="1441" w:right="6097" w:bottom="1441" w:left="1386" w:header="0" w:footer="1013" w:gutter="0"/>
          <w:cols w:space="720"/>
          <w:noEndnote/>
          <w:docGrid w:linePitch="360"/>
        </w:sectPr>
      </w:pPr>
      <w:r>
        <w:t>Ceník ostatních služeb nebyl v nabídce uveden.</w:t>
      </w:r>
    </w:p>
    <w:p w:rsidR="00215B20" w:rsidRDefault="00FD0AA3">
      <w:pPr>
        <w:pStyle w:val="Titulekobrzku0"/>
        <w:framePr w:w="1080" w:h="307" w:wrap="none" w:hAnchor="page" w:x="1402" w:y="45"/>
        <w:shd w:val="clear" w:color="auto" w:fill="auto"/>
        <w:spacing w:line="240" w:lineRule="auto"/>
        <w:ind w:firstLine="0"/>
        <w:rPr>
          <w:sz w:val="22"/>
          <w:szCs w:val="22"/>
        </w:rPr>
      </w:pPr>
      <w:r>
        <w:rPr>
          <w:rFonts w:ascii="Calibri" w:eastAsia="Calibri" w:hAnsi="Calibri" w:cs="Calibri"/>
          <w:color w:val="231F20"/>
          <w:sz w:val="22"/>
          <w:szCs w:val="22"/>
        </w:rPr>
        <w:lastRenderedPageBreak/>
        <w:t>Příloha č. 3:</w:t>
      </w:r>
    </w:p>
    <w:p w:rsidR="00215B20" w:rsidRDefault="00FD0AA3">
      <w:pPr>
        <w:pStyle w:val="Zkladntext30"/>
        <w:framePr w:w="2078" w:h="307" w:wrap="none" w:hAnchor="page" w:x="1383" w:y="491"/>
        <w:shd w:val="clear" w:color="auto" w:fill="auto"/>
      </w:pPr>
      <w:r>
        <w:t>Technický popis řešení</w:t>
      </w:r>
    </w:p>
    <w:p w:rsidR="00215B20" w:rsidRDefault="00FD0AA3">
      <w:pPr>
        <w:spacing w:line="360" w:lineRule="exact"/>
      </w:pPr>
      <w:r>
        <w:rPr>
          <w:noProof/>
          <w:lang w:bidi="ar-SA"/>
        </w:rPr>
        <w:drawing>
          <wp:anchor distT="0" distB="274320" distL="8890" distR="0" simplePos="0" relativeHeight="62914698" behindDoc="1" locked="0" layoutInCell="1" allowOverlap="1">
            <wp:simplePos x="0" y="0"/>
            <wp:positionH relativeFrom="page">
              <wp:posOffset>898525</wp:posOffset>
            </wp:positionH>
            <wp:positionV relativeFrom="margin">
              <wp:posOffset>-517525</wp:posOffset>
            </wp:positionV>
            <wp:extent cx="694690" cy="469265"/>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2"/>
                    <a:stretch/>
                  </pic:blipFill>
                  <pic:spPr>
                    <a:xfrm>
                      <a:off x="0" y="0"/>
                      <a:ext cx="694690" cy="469265"/>
                    </a:xfrm>
                    <a:prstGeom prst="rect">
                      <a:avLst/>
                    </a:prstGeom>
                  </pic:spPr>
                </pic:pic>
              </a:graphicData>
            </a:graphic>
          </wp:anchor>
        </w:drawing>
      </w:r>
    </w:p>
    <w:p w:rsidR="00215B20" w:rsidRDefault="00215B20">
      <w:pPr>
        <w:spacing w:after="437" w:line="1" w:lineRule="exact"/>
      </w:pPr>
    </w:p>
    <w:p w:rsidR="00215B20" w:rsidRDefault="00215B20">
      <w:pPr>
        <w:spacing w:line="1" w:lineRule="exact"/>
        <w:sectPr w:rsidR="00215B20">
          <w:pgSz w:w="11900" w:h="16840"/>
          <w:pgMar w:top="2256" w:right="7686" w:bottom="2256" w:left="1382" w:header="0" w:footer="1828" w:gutter="0"/>
          <w:cols w:space="720"/>
          <w:noEndnote/>
          <w:docGrid w:linePitch="360"/>
        </w:sectPr>
      </w:pPr>
    </w:p>
    <w:p w:rsidR="00215B20" w:rsidRDefault="00FD0AA3">
      <w:pPr>
        <w:rPr>
          <w:sz w:val="2"/>
          <w:szCs w:val="2"/>
        </w:rPr>
      </w:pPr>
      <w:r>
        <w:rPr>
          <w:noProof/>
          <w:lang w:bidi="ar-SA"/>
        </w:rPr>
        <w:lastRenderedPageBreak/>
        <w:drawing>
          <wp:inline distT="0" distB="0" distL="0" distR="0">
            <wp:extent cx="658495" cy="47561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pic:blipFill>
                  <pic:spPr>
                    <a:xfrm>
                      <a:off x="0" y="0"/>
                      <a:ext cx="658495" cy="475615"/>
                    </a:xfrm>
                    <a:prstGeom prst="rect">
                      <a:avLst/>
                    </a:prstGeom>
                  </pic:spPr>
                </pic:pic>
              </a:graphicData>
            </a:graphic>
          </wp:inline>
        </w:drawing>
      </w:r>
    </w:p>
    <w:p w:rsidR="00215B20" w:rsidRDefault="00215B20">
      <w:pPr>
        <w:spacing w:after="399" w:line="1" w:lineRule="exact"/>
      </w:pPr>
    </w:p>
    <w:p w:rsidR="00215B20" w:rsidRDefault="00FD0AA3">
      <w:pPr>
        <w:pStyle w:val="Nadpis20"/>
        <w:keepNext/>
        <w:keepLines/>
        <w:shd w:val="clear" w:color="auto" w:fill="auto"/>
      </w:pPr>
      <w:bookmarkStart w:id="0" w:name="bookmark2"/>
      <w:bookmarkStart w:id="1" w:name="bookmark3"/>
      <w:r>
        <w:t>Popis služby Profesionální internet</w:t>
      </w:r>
      <w:bookmarkEnd w:id="0"/>
      <w:bookmarkEnd w:id="1"/>
    </w:p>
    <w:p w:rsidR="00215B20" w:rsidRDefault="00FD0AA3">
      <w:pPr>
        <w:pStyle w:val="Zkladntext1"/>
        <w:shd w:val="clear" w:color="auto" w:fill="auto"/>
        <w:spacing w:after="100" w:line="254" w:lineRule="auto"/>
        <w:jc w:val="both"/>
      </w:pPr>
      <w:r>
        <w:t xml:space="preserve">společnosti T-Mobile </w:t>
      </w:r>
      <w:r w:rsidRPr="00920265">
        <w:rPr>
          <w:lang w:eastAsia="en-US" w:bidi="en-US"/>
        </w:rPr>
        <w:t xml:space="preserve">Czech Republic </w:t>
      </w:r>
      <w:r>
        <w:t>a.s., se sídlem Tomíčkova 2144/1, 148 00 Praha 4, IČO: 649 49 681, zapsána do obchodního rejstříku vedeného Městským soudem v Praze</w:t>
      </w:r>
      <w:r>
        <w:t>, oddíl B, vložka 3787</w:t>
      </w:r>
    </w:p>
    <w:p w:rsidR="00215B20" w:rsidRDefault="00FD0AA3">
      <w:pPr>
        <w:pStyle w:val="Zkladntext1"/>
        <w:shd w:val="clear" w:color="auto" w:fill="auto"/>
        <w:spacing w:after="300"/>
        <w:jc w:val="both"/>
      </w:pPr>
      <w:r>
        <w:t>(dále jen „Popis“ nebo také jen „Podmínky“)</w:t>
      </w:r>
    </w:p>
    <w:p w:rsidR="00215B20" w:rsidRDefault="00FD0AA3">
      <w:pPr>
        <w:pStyle w:val="Zkladntext1"/>
        <w:shd w:val="clear" w:color="auto" w:fill="auto"/>
        <w:jc w:val="both"/>
      </w:pPr>
      <w:r>
        <w:t xml:space="preserve">Tento Popis služby obsahuje technické parametry služby a </w:t>
      </w:r>
      <w:r>
        <w:rPr>
          <w:b/>
          <w:bCs/>
        </w:rPr>
        <w:t xml:space="preserve">předsmluvni informace </w:t>
      </w:r>
      <w:r>
        <w:t xml:space="preserve">vztahující se ke službě </w:t>
      </w:r>
      <w:r>
        <w:rPr>
          <w:b/>
          <w:bCs/>
        </w:rPr>
        <w:t xml:space="preserve">Profesionální internet (dále jen „Služba“) </w:t>
      </w:r>
      <w:r>
        <w:t xml:space="preserve">dle jejichž podmínek společnost T-Mobile </w:t>
      </w:r>
      <w:r w:rsidRPr="00920265">
        <w:rPr>
          <w:lang w:eastAsia="en-US" w:bidi="en-US"/>
        </w:rPr>
        <w:t xml:space="preserve">Czech Republic </w:t>
      </w:r>
      <w:r>
        <w:t>a.s. (dále jen „Poskytovatel“) svým zákazníkům (dále jen „Smluvní partner“ nebo „Účastník“) umožňuje využívat výše uvedenou Službu elektronických komunikací. Tato Služba umožňuje pevné připojení k celosvětové síti Internet s garantovanými pa</w:t>
      </w:r>
      <w:r>
        <w:t>rametry prostřednictvím komunikačního protokolu IP.</w:t>
      </w:r>
    </w:p>
    <w:p w:rsidR="00215B20" w:rsidRDefault="00FD0AA3">
      <w:pPr>
        <w:pStyle w:val="Zkladntext1"/>
        <w:shd w:val="clear" w:color="auto" w:fill="auto"/>
        <w:spacing w:line="254" w:lineRule="auto"/>
        <w:jc w:val="both"/>
      </w:pPr>
      <w:r>
        <w:t>Závazek Poskytovatele poskytovat Službu ve prospěch Smluvního partnera vzniká až uzavřením samostatné Specifikace služby. Za Specifikaci služby Smluvní strany považují i Smlouvu o poskytování pevné služby</w:t>
      </w:r>
      <w:r>
        <w:t xml:space="preserve"> (dále jako „Specifikace služby“).</w:t>
      </w:r>
    </w:p>
    <w:p w:rsidR="00215B20" w:rsidRDefault="00FD0AA3">
      <w:pPr>
        <w:pStyle w:val="Zkladntext1"/>
        <w:shd w:val="clear" w:color="auto" w:fill="auto"/>
        <w:spacing w:line="254" w:lineRule="auto"/>
        <w:jc w:val="both"/>
      </w:pPr>
      <w:r>
        <w:t xml:space="preserve">V otázkách neupravených v Podmínkách se přiměřeně užijí zejména ustanovení aktuálních Všeobecných podmínek společnosti </w:t>
      </w:r>
      <w:proofErr w:type="gramStart"/>
      <w:r>
        <w:t>T-Mobile</w:t>
      </w:r>
      <w:proofErr w:type="gramEnd"/>
      <w:r>
        <w:t xml:space="preserve"> </w:t>
      </w:r>
      <w:r w:rsidRPr="00920265">
        <w:rPr>
          <w:lang w:eastAsia="en-US" w:bidi="en-US"/>
        </w:rPr>
        <w:t xml:space="preserve">Czech Republic </w:t>
      </w:r>
      <w:r>
        <w:t>a.s. (dále jen „VPST“), Obchodních podmínek pro Pevné služby elektronických ko</w:t>
      </w:r>
      <w:r>
        <w:t xml:space="preserve">munikací, Podmínek pro zpracování osobních, identifikačních, provozních a lokalizačních údajů Účastníka a dalších podmínek Smluvním partnerem využívaných služeb a nabídek Poskytovatele uveřejněných na stránce </w:t>
      </w:r>
      <w:hyperlink r:id="rId16" w:history="1">
        <w:r w:rsidRPr="00920265">
          <w:rPr>
            <w:lang w:eastAsia="en-US" w:bidi="en-US"/>
          </w:rPr>
          <w:t>www.t-mobile.</w:t>
        </w:r>
        <w:r w:rsidRPr="00920265">
          <w:rPr>
            <w:lang w:eastAsia="en-US" w:bidi="en-US"/>
          </w:rPr>
          <w:t>cz</w:t>
        </w:r>
      </w:hyperlink>
      <w:r w:rsidRPr="00920265">
        <w:rPr>
          <w:lang w:eastAsia="en-US" w:bidi="en-US"/>
        </w:rPr>
        <w:t xml:space="preserve">, </w:t>
      </w:r>
      <w:r>
        <w:t>dále platný Ceník služby a ustanovení platného právního řádu České republiky. Specifikace služby se dále ve smluvních dokumentech považují za Účastnickou smlouvu. Pokud má Smluvní partner ze zákona nárok na Shrnutí smlouvy, potom je konkrétní nastav</w:t>
      </w:r>
      <w:r>
        <w:t>ení Specifikace služby a cen zahrnuto v tomto Shrnutí.</w:t>
      </w:r>
    </w:p>
    <w:p w:rsidR="00215B20" w:rsidRDefault="00FD0AA3">
      <w:pPr>
        <w:pStyle w:val="Zkladntext1"/>
        <w:shd w:val="clear" w:color="auto" w:fill="auto"/>
        <w:spacing w:line="254" w:lineRule="auto"/>
        <w:jc w:val="both"/>
      </w:pPr>
      <w:r>
        <w:t xml:space="preserve">Předsmluvni informace spolu se Shrnutím smlouvy jsou poskytovány ve smyslu zákona č. 127/2005 Sb., o elektronických komunikacích (dále jen „Zákon o el. </w:t>
      </w:r>
      <w:proofErr w:type="gramStart"/>
      <w:r>
        <w:t>komunikacích</w:t>
      </w:r>
      <w:proofErr w:type="gramEnd"/>
      <w:r>
        <w:t>“).</w:t>
      </w:r>
    </w:p>
    <w:p w:rsidR="00215B20" w:rsidRDefault="00FD0AA3">
      <w:pPr>
        <w:pStyle w:val="Zkladntext1"/>
        <w:shd w:val="clear" w:color="auto" w:fill="auto"/>
        <w:spacing w:after="240"/>
        <w:jc w:val="both"/>
      </w:pPr>
      <w:r>
        <w:t>Podmínky jsou uveřejněny na webov</w:t>
      </w:r>
      <w:r>
        <w:t xml:space="preserve">ých stránkách Poskytovatele na adrese </w:t>
      </w:r>
      <w:hyperlink r:id="rId17" w:history="1">
        <w:r w:rsidRPr="00920265">
          <w:rPr>
            <w:lang w:eastAsia="en-US" w:bidi="en-US"/>
          </w:rPr>
          <w:t>https://www.t-mobile.cz/primylink</w:t>
        </w:r>
      </w:hyperlink>
      <w:r w:rsidRPr="00920265">
        <w:rPr>
          <w:lang w:eastAsia="en-US" w:bidi="en-US"/>
        </w:rPr>
        <w:t xml:space="preserve"> </w:t>
      </w:r>
      <w:r>
        <w:t>podle názvu Služby. Takto uveřejněné Podmínky nejsou samostatně bez splnění dalších podmínek návrhem na uzavření smlouvy. Podmínky či je</w:t>
      </w:r>
      <w:r>
        <w:t>jich část mohou být dále komunikovány dalšími prostředky, např. tiskovou inzercí, plakáty atd. V případě rozporu mezi zněním Podmínek uveřejněným na internetu a zněním Podmínek uveřejněným jiným způsobem je vždy rozhodující znění uveřejněné na shora uveden</w:t>
      </w:r>
      <w:r>
        <w:t>ých webových stránkách. Tyto Podmínky je důležité si stáhnout pro účely dokumentace, pozdějšího použití a reprodukce v nezměněné podobě.</w:t>
      </w:r>
    </w:p>
    <w:p w:rsidR="00215B20" w:rsidRDefault="00FD0AA3">
      <w:pPr>
        <w:pStyle w:val="Zkladntext1"/>
        <w:shd w:val="clear" w:color="auto" w:fill="auto"/>
        <w:spacing w:after="300" w:line="240" w:lineRule="auto"/>
        <w:rPr>
          <w:sz w:val="16"/>
          <w:szCs w:val="16"/>
        </w:rPr>
      </w:pPr>
      <w:r>
        <w:rPr>
          <w:b/>
          <w:bCs/>
          <w:color w:val="DE1273"/>
          <w:sz w:val="16"/>
          <w:szCs w:val="16"/>
        </w:rPr>
        <w:t>Předsmluvni informace ke službě</w:t>
      </w:r>
    </w:p>
    <w:p w:rsidR="00215B20" w:rsidRDefault="00FD0AA3">
      <w:pPr>
        <w:pStyle w:val="Nadpis60"/>
        <w:keepNext/>
        <w:keepLines/>
        <w:numPr>
          <w:ilvl w:val="0"/>
          <w:numId w:val="1"/>
        </w:numPr>
        <w:shd w:val="clear" w:color="auto" w:fill="auto"/>
        <w:tabs>
          <w:tab w:val="left" w:pos="350"/>
        </w:tabs>
        <w:spacing w:line="240" w:lineRule="auto"/>
        <w:rPr>
          <w:sz w:val="16"/>
          <w:szCs w:val="16"/>
        </w:rPr>
      </w:pPr>
      <w:bookmarkStart w:id="2" w:name="bookmark4"/>
      <w:bookmarkStart w:id="3" w:name="bookmark5"/>
      <w:r>
        <w:rPr>
          <w:sz w:val="16"/>
          <w:szCs w:val="16"/>
        </w:rPr>
        <w:t>Charakteristika služby</w:t>
      </w:r>
      <w:bookmarkEnd w:id="2"/>
      <w:bookmarkEnd w:id="3"/>
    </w:p>
    <w:p w:rsidR="00215B20" w:rsidRDefault="00FD0AA3">
      <w:pPr>
        <w:pStyle w:val="Zkladntext1"/>
        <w:shd w:val="clear" w:color="auto" w:fill="auto"/>
        <w:spacing w:line="254" w:lineRule="auto"/>
        <w:jc w:val="both"/>
      </w:pPr>
      <w:r>
        <w:t>Služba Profesionální internet je poskytována jako služba pevného</w:t>
      </w:r>
      <w:r>
        <w:t xml:space="preserve"> připojení k celosvětové síti Internet s garantovanými parametry prostřednictvím komunikačního protokolu IP.</w:t>
      </w:r>
    </w:p>
    <w:p w:rsidR="00215B20" w:rsidRDefault="00FD0AA3">
      <w:pPr>
        <w:pStyle w:val="Zkladntext1"/>
        <w:shd w:val="clear" w:color="auto" w:fill="auto"/>
        <w:jc w:val="both"/>
      </w:pPr>
      <w:r>
        <w:t xml:space="preserve">Podstatou služby je přenos dat Smluvního partnera ve formě IP paketů mezi rozhraním na koncovém zařízení umístěném v lokalitě Smluvního partnera a </w:t>
      </w:r>
      <w:r>
        <w:t>libovolným zařízením přístupným přes celosvětovou síť Internet prostřednictvím symetrické přístupové rychlosti. Služba Profesionální internet garantuje dostupnost Služby a propustnost páteřních kapacit, trasy do NIXu a tras k rozhraním s poskytovateli mezi</w:t>
      </w:r>
      <w:r>
        <w:t>národního připojení.</w:t>
      </w:r>
    </w:p>
    <w:p w:rsidR="00215B20" w:rsidRDefault="00FD0AA3">
      <w:pPr>
        <w:pStyle w:val="Zkladntext1"/>
        <w:shd w:val="clear" w:color="auto" w:fill="auto"/>
        <w:spacing w:after="240"/>
        <w:jc w:val="both"/>
      </w:pPr>
      <w:r>
        <w:t xml:space="preserve">Služba Profesionální internet je komplexní služba dohledovaná poskytovatelem v celé síti a po celé trase přístupové linky až po rozhraní Ethernet </w:t>
      </w:r>
      <w:proofErr w:type="gramStart"/>
      <w:r>
        <w:t>na CPE</w:t>
      </w:r>
      <w:proofErr w:type="gramEnd"/>
      <w:r>
        <w:t>. Služba Profesionální internet zahrnuje kromě samotného provozu služby, provozního</w:t>
      </w:r>
      <w:r>
        <w:t xml:space="preserve"> dohledu a servisu také průzkumné, projektové a instalační práce ke zřízení Služby a poskytnutí zařízení až po předávací rozhraní.</w:t>
      </w:r>
    </w:p>
    <w:p w:rsidR="00215B20" w:rsidRDefault="00FD0AA3">
      <w:pPr>
        <w:pStyle w:val="Zkladntext1"/>
        <w:numPr>
          <w:ilvl w:val="1"/>
          <w:numId w:val="1"/>
        </w:numPr>
        <w:shd w:val="clear" w:color="auto" w:fill="auto"/>
        <w:tabs>
          <w:tab w:val="left" w:pos="504"/>
        </w:tabs>
        <w:spacing w:after="240"/>
        <w:jc w:val="both"/>
      </w:pPr>
      <w:r>
        <w:rPr>
          <w:b/>
          <w:bCs/>
        </w:rPr>
        <w:t>Doplňkové Služby Profesionální internet</w:t>
      </w:r>
    </w:p>
    <w:p w:rsidR="00215B20" w:rsidRDefault="00FD0AA3">
      <w:pPr>
        <w:pStyle w:val="Nadpis60"/>
        <w:keepNext/>
        <w:keepLines/>
        <w:numPr>
          <w:ilvl w:val="2"/>
          <w:numId w:val="1"/>
        </w:numPr>
        <w:shd w:val="clear" w:color="auto" w:fill="auto"/>
        <w:tabs>
          <w:tab w:val="left" w:pos="671"/>
        </w:tabs>
        <w:spacing w:line="257" w:lineRule="auto"/>
        <w:jc w:val="both"/>
      </w:pPr>
      <w:bookmarkStart w:id="4" w:name="bookmark6"/>
      <w:bookmarkStart w:id="5" w:name="bookmark7"/>
      <w:r>
        <w:rPr>
          <w:color w:val="231F20"/>
          <w:lang w:val="en-US" w:eastAsia="en-US" w:bidi="en-US"/>
        </w:rPr>
        <w:t>Back-up</w:t>
      </w:r>
      <w:bookmarkEnd w:id="4"/>
      <w:bookmarkEnd w:id="5"/>
    </w:p>
    <w:p w:rsidR="00215B20" w:rsidRDefault="00FD0AA3">
      <w:pPr>
        <w:pStyle w:val="Zkladntext20"/>
        <w:shd w:val="clear" w:color="auto" w:fill="auto"/>
        <w:spacing w:after="240" w:line="262" w:lineRule="auto"/>
        <w:jc w:val="both"/>
      </w:pPr>
      <w:r>
        <w:t xml:space="preserve">Dostupnost Služby Profesionální internet lze zvýšit zálohováním primární </w:t>
      </w:r>
      <w:r>
        <w:t>přípojky. Realizace je posouzena a provedena cestou zákaznického řešení.</w:t>
      </w:r>
    </w:p>
    <w:p w:rsidR="00215B20" w:rsidRDefault="00FD0AA3">
      <w:pPr>
        <w:pStyle w:val="Nadpis60"/>
        <w:keepNext/>
        <w:keepLines/>
        <w:numPr>
          <w:ilvl w:val="2"/>
          <w:numId w:val="1"/>
        </w:numPr>
        <w:shd w:val="clear" w:color="auto" w:fill="auto"/>
        <w:tabs>
          <w:tab w:val="left" w:pos="671"/>
        </w:tabs>
        <w:spacing w:line="257" w:lineRule="auto"/>
        <w:jc w:val="both"/>
      </w:pPr>
      <w:bookmarkStart w:id="6" w:name="bookmark8"/>
      <w:bookmarkStart w:id="7" w:name="bookmark9"/>
      <w:r>
        <w:rPr>
          <w:color w:val="231F20"/>
        </w:rPr>
        <w:t>Provozní statistiky</w:t>
      </w:r>
      <w:bookmarkEnd w:id="6"/>
      <w:bookmarkEnd w:id="7"/>
    </w:p>
    <w:p w:rsidR="00215B20" w:rsidRDefault="00FD0AA3">
      <w:pPr>
        <w:pStyle w:val="Zkladntext20"/>
        <w:shd w:val="clear" w:color="auto" w:fill="auto"/>
        <w:spacing w:after="60" w:line="262" w:lineRule="auto"/>
        <w:jc w:val="both"/>
      </w:pPr>
      <w:r>
        <w:t>Provozní statistiky jsou volitelnou doplňkovou Službou umožňující pro jednotlivé přípojky sledovat hodnoty některých provozních parametrů Služby Profesionální inte</w:t>
      </w:r>
      <w:r>
        <w:t>rnet.</w:t>
      </w:r>
    </w:p>
    <w:p w:rsidR="00215B20" w:rsidRDefault="00FD0AA3">
      <w:pPr>
        <w:pStyle w:val="Zkladntext20"/>
        <w:shd w:val="clear" w:color="auto" w:fill="auto"/>
        <w:spacing w:after="240" w:line="254" w:lineRule="auto"/>
        <w:jc w:val="both"/>
      </w:pPr>
      <w:r>
        <w:t xml:space="preserve">Údaje a informace poskytované touto aplikací jsou pouze informativní a nemohou sloužit jako podklad pro výpočet sankce za nedodržení </w:t>
      </w:r>
      <w:r w:rsidRPr="00920265">
        <w:rPr>
          <w:lang w:eastAsia="en-US" w:bidi="en-US"/>
        </w:rPr>
        <w:t xml:space="preserve">SLA, </w:t>
      </w:r>
      <w:r>
        <w:t>resp. pro výpočet ceny za poskytnutou Službu.</w:t>
      </w:r>
    </w:p>
    <w:p w:rsidR="00215B20" w:rsidRDefault="00FD0AA3">
      <w:pPr>
        <w:pStyle w:val="Nadpis60"/>
        <w:keepNext/>
        <w:keepLines/>
        <w:numPr>
          <w:ilvl w:val="2"/>
          <w:numId w:val="1"/>
        </w:numPr>
        <w:shd w:val="clear" w:color="auto" w:fill="auto"/>
        <w:tabs>
          <w:tab w:val="left" w:pos="671"/>
        </w:tabs>
        <w:spacing w:line="257" w:lineRule="auto"/>
        <w:jc w:val="both"/>
      </w:pPr>
      <w:bookmarkStart w:id="8" w:name="bookmark10"/>
      <w:bookmarkStart w:id="9" w:name="bookmark11"/>
      <w:r>
        <w:rPr>
          <w:color w:val="231F20"/>
        </w:rPr>
        <w:t>Proaktivní dohled</w:t>
      </w:r>
      <w:bookmarkEnd w:id="8"/>
      <w:bookmarkEnd w:id="9"/>
    </w:p>
    <w:p w:rsidR="00215B20" w:rsidRDefault="00FD0AA3">
      <w:pPr>
        <w:pStyle w:val="Zkladntext20"/>
        <w:shd w:val="clear" w:color="auto" w:fill="auto"/>
        <w:spacing w:after="240" w:line="262" w:lineRule="auto"/>
        <w:jc w:val="both"/>
      </w:pPr>
      <w:r>
        <w:t xml:space="preserve">Poskytovatel do 15 minut od zjištění stavu 100% </w:t>
      </w:r>
      <w:r w:rsidRPr="00920265">
        <w:rPr>
          <w:lang w:eastAsia="en-US" w:bidi="en-US"/>
        </w:rPr>
        <w:t xml:space="preserve">Packet Loss </w:t>
      </w:r>
      <w:r>
        <w:t>(100% ztrátovost paketů, zjištěná interními monitorovacími nástroji Poskytovatele) zahájí proces odstraňování poruchy na přípojce. Proces odstraňování poruchy obsahuje i kontaktování kontaktní osoby na straně Smluvního partnera.</w:t>
      </w:r>
    </w:p>
    <w:p w:rsidR="00215B20" w:rsidRDefault="00FD0AA3">
      <w:pPr>
        <w:pStyle w:val="Nadpis60"/>
        <w:keepNext/>
        <w:keepLines/>
        <w:numPr>
          <w:ilvl w:val="1"/>
          <w:numId w:val="1"/>
        </w:numPr>
        <w:shd w:val="clear" w:color="auto" w:fill="auto"/>
        <w:tabs>
          <w:tab w:val="left" w:pos="504"/>
        </w:tabs>
        <w:spacing w:line="257" w:lineRule="auto"/>
        <w:jc w:val="both"/>
      </w:pPr>
      <w:bookmarkStart w:id="10" w:name="bookmark12"/>
      <w:bookmarkStart w:id="11" w:name="bookmark13"/>
      <w:r>
        <w:rPr>
          <w:color w:val="231F20"/>
        </w:rPr>
        <w:t>Technické údaje</w:t>
      </w:r>
      <w:bookmarkEnd w:id="10"/>
      <w:bookmarkEnd w:id="11"/>
    </w:p>
    <w:p w:rsidR="00215B20" w:rsidRDefault="00FD0AA3">
      <w:pPr>
        <w:pStyle w:val="Zkladntext1"/>
        <w:shd w:val="clear" w:color="auto" w:fill="auto"/>
        <w:spacing w:after="240" w:line="254" w:lineRule="auto"/>
        <w:jc w:val="both"/>
      </w:pPr>
      <w:r>
        <w:t>Služba Profesionální internet zahrnuje přípojku k síti poskytovatele, která se skládá z přístupové linky, přístupového portu, koncového zařízení a šířky pásma pro komunikaci se sítí. U okruhů se symetrickou přístupovou rychlostí je uvedená rychlost stejná</w:t>
      </w:r>
      <w:r>
        <w:t xml:space="preserve"> v obou směrech.</w:t>
      </w:r>
    </w:p>
    <w:p w:rsidR="00215B20" w:rsidRDefault="00FD0AA3">
      <w:pPr>
        <w:pStyle w:val="Nadpis60"/>
        <w:keepNext/>
        <w:keepLines/>
        <w:numPr>
          <w:ilvl w:val="2"/>
          <w:numId w:val="1"/>
        </w:numPr>
        <w:shd w:val="clear" w:color="auto" w:fill="auto"/>
        <w:tabs>
          <w:tab w:val="left" w:pos="671"/>
        </w:tabs>
        <w:spacing w:line="257" w:lineRule="auto"/>
        <w:jc w:val="both"/>
      </w:pPr>
      <w:bookmarkStart w:id="12" w:name="bookmark14"/>
      <w:bookmarkStart w:id="13" w:name="bookmark15"/>
      <w:r>
        <w:rPr>
          <w:color w:val="231F20"/>
        </w:rPr>
        <w:t>Charakteristika internetové sítě</w:t>
      </w:r>
      <w:bookmarkEnd w:id="12"/>
      <w:bookmarkEnd w:id="13"/>
    </w:p>
    <w:p w:rsidR="00215B20" w:rsidRDefault="00FD0AA3">
      <w:pPr>
        <w:pStyle w:val="Zkladntext1"/>
        <w:shd w:val="clear" w:color="auto" w:fill="auto"/>
        <w:jc w:val="both"/>
      </w:pPr>
      <w:r>
        <w:t>Poskytovatel vlastní rozsáhlou telekomunikační infrastrukturu s vysokokapacitní páteřní konektivitou. Základ páteřní sítě tvoří optické trasy pokrývající všechny regiony České republiky. Celá síť je postave</w:t>
      </w:r>
      <w:r>
        <w:t>na v kruhové topologii, která zaručuje maximální funkčnost a 100% zálohu sítě.</w:t>
      </w:r>
    </w:p>
    <w:p w:rsidR="00215B20" w:rsidRDefault="00FD0AA3">
      <w:pPr>
        <w:pStyle w:val="Zkladntext1"/>
        <w:shd w:val="clear" w:color="auto" w:fill="auto"/>
        <w:jc w:val="both"/>
      </w:pPr>
      <w:r>
        <w:t>Poskytovatel dále provozuje vlastní vysokokapacitní mezinárodní přenosovou síť na bázi technologie vlnového multiplexu (DWDM), propojující všechny hlavní telekomunikační body ve</w:t>
      </w:r>
      <w:r>
        <w:t xml:space="preserve"> střední Evropě (Bratislava, Budapešť, Frankfurt, Praha, Varšava, Vídeň), z nichž se dále realizuje napojení na sítě významných celosvětových operátorů.</w:t>
      </w:r>
      <w:r>
        <w:br w:type="page"/>
      </w:r>
    </w:p>
    <w:p w:rsidR="00215B20" w:rsidRDefault="00FD0AA3">
      <w:pPr>
        <w:spacing w:line="1" w:lineRule="exact"/>
      </w:pPr>
      <w:r>
        <w:rPr>
          <w:noProof/>
          <w:lang w:bidi="ar-SA"/>
        </w:rPr>
        <w:lastRenderedPageBreak/>
        <w:drawing>
          <wp:anchor distT="0" distB="368300" distL="0" distR="0" simplePos="0" relativeHeight="125829380" behindDoc="0" locked="0" layoutInCell="1" allowOverlap="1">
            <wp:simplePos x="0" y="0"/>
            <wp:positionH relativeFrom="page">
              <wp:posOffset>694690</wp:posOffset>
            </wp:positionH>
            <wp:positionV relativeFrom="paragraph">
              <wp:posOffset>0</wp:posOffset>
            </wp:positionV>
            <wp:extent cx="658495" cy="475615"/>
            <wp:effectExtent l="0" t="0" r="0" b="0"/>
            <wp:wrapTopAndBottom/>
            <wp:docPr id="16"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8"/>
                    <a:stretch/>
                  </pic:blipFill>
                  <pic:spPr>
                    <a:xfrm>
                      <a:off x="0" y="0"/>
                      <a:ext cx="658495" cy="475615"/>
                    </a:xfrm>
                    <a:prstGeom prst="rect">
                      <a:avLst/>
                    </a:prstGeom>
                  </pic:spPr>
                </pic:pic>
              </a:graphicData>
            </a:graphic>
          </wp:anchor>
        </w:drawing>
      </w:r>
    </w:p>
    <w:p w:rsidR="00215B20" w:rsidRDefault="00FD0AA3">
      <w:pPr>
        <w:pStyle w:val="Zkladntext1"/>
        <w:shd w:val="clear" w:color="auto" w:fill="auto"/>
        <w:spacing w:line="254" w:lineRule="auto"/>
        <w:jc w:val="both"/>
      </w:pPr>
      <w:r>
        <w:t xml:space="preserve">Národní telekomunikační síť poskytovatele je založena na vysokokapacitní DWDM transportní síti s </w:t>
      </w:r>
      <w:r>
        <w:t>kruhovou topologií, na kterou navazují regionální a metropolitní SDH sítě pokrývající významná regionální centra v České republice. V jednotlivých lokalitách je pak na transportní síť napojena vlastní přístupová síť zabezpečující přístupové linky k jednotl</w:t>
      </w:r>
      <w:r>
        <w:t>ivým účastníkům.</w:t>
      </w:r>
    </w:p>
    <w:p w:rsidR="00215B20" w:rsidRDefault="00FD0AA3">
      <w:pPr>
        <w:pStyle w:val="Zkladntext1"/>
        <w:shd w:val="clear" w:color="auto" w:fill="auto"/>
        <w:jc w:val="both"/>
      </w:pPr>
      <w:r>
        <w:t>Pro internetový provoz je klíčová národní kruhová páteřní IP síť a redundantní konektivita do neutrálního propojovacího uzlu NIX.CZ o přenosové kapacitě 2*100 Gbit/s. Mezinárodní konektivita IP sítě poskytovatele je 2*160 Gbit/s s přímým p</w:t>
      </w:r>
      <w:r>
        <w:t xml:space="preserve">ropojením na významná evropská peeringová centra (Amsterdam - AMSIX, Franfurkt - DEÓIX, Vídeň - VIX, Londýn - LINX, Bratislava - </w:t>
      </w:r>
      <w:r w:rsidRPr="00920265">
        <w:rPr>
          <w:lang w:eastAsia="en-US" w:bidi="en-US"/>
        </w:rPr>
        <w:t xml:space="preserve">SIX, </w:t>
      </w:r>
      <w:r>
        <w:t xml:space="preserve">Budapešť - BIX, Varšava - WIX a další) a přímé propojení na servery </w:t>
      </w:r>
      <w:r w:rsidRPr="00920265">
        <w:rPr>
          <w:lang w:eastAsia="en-US" w:bidi="en-US"/>
        </w:rPr>
        <w:t>GOOGLE.</w:t>
      </w:r>
    </w:p>
    <w:p w:rsidR="00215B20" w:rsidRDefault="00FD0AA3">
      <w:pPr>
        <w:pStyle w:val="Zkladntext1"/>
        <w:shd w:val="clear" w:color="auto" w:fill="auto"/>
        <w:spacing w:after="240"/>
        <w:jc w:val="both"/>
      </w:pPr>
      <w:r>
        <w:t>Internetová síť poskytovatele je jednou z cert</w:t>
      </w:r>
      <w:r>
        <w:t xml:space="preserve">ifikovaných sítí Cisco </w:t>
      </w:r>
      <w:r w:rsidRPr="00920265">
        <w:rPr>
          <w:lang w:eastAsia="en-US" w:bidi="en-US"/>
        </w:rPr>
        <w:t xml:space="preserve">Powered </w:t>
      </w:r>
      <w:r>
        <w:t>Network (CPN) ve střední a východní Evropě.</w:t>
      </w:r>
    </w:p>
    <w:p w:rsidR="00215B20" w:rsidRDefault="00FD0AA3">
      <w:pPr>
        <w:pStyle w:val="Nadpis60"/>
        <w:keepNext/>
        <w:keepLines/>
        <w:numPr>
          <w:ilvl w:val="2"/>
          <w:numId w:val="1"/>
        </w:numPr>
        <w:shd w:val="clear" w:color="auto" w:fill="auto"/>
        <w:tabs>
          <w:tab w:val="left" w:pos="670"/>
        </w:tabs>
        <w:spacing w:line="240" w:lineRule="auto"/>
        <w:jc w:val="both"/>
      </w:pPr>
      <w:bookmarkStart w:id="14" w:name="bookmark16"/>
      <w:bookmarkStart w:id="15" w:name="bookmark17"/>
      <w:r>
        <w:rPr>
          <w:color w:val="231F20"/>
        </w:rPr>
        <w:t>Rozhraní Služby</w:t>
      </w:r>
      <w:bookmarkEnd w:id="14"/>
      <w:bookmarkEnd w:id="15"/>
    </w:p>
    <w:p w:rsidR="00215B20" w:rsidRDefault="00FD0AA3">
      <w:pPr>
        <w:pStyle w:val="Zkladntext1"/>
        <w:shd w:val="clear" w:color="auto" w:fill="auto"/>
        <w:spacing w:line="240" w:lineRule="auto"/>
        <w:jc w:val="both"/>
      </w:pPr>
      <w:r>
        <w:t>Služba Profesionální internet dodávaná s koncovým zařízením typu směrovač je poskytována na těchto rozhraních typu Ethernet: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40"/>
        <w:gridCol w:w="6931"/>
      </w:tblGrid>
      <w:tr w:rsidR="00215B20">
        <w:tblPrEx>
          <w:tblCellMar>
            <w:top w:w="0" w:type="dxa"/>
            <w:bottom w:w="0" w:type="dxa"/>
          </w:tblCellMar>
        </w:tblPrEx>
        <w:trPr>
          <w:trHeight w:hRule="exact" w:val="283"/>
          <w:jc w:val="center"/>
        </w:trPr>
        <w:tc>
          <w:tcPr>
            <w:tcW w:w="2640" w:type="dxa"/>
            <w:shd w:val="clear" w:color="auto" w:fill="DE1273"/>
            <w:vAlign w:val="bottom"/>
          </w:tcPr>
          <w:p w:rsidR="00215B20" w:rsidRDefault="00FD0AA3">
            <w:pPr>
              <w:pStyle w:val="Jin0"/>
              <w:pBdr>
                <w:top w:val="single" w:sz="0" w:space="0" w:color="DE1273"/>
                <w:left w:val="single" w:sz="0" w:space="0" w:color="DE1273"/>
                <w:bottom w:val="single" w:sz="0" w:space="0" w:color="DE1273"/>
                <w:right w:val="single" w:sz="0" w:space="0" w:color="DE1273"/>
              </w:pBdr>
              <w:shd w:val="clear" w:color="auto" w:fill="DE1273"/>
              <w:spacing w:after="0" w:line="240" w:lineRule="auto"/>
              <w:jc w:val="center"/>
            </w:pPr>
            <w:r>
              <w:rPr>
                <w:b/>
                <w:bCs/>
                <w:color w:val="FFFFFF"/>
              </w:rPr>
              <w:t>Kapacita přístupové linky</w:t>
            </w:r>
          </w:p>
        </w:tc>
        <w:tc>
          <w:tcPr>
            <w:tcW w:w="6931" w:type="dxa"/>
            <w:shd w:val="clear" w:color="auto" w:fill="DE1273"/>
            <w:vAlign w:val="bottom"/>
          </w:tcPr>
          <w:p w:rsidR="00215B20" w:rsidRDefault="00FD0AA3">
            <w:pPr>
              <w:pStyle w:val="Jin0"/>
              <w:pBdr>
                <w:top w:val="single" w:sz="0" w:space="0" w:color="DE1273"/>
                <w:left w:val="single" w:sz="0" w:space="0" w:color="DE1273"/>
                <w:bottom w:val="single" w:sz="0" w:space="0" w:color="DE1273"/>
                <w:right w:val="single" w:sz="0" w:space="0" w:color="DE1273"/>
              </w:pBdr>
              <w:shd w:val="clear" w:color="auto" w:fill="DE1273"/>
              <w:spacing w:after="0" w:line="240" w:lineRule="auto"/>
              <w:jc w:val="center"/>
            </w:pPr>
            <w:r>
              <w:rPr>
                <w:b/>
                <w:bCs/>
                <w:color w:val="FFFFFF"/>
              </w:rPr>
              <w:t>Rozhraní</w:t>
            </w:r>
          </w:p>
        </w:tc>
      </w:tr>
      <w:tr w:rsidR="00215B20">
        <w:tblPrEx>
          <w:tblCellMar>
            <w:top w:w="0" w:type="dxa"/>
            <w:bottom w:w="0" w:type="dxa"/>
          </w:tblCellMar>
        </w:tblPrEx>
        <w:trPr>
          <w:trHeight w:hRule="exact" w:val="403"/>
          <w:jc w:val="center"/>
        </w:trPr>
        <w:tc>
          <w:tcPr>
            <w:tcW w:w="2640" w:type="dxa"/>
            <w:shd w:val="clear" w:color="auto" w:fill="FFFFFF"/>
            <w:vAlign w:val="center"/>
          </w:tcPr>
          <w:p w:rsidR="00215B20" w:rsidRDefault="00FD0AA3">
            <w:pPr>
              <w:pStyle w:val="Jin0"/>
              <w:shd w:val="clear" w:color="auto" w:fill="auto"/>
              <w:spacing w:after="0" w:line="240" w:lineRule="auto"/>
              <w:jc w:val="center"/>
            </w:pPr>
            <w:r>
              <w:t xml:space="preserve">2 </w:t>
            </w:r>
            <w:r>
              <w:t>MBit/s - 8 Mbit/s</w:t>
            </w:r>
          </w:p>
        </w:tc>
        <w:tc>
          <w:tcPr>
            <w:tcW w:w="6931" w:type="dxa"/>
            <w:shd w:val="clear" w:color="auto" w:fill="FFFFFF"/>
            <w:vAlign w:val="center"/>
          </w:tcPr>
          <w:p w:rsidR="00215B20" w:rsidRDefault="00FD0AA3">
            <w:pPr>
              <w:pStyle w:val="Jin0"/>
              <w:shd w:val="clear" w:color="auto" w:fill="auto"/>
              <w:spacing w:after="0" w:line="240" w:lineRule="auto"/>
              <w:jc w:val="center"/>
            </w:pPr>
            <w:r>
              <w:t>10Base-T nebo 100Base-T</w:t>
            </w:r>
          </w:p>
        </w:tc>
      </w:tr>
      <w:tr w:rsidR="00215B20">
        <w:tblPrEx>
          <w:tblCellMar>
            <w:top w:w="0" w:type="dxa"/>
            <w:bottom w:w="0" w:type="dxa"/>
          </w:tblCellMar>
        </w:tblPrEx>
        <w:trPr>
          <w:trHeight w:hRule="exact" w:val="389"/>
          <w:jc w:val="center"/>
        </w:trPr>
        <w:tc>
          <w:tcPr>
            <w:tcW w:w="2640"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pPr>
            <w:r>
              <w:t>8 Mbit/s - 40 Mbit/s</w:t>
            </w:r>
          </w:p>
        </w:tc>
        <w:tc>
          <w:tcPr>
            <w:tcW w:w="6931"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pPr>
            <w:r>
              <w:t>100Base-T</w:t>
            </w:r>
          </w:p>
        </w:tc>
      </w:tr>
      <w:tr w:rsidR="00215B20">
        <w:tblPrEx>
          <w:tblCellMar>
            <w:top w:w="0" w:type="dxa"/>
            <w:bottom w:w="0" w:type="dxa"/>
          </w:tblCellMar>
        </w:tblPrEx>
        <w:trPr>
          <w:trHeight w:hRule="exact" w:val="379"/>
          <w:jc w:val="center"/>
        </w:trPr>
        <w:tc>
          <w:tcPr>
            <w:tcW w:w="2640" w:type="dxa"/>
            <w:tcBorders>
              <w:top w:val="single" w:sz="4" w:space="0" w:color="auto"/>
            </w:tcBorders>
            <w:shd w:val="clear" w:color="auto" w:fill="FFFFFF"/>
            <w:vAlign w:val="center"/>
          </w:tcPr>
          <w:p w:rsidR="00215B20" w:rsidRDefault="00FD0AA3">
            <w:pPr>
              <w:pStyle w:val="Jin0"/>
              <w:shd w:val="clear" w:color="auto" w:fill="auto"/>
              <w:spacing w:after="0" w:line="240" w:lineRule="auto"/>
              <w:jc w:val="center"/>
            </w:pPr>
            <w:r>
              <w:t>50 Mbit/s a více</w:t>
            </w:r>
          </w:p>
        </w:tc>
        <w:tc>
          <w:tcPr>
            <w:tcW w:w="6931" w:type="dxa"/>
            <w:tcBorders>
              <w:top w:val="single" w:sz="4" w:space="0" w:color="auto"/>
            </w:tcBorders>
            <w:shd w:val="clear" w:color="auto" w:fill="FFFFFF"/>
            <w:vAlign w:val="center"/>
          </w:tcPr>
          <w:p w:rsidR="00215B20" w:rsidRDefault="00FD0AA3">
            <w:pPr>
              <w:pStyle w:val="Jin0"/>
              <w:shd w:val="clear" w:color="auto" w:fill="auto"/>
              <w:spacing w:after="0" w:line="240" w:lineRule="auto"/>
              <w:jc w:val="center"/>
            </w:pPr>
            <w:r>
              <w:t xml:space="preserve">100Base-T nebo </w:t>
            </w:r>
            <w:r w:rsidRPr="00920265">
              <w:rPr>
                <w:lang w:val="fr-FR" w:eastAsia="en-US" w:bidi="en-US"/>
              </w:rPr>
              <w:t xml:space="preserve">Gigabit </w:t>
            </w:r>
            <w:r>
              <w:t>Ethernet</w:t>
            </w:r>
          </w:p>
        </w:tc>
      </w:tr>
    </w:tbl>
    <w:p w:rsidR="00215B20" w:rsidRDefault="00215B20">
      <w:pPr>
        <w:spacing w:after="279" w:line="1" w:lineRule="exact"/>
      </w:pPr>
    </w:p>
    <w:p w:rsidR="00215B20" w:rsidRDefault="00FD0AA3">
      <w:pPr>
        <w:pStyle w:val="Nadpis60"/>
        <w:keepNext/>
        <w:keepLines/>
        <w:numPr>
          <w:ilvl w:val="2"/>
          <w:numId w:val="1"/>
        </w:numPr>
        <w:shd w:val="clear" w:color="auto" w:fill="auto"/>
        <w:tabs>
          <w:tab w:val="left" w:pos="670"/>
        </w:tabs>
        <w:spacing w:line="257" w:lineRule="auto"/>
        <w:jc w:val="both"/>
      </w:pPr>
      <w:bookmarkStart w:id="16" w:name="bookmark18"/>
      <w:bookmarkStart w:id="17" w:name="bookmark19"/>
      <w:r>
        <w:rPr>
          <w:color w:val="231F20"/>
        </w:rPr>
        <w:t>Přípojky</w:t>
      </w:r>
      <w:bookmarkEnd w:id="16"/>
      <w:bookmarkEnd w:id="17"/>
    </w:p>
    <w:p w:rsidR="00215B20" w:rsidRDefault="00FD0AA3">
      <w:pPr>
        <w:pStyle w:val="Zkladntext1"/>
        <w:shd w:val="clear" w:color="auto" w:fill="auto"/>
        <w:spacing w:after="240"/>
        <w:jc w:val="both"/>
      </w:pPr>
      <w:r>
        <w:t xml:space="preserve">Kapacita přípojky je stanovena na fyzické vrstvě OSI modelu. Skutečně dosahovaná rychlost je nižší o režijní provoz </w:t>
      </w:r>
      <w:r>
        <w:t>vyšších vrstev.</w:t>
      </w:r>
    </w:p>
    <w:p w:rsidR="00215B20" w:rsidRDefault="00FD0AA3">
      <w:pPr>
        <w:pStyle w:val="Nadpis60"/>
        <w:keepNext/>
        <w:keepLines/>
        <w:numPr>
          <w:ilvl w:val="2"/>
          <w:numId w:val="1"/>
        </w:numPr>
        <w:shd w:val="clear" w:color="auto" w:fill="auto"/>
        <w:tabs>
          <w:tab w:val="left" w:pos="670"/>
        </w:tabs>
        <w:spacing w:line="257" w:lineRule="auto"/>
        <w:jc w:val="both"/>
      </w:pPr>
      <w:bookmarkStart w:id="18" w:name="bookmark20"/>
      <w:bookmarkStart w:id="19" w:name="bookmark21"/>
      <w:r>
        <w:rPr>
          <w:color w:val="231F20"/>
        </w:rPr>
        <w:t>Zřízeni Služby</w:t>
      </w:r>
      <w:bookmarkEnd w:id="18"/>
      <w:bookmarkEnd w:id="19"/>
    </w:p>
    <w:p w:rsidR="00215B20" w:rsidRDefault="00FD0AA3">
      <w:pPr>
        <w:pStyle w:val="Zkladntext1"/>
        <w:shd w:val="clear" w:color="auto" w:fill="auto"/>
        <w:spacing w:after="240" w:line="262" w:lineRule="auto"/>
        <w:jc w:val="both"/>
      </w:pPr>
      <w:r>
        <w:t>Služba je zřízena a předána Smluvnímu partnerovi do provozu následně po uskutečnění měření přístupového okruhu, které ověřuje jeho funkčnost a kvalitativní parametry a/nebo testováním IP konektivity pomocí ICMP pingů mezi kon</w:t>
      </w:r>
      <w:r>
        <w:t>covými body.</w:t>
      </w:r>
    </w:p>
    <w:p w:rsidR="00215B20" w:rsidRDefault="00FD0AA3">
      <w:pPr>
        <w:pStyle w:val="Nadpis60"/>
        <w:keepNext/>
        <w:keepLines/>
        <w:numPr>
          <w:ilvl w:val="1"/>
          <w:numId w:val="1"/>
        </w:numPr>
        <w:shd w:val="clear" w:color="auto" w:fill="auto"/>
        <w:tabs>
          <w:tab w:val="left" w:pos="509"/>
        </w:tabs>
        <w:spacing w:line="257" w:lineRule="auto"/>
        <w:jc w:val="both"/>
      </w:pPr>
      <w:bookmarkStart w:id="20" w:name="bookmark22"/>
      <w:bookmarkStart w:id="21" w:name="bookmark23"/>
      <w:r>
        <w:rPr>
          <w:color w:val="231F20"/>
        </w:rPr>
        <w:t xml:space="preserve">Dostupnost Služby - </w:t>
      </w:r>
      <w:r>
        <w:rPr>
          <w:color w:val="231F20"/>
          <w:lang w:val="en-US" w:eastAsia="en-US" w:bidi="en-US"/>
        </w:rPr>
        <w:t>SLA (Service Level Agreement)</w:t>
      </w:r>
      <w:bookmarkEnd w:id="20"/>
      <w:bookmarkEnd w:id="21"/>
    </w:p>
    <w:p w:rsidR="00215B20" w:rsidRDefault="00FD0AA3">
      <w:pPr>
        <w:pStyle w:val="Zkladntext1"/>
        <w:shd w:val="clear" w:color="auto" w:fill="auto"/>
        <w:spacing w:after="0" w:line="254" w:lineRule="auto"/>
        <w:jc w:val="both"/>
      </w:pPr>
      <w:r>
        <w:t>Veškeré informace týkající se definice a dodržování parametru dostupnosti Služby jsou společné pro všechny datové</w:t>
      </w:r>
    </w:p>
    <w:p w:rsidR="00215B20" w:rsidRDefault="00FD0AA3">
      <w:pPr>
        <w:pStyle w:val="Zkladntext1"/>
        <w:shd w:val="clear" w:color="auto" w:fill="auto"/>
        <w:spacing w:line="254" w:lineRule="auto"/>
        <w:jc w:val="both"/>
      </w:pPr>
      <w:r>
        <w:t>a internetové Služby poskytovatele a jsou uvedeny v Obchodních podmínkách smlou</w:t>
      </w:r>
      <w:r>
        <w:t xml:space="preserve">vy o firemním řešení společnosti </w:t>
      </w:r>
      <w:proofErr w:type="gramStart"/>
      <w:r>
        <w:t>T-Mobile</w:t>
      </w:r>
      <w:proofErr w:type="gramEnd"/>
      <w:r>
        <w:t xml:space="preserve"> a v platném Popisu služby SLA.</w:t>
      </w:r>
    </w:p>
    <w:p w:rsidR="00215B20" w:rsidRDefault="00FD0AA3">
      <w:pPr>
        <w:pStyle w:val="Zkladntext1"/>
        <w:shd w:val="clear" w:color="auto" w:fill="auto"/>
        <w:spacing w:after="240"/>
        <w:jc w:val="both"/>
      </w:pPr>
      <w:r>
        <w:t>Smluvní partner je oprávněn si vybrat příslušnou úroveň garance Služby (SLA) v závislosti na typu přípojky Služby Profesionální internet stím, že konkrétní stupeň SLA (95,00%, 99,00%,</w:t>
      </w:r>
      <w:r>
        <w:t xml:space="preserve"> 99,50%, 99,70%, 99,90%, 99,99%) je pro jednotlivou Službu Profesionální internet stanoven v příslušné Specifikaci služby Profesionální internet uzavřené mezi poskytovatelem a Smluvním partnerem.</w:t>
      </w:r>
    </w:p>
    <w:p w:rsidR="00215B20" w:rsidRDefault="00FD0AA3">
      <w:pPr>
        <w:pStyle w:val="Zkladntext1"/>
        <w:numPr>
          <w:ilvl w:val="1"/>
          <w:numId w:val="1"/>
        </w:numPr>
        <w:shd w:val="clear" w:color="auto" w:fill="auto"/>
        <w:tabs>
          <w:tab w:val="left" w:pos="509"/>
        </w:tabs>
        <w:spacing w:after="240"/>
        <w:jc w:val="both"/>
      </w:pPr>
      <w:r>
        <w:rPr>
          <w:b/>
          <w:bCs/>
        </w:rPr>
        <w:t>Další povinnosti Smluvního partnera</w:t>
      </w:r>
    </w:p>
    <w:p w:rsidR="00215B20" w:rsidRDefault="00FD0AA3">
      <w:pPr>
        <w:pStyle w:val="Nadpis60"/>
        <w:keepNext/>
        <w:keepLines/>
        <w:numPr>
          <w:ilvl w:val="2"/>
          <w:numId w:val="1"/>
        </w:numPr>
        <w:shd w:val="clear" w:color="auto" w:fill="auto"/>
        <w:tabs>
          <w:tab w:val="left" w:pos="670"/>
        </w:tabs>
        <w:spacing w:line="257" w:lineRule="auto"/>
        <w:jc w:val="both"/>
      </w:pPr>
      <w:bookmarkStart w:id="22" w:name="bookmark24"/>
      <w:bookmarkStart w:id="23" w:name="bookmark25"/>
      <w:r>
        <w:rPr>
          <w:color w:val="231F20"/>
        </w:rPr>
        <w:t>Povinnosti Smluvního par</w:t>
      </w:r>
      <w:r>
        <w:rPr>
          <w:color w:val="231F20"/>
        </w:rPr>
        <w:t>tnera</w:t>
      </w:r>
      <w:bookmarkEnd w:id="22"/>
      <w:bookmarkEnd w:id="23"/>
    </w:p>
    <w:p w:rsidR="00215B20" w:rsidRDefault="00FD0AA3">
      <w:pPr>
        <w:pStyle w:val="Zkladntext1"/>
        <w:shd w:val="clear" w:color="auto" w:fill="auto"/>
        <w:spacing w:line="254" w:lineRule="auto"/>
        <w:jc w:val="both"/>
      </w:pPr>
      <w:r>
        <w:t>Smluvní partner se zavazuje po ukončení poskytování Služeb poskytovatelem dle smlouvy/Specifikace služby vrátit předmětné IP adresy zpět poskytovateli. Smluvní partner bere na vědomí, že jejich převoditelnost na Smluvního partnera je vyloučena.</w:t>
      </w:r>
    </w:p>
    <w:p w:rsidR="00215B20" w:rsidRDefault="00FD0AA3">
      <w:pPr>
        <w:pStyle w:val="Zkladntext1"/>
        <w:shd w:val="clear" w:color="auto" w:fill="auto"/>
        <w:spacing w:after="240"/>
        <w:jc w:val="both"/>
      </w:pPr>
      <w:r>
        <w:t>Smluv</w:t>
      </w:r>
      <w:r>
        <w:t>ní partner je povinen zajistit síť a servery tak, aby zamezil třetím osobám, zneužívat poskytovanou Službu Profesionální internet.</w:t>
      </w:r>
    </w:p>
    <w:p w:rsidR="00215B20" w:rsidRDefault="00FD0AA3">
      <w:pPr>
        <w:pStyle w:val="Nadpis60"/>
        <w:keepNext/>
        <w:keepLines/>
        <w:numPr>
          <w:ilvl w:val="2"/>
          <w:numId w:val="1"/>
        </w:numPr>
        <w:shd w:val="clear" w:color="auto" w:fill="auto"/>
        <w:tabs>
          <w:tab w:val="left" w:pos="670"/>
        </w:tabs>
        <w:spacing w:line="257" w:lineRule="auto"/>
        <w:jc w:val="both"/>
      </w:pPr>
      <w:bookmarkStart w:id="24" w:name="bookmark26"/>
      <w:bookmarkStart w:id="25" w:name="bookmark27"/>
      <w:r>
        <w:rPr>
          <w:color w:val="231F20"/>
        </w:rPr>
        <w:t>Oprávnění poskytovatele</w:t>
      </w:r>
      <w:bookmarkEnd w:id="24"/>
      <w:bookmarkEnd w:id="25"/>
    </w:p>
    <w:p w:rsidR="00215B20" w:rsidRDefault="00FD0AA3">
      <w:pPr>
        <w:pStyle w:val="Zkladntext1"/>
        <w:shd w:val="clear" w:color="auto" w:fill="auto"/>
        <w:spacing w:after="240"/>
        <w:jc w:val="both"/>
      </w:pPr>
      <w:r>
        <w:t xml:space="preserve">Poskytovatel je oprávněn pozastavit přístup Smluvního partnera ke Službám poskytovaným dle </w:t>
      </w:r>
      <w:r>
        <w:t xml:space="preserve">smlouvy/Specifikace služby v případě, že Smluvní partner poruší své smluvní povinnosti, resp. v případě, že třetí osoba smluvně spojená se Smluvním partnerem využívá poskytovanou Službu Profesionální internet v rozporu s příslušnými ustanoveními Smluvních </w:t>
      </w:r>
      <w:r>
        <w:t>dokumentů, zejména v rozporu s příslušnými ustanoveními Smlouvy, Obchodních podmínek smlouvy o firemním řešení a/nebo tohoto Popisu Služby Profesionální internet.</w:t>
      </w:r>
    </w:p>
    <w:p w:rsidR="00215B20" w:rsidRDefault="00FD0AA3">
      <w:pPr>
        <w:pStyle w:val="Nadpis60"/>
        <w:keepNext/>
        <w:keepLines/>
        <w:numPr>
          <w:ilvl w:val="1"/>
          <w:numId w:val="1"/>
        </w:numPr>
        <w:shd w:val="clear" w:color="auto" w:fill="auto"/>
        <w:tabs>
          <w:tab w:val="left" w:pos="509"/>
        </w:tabs>
        <w:spacing w:line="257" w:lineRule="auto"/>
        <w:jc w:val="both"/>
      </w:pPr>
      <w:bookmarkStart w:id="26" w:name="bookmark28"/>
      <w:bookmarkStart w:id="27" w:name="bookmark29"/>
      <w:r>
        <w:rPr>
          <w:color w:val="231F20"/>
        </w:rPr>
        <w:t xml:space="preserve">Přípojka s </w:t>
      </w:r>
      <w:proofErr w:type="gramStart"/>
      <w:r>
        <w:rPr>
          <w:color w:val="231F20"/>
        </w:rPr>
        <w:t>95%</w:t>
      </w:r>
      <w:proofErr w:type="gramEnd"/>
      <w:r>
        <w:rPr>
          <w:color w:val="231F20"/>
        </w:rPr>
        <w:t xml:space="preserve"> percentilem</w:t>
      </w:r>
      <w:bookmarkEnd w:id="26"/>
      <w:bookmarkEnd w:id="27"/>
    </w:p>
    <w:p w:rsidR="00215B20" w:rsidRDefault="00FD0AA3">
      <w:pPr>
        <w:pStyle w:val="Zkladntext1"/>
        <w:shd w:val="clear" w:color="auto" w:fill="auto"/>
        <w:spacing w:line="254" w:lineRule="auto"/>
        <w:jc w:val="both"/>
      </w:pPr>
      <w:r>
        <w:t xml:space="preserve">Přípojka s </w:t>
      </w:r>
      <w:proofErr w:type="gramStart"/>
      <w:r>
        <w:t>95%</w:t>
      </w:r>
      <w:proofErr w:type="gramEnd"/>
      <w:r>
        <w:t xml:space="preserve"> percentilem je Služba určená všem, kdo potřebují ná</w:t>
      </w:r>
      <w:r>
        <w:t>razově navyšovat kapacitu svého připojení a současně optimalizovat své náklady na telekomunikační Služby.</w:t>
      </w:r>
    </w:p>
    <w:p w:rsidR="00215B20" w:rsidRDefault="00FD0AA3">
      <w:pPr>
        <w:pStyle w:val="Zkladntext1"/>
        <w:shd w:val="clear" w:color="auto" w:fill="auto"/>
        <w:jc w:val="both"/>
      </w:pPr>
      <w:r>
        <w:t xml:space="preserve">Přípojka s </w:t>
      </w:r>
      <w:proofErr w:type="gramStart"/>
      <w:r>
        <w:t>95%</w:t>
      </w:r>
      <w:proofErr w:type="gramEnd"/>
      <w:r>
        <w:t xml:space="preserve"> percentilem umožňuje navýšení kapacity přípojky dle momentálních požadavků Smluvního partnera. Ve Specifikaci služby je sjednána Standa</w:t>
      </w:r>
      <w:r>
        <w:t>rdní (základní) kapacita Služby, současně i racionálně zvolená Maximální (portová) kapacita Služby, kterou Smluvní partner bude chtít využívat a cena za 1 Mbps nadlimitně využité kapacity.</w:t>
      </w:r>
    </w:p>
    <w:p w:rsidR="00215B20" w:rsidRDefault="00FD0AA3">
      <w:pPr>
        <w:spacing w:line="1" w:lineRule="exact"/>
      </w:pPr>
      <w:r>
        <w:rPr>
          <w:noProof/>
          <w:lang w:bidi="ar-SA"/>
        </w:rPr>
        <mc:AlternateContent>
          <mc:Choice Requires="wps">
            <w:drawing>
              <wp:anchor distT="337820" distB="597535" distL="0" distR="0" simplePos="0" relativeHeight="125829381" behindDoc="0" locked="0" layoutInCell="1" allowOverlap="1">
                <wp:simplePos x="0" y="0"/>
                <wp:positionH relativeFrom="page">
                  <wp:posOffset>2279015</wp:posOffset>
                </wp:positionH>
                <wp:positionV relativeFrom="paragraph">
                  <wp:posOffset>337820</wp:posOffset>
                </wp:positionV>
                <wp:extent cx="408305" cy="536575"/>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408305" cy="536575"/>
                        </a:xfrm>
                        <a:prstGeom prst="rect">
                          <a:avLst/>
                        </a:prstGeom>
                        <a:noFill/>
                      </wps:spPr>
                      <wps:txbx>
                        <w:txbxContent>
                          <w:p w:rsidR="00215B20" w:rsidRDefault="00FD0AA3">
                            <w:pPr>
                              <w:pStyle w:val="Zkladntext1"/>
                              <w:shd w:val="clear" w:color="auto" w:fill="auto"/>
                              <w:spacing w:after="440" w:line="240" w:lineRule="auto"/>
                            </w:pPr>
                            <w:r>
                              <w:rPr>
                                <w:b/>
                                <w:bCs/>
                                <w:color w:val="B0C786"/>
                              </w:rPr>
                              <w:t>30Mbps</w:t>
                            </w:r>
                          </w:p>
                          <w:p w:rsidR="00215B20" w:rsidRDefault="00FD0AA3">
                            <w:pPr>
                              <w:pStyle w:val="Nadpis60"/>
                              <w:keepNext/>
                              <w:keepLines/>
                              <w:shd w:val="clear" w:color="auto" w:fill="auto"/>
                              <w:spacing w:after="0" w:line="240" w:lineRule="auto"/>
                            </w:pPr>
                            <w:bookmarkStart w:id="28" w:name="bookmark0"/>
                            <w:bookmarkStart w:id="29" w:name="bookmark1"/>
                            <w:r>
                              <w:rPr>
                                <w:color w:val="E97423"/>
                              </w:rPr>
                              <w:t>10Mbps</w:t>
                            </w:r>
                            <w:bookmarkEnd w:id="28"/>
                            <w:bookmarkEnd w:id="29"/>
                          </w:p>
                        </w:txbxContent>
                      </wps:txbx>
                      <wps:bodyPr lIns="0" tIns="0" rIns="0" bIns="0"/>
                    </wps:wsp>
                  </a:graphicData>
                </a:graphic>
              </wp:anchor>
            </w:drawing>
          </mc:Choice>
          <mc:Fallback>
            <w:pict>
              <v:shape id="_x0000_s1044" type="#_x0000_t202" style="position:absolute;margin-left:179.44999999999999pt;margin-top:26.600000000000001pt;width:32.149999999999999pt;height:42.25pt;z-index:-125829372;mso-wrap-distance-left:0;mso-wrap-distance-top:26.600000000000001pt;mso-wrap-distance-right:0;mso-wrap-distance-bottom:47.049999999999997pt;mso-position-horizontal-relative:page" filled="f" stroked="f">
                <v:textbox inset="0,0,0,0">
                  <w:txbxContent>
                    <w:p>
                      <w:pPr>
                        <w:pStyle w:val="Style20"/>
                        <w:keepNext w:val="0"/>
                        <w:keepLines w:val="0"/>
                        <w:widowControl w:val="0"/>
                        <w:shd w:val="clear" w:color="auto" w:fill="auto"/>
                        <w:bidi w:val="0"/>
                        <w:spacing w:before="0" w:after="440" w:line="240" w:lineRule="auto"/>
                        <w:ind w:left="0" w:right="0" w:firstLine="0"/>
                        <w:jc w:val="left"/>
                      </w:pPr>
                      <w:r>
                        <w:rPr>
                          <w:b/>
                          <w:bCs/>
                          <w:color w:val="B0C786"/>
                          <w:spacing w:val="0"/>
                          <w:w w:val="100"/>
                          <w:position w:val="0"/>
                          <w:shd w:val="clear" w:color="auto" w:fill="auto"/>
                          <w:lang w:val="cs-CZ" w:eastAsia="cs-CZ" w:bidi="cs-CZ"/>
                        </w:rPr>
                        <w:t>30Mbps</w:t>
                      </w:r>
                    </w:p>
                    <w:p>
                      <w:pPr>
                        <w:pStyle w:val="Style23"/>
                        <w:keepNext/>
                        <w:keepLines/>
                        <w:widowControl w:val="0"/>
                        <w:shd w:val="clear" w:color="auto" w:fill="auto"/>
                        <w:bidi w:val="0"/>
                        <w:spacing w:before="0" w:after="0" w:line="240" w:lineRule="auto"/>
                        <w:ind w:left="0" w:right="0" w:firstLine="0"/>
                        <w:jc w:val="left"/>
                      </w:pPr>
                      <w:bookmarkStart w:id="0" w:name="bookmark0"/>
                      <w:bookmarkStart w:id="1" w:name="bookmark1"/>
                      <w:r>
                        <w:rPr>
                          <w:color w:val="E97423"/>
                          <w:spacing w:val="0"/>
                          <w:w w:val="100"/>
                          <w:position w:val="0"/>
                          <w:shd w:val="clear" w:color="auto" w:fill="auto"/>
                          <w:lang w:val="cs-CZ" w:eastAsia="cs-CZ" w:bidi="cs-CZ"/>
                        </w:rPr>
                        <w:t>10Mbps</w:t>
                      </w:r>
                      <w:bookmarkEnd w:id="0"/>
                      <w:bookmarkEnd w:id="1"/>
                    </w:p>
                  </w:txbxContent>
                </v:textbox>
                <w10:wrap type="topAndBottom" anchorx="page"/>
              </v:shape>
            </w:pict>
          </mc:Fallback>
        </mc:AlternateContent>
      </w:r>
      <w:r>
        <w:rPr>
          <w:noProof/>
          <w:lang w:bidi="ar-SA"/>
        </w:rPr>
        <mc:AlternateContent>
          <mc:Choice Requires="wps">
            <w:drawing>
              <wp:anchor distT="313690" distB="1017905" distL="0" distR="0" simplePos="0" relativeHeight="125829383" behindDoc="0" locked="0" layoutInCell="1" allowOverlap="1">
                <wp:simplePos x="0" y="0"/>
                <wp:positionH relativeFrom="page">
                  <wp:posOffset>4373245</wp:posOffset>
                </wp:positionH>
                <wp:positionV relativeFrom="paragraph">
                  <wp:posOffset>313690</wp:posOffset>
                </wp:positionV>
                <wp:extent cx="701040" cy="140335"/>
                <wp:effectExtent l="0" t="0" r="0" b="0"/>
                <wp:wrapTopAndBottom/>
                <wp:docPr id="20" name="Shape 20"/>
                <wp:cNvGraphicFramePr/>
                <a:graphic xmlns:a="http://schemas.openxmlformats.org/drawingml/2006/main">
                  <a:graphicData uri="http://schemas.microsoft.com/office/word/2010/wordprocessingShape">
                    <wps:wsp>
                      <wps:cNvSpPr txBox="1"/>
                      <wps:spPr>
                        <a:xfrm>
                          <a:off x="0" y="0"/>
                          <a:ext cx="701040" cy="140335"/>
                        </a:xfrm>
                        <a:prstGeom prst="rect">
                          <a:avLst/>
                        </a:prstGeom>
                        <a:noFill/>
                      </wps:spPr>
                      <wps:txbx>
                        <w:txbxContent>
                          <w:p w:rsidR="00215B20" w:rsidRDefault="00FD0AA3">
                            <w:pPr>
                              <w:pStyle w:val="Zkladntext40"/>
                              <w:pBdr>
                                <w:top w:val="single" w:sz="0" w:space="0" w:color="95C854"/>
                                <w:left w:val="single" w:sz="0" w:space="0" w:color="95C854"/>
                                <w:bottom w:val="single" w:sz="0" w:space="0" w:color="95C854"/>
                                <w:right w:val="single" w:sz="0" w:space="0" w:color="95C854"/>
                              </w:pBdr>
                              <w:shd w:val="clear" w:color="auto" w:fill="95C854"/>
                              <w:spacing w:after="0"/>
                              <w:ind w:left="0"/>
                            </w:pPr>
                            <w:r>
                              <w:rPr>
                                <w:b/>
                                <w:bCs/>
                                <w:color w:val="D1F0A7"/>
                                <w:lang w:val="cs-CZ" w:eastAsia="cs-CZ" w:bidi="cs-CZ"/>
                              </w:rPr>
                              <w:t>Maximální kapacita</w:t>
                            </w:r>
                          </w:p>
                        </w:txbxContent>
                      </wps:txbx>
                      <wps:bodyPr wrap="none" lIns="0" tIns="0" rIns="0" bIns="0"/>
                    </wps:wsp>
                  </a:graphicData>
                </a:graphic>
              </wp:anchor>
            </w:drawing>
          </mc:Choice>
          <mc:Fallback>
            <w:pict>
              <v:shape id="_x0000_s1046" type="#_x0000_t202" style="position:absolute;margin-left:344.35000000000002pt;margin-top:24.699999999999999pt;width:55.200000000000003pt;height:11.050000000000001pt;z-index:-125829370;mso-wrap-distance-left:0;mso-wrap-distance-top:24.699999999999999pt;mso-wrap-distance-right:0;mso-wrap-distance-bottom:80.150000000000006pt;mso-position-horizontal-relative:page" filled="f" stroked="f">
                <v:textbox inset="0,0,0,0">
                  <w:txbxContent>
                    <w:p>
                      <w:pPr>
                        <w:pStyle w:val="Style26"/>
                        <w:keepNext w:val="0"/>
                        <w:keepLines w:val="0"/>
                        <w:widowControl w:val="0"/>
                        <w:pBdr>
                          <w:top w:val="single" w:sz="0" w:space="0" w:color="95C854"/>
                          <w:left w:val="single" w:sz="0" w:space="0" w:color="95C854"/>
                          <w:bottom w:val="single" w:sz="0" w:space="0" w:color="95C854"/>
                          <w:right w:val="single" w:sz="0" w:space="0" w:color="95C854"/>
                        </w:pBdr>
                        <w:shd w:val="clear" w:color="auto" w:fill="95C854"/>
                        <w:bidi w:val="0"/>
                        <w:spacing w:before="0" w:after="0" w:line="240" w:lineRule="auto"/>
                        <w:ind w:left="0" w:right="0" w:firstLine="0"/>
                        <w:jc w:val="left"/>
                      </w:pPr>
                      <w:r>
                        <w:rPr>
                          <w:b/>
                          <w:bCs/>
                          <w:color w:val="D1F0A7"/>
                          <w:spacing w:val="0"/>
                          <w:w w:val="100"/>
                          <w:position w:val="0"/>
                          <w:shd w:val="clear" w:color="auto" w:fill="auto"/>
                          <w:lang w:val="cs-CZ" w:eastAsia="cs-CZ" w:bidi="cs-CZ"/>
                        </w:rPr>
                        <w:t>Maximální kapacita</w:t>
                      </w:r>
                    </w:p>
                  </w:txbxContent>
                </v:textbox>
                <w10:wrap type="topAndBottom" anchorx="page"/>
              </v:shape>
            </w:pict>
          </mc:Fallback>
        </mc:AlternateContent>
      </w:r>
      <w:r>
        <w:rPr>
          <w:noProof/>
          <w:lang w:bidi="ar-SA"/>
        </w:rPr>
        <mc:AlternateContent>
          <mc:Choice Requires="wps">
            <w:drawing>
              <wp:anchor distT="505460" distB="490855" distL="52070" distR="30480" simplePos="0" relativeHeight="125829385" behindDoc="0" locked="0" layoutInCell="1" allowOverlap="1">
                <wp:simplePos x="0" y="0"/>
                <wp:positionH relativeFrom="page">
                  <wp:posOffset>2834005</wp:posOffset>
                </wp:positionH>
                <wp:positionV relativeFrom="paragraph">
                  <wp:posOffset>505460</wp:posOffset>
                </wp:positionV>
                <wp:extent cx="1447800" cy="475615"/>
                <wp:effectExtent l="0" t="0" r="0" b="0"/>
                <wp:wrapTopAndBottom/>
                <wp:docPr id="22" name="Shape 22"/>
                <wp:cNvGraphicFramePr/>
                <a:graphic xmlns:a="http://schemas.openxmlformats.org/drawingml/2006/main">
                  <a:graphicData uri="http://schemas.microsoft.com/office/word/2010/wordprocessingShape">
                    <wps:wsp>
                      <wps:cNvSpPr txBox="1"/>
                      <wps:spPr>
                        <a:xfrm>
                          <a:off x="0" y="0"/>
                          <a:ext cx="1447800" cy="47561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35"/>
                              <w:gridCol w:w="1805"/>
                              <w:gridCol w:w="240"/>
                            </w:tblGrid>
                            <w:tr w:rsidR="00215B20">
                              <w:tblPrEx>
                                <w:tblCellMar>
                                  <w:top w:w="0" w:type="dxa"/>
                                  <w:bottom w:w="0" w:type="dxa"/>
                                </w:tblCellMar>
                              </w:tblPrEx>
                              <w:trPr>
                                <w:trHeight w:hRule="exact" w:val="341"/>
                                <w:tblHeader/>
                              </w:trPr>
                              <w:tc>
                                <w:tcPr>
                                  <w:tcW w:w="235" w:type="dxa"/>
                                  <w:shd w:val="clear" w:color="auto" w:fill="E97425"/>
                                  <w:vAlign w:val="bottom"/>
                                </w:tcPr>
                                <w:p w:rsidR="00215B20" w:rsidRDefault="00FD0AA3">
                                  <w:pPr>
                                    <w:pStyle w:val="Jin0"/>
                                    <w:pBdr>
                                      <w:top w:val="single" w:sz="0" w:space="0" w:color="E97425"/>
                                      <w:left w:val="single" w:sz="0" w:space="0" w:color="E97425"/>
                                      <w:bottom w:val="single" w:sz="0" w:space="0" w:color="E97425"/>
                                      <w:right w:val="single" w:sz="0" w:space="0" w:color="E97425"/>
                                    </w:pBdr>
                                    <w:shd w:val="clear" w:color="auto" w:fill="E97425"/>
                                    <w:spacing w:after="0" w:line="240" w:lineRule="auto"/>
                                    <w:rPr>
                                      <w:sz w:val="78"/>
                                      <w:szCs w:val="78"/>
                                    </w:rPr>
                                  </w:pPr>
                                  <w:r>
                                    <w:rPr>
                                      <w:color w:val="FFFFFF"/>
                                      <w:sz w:val="78"/>
                                      <w:szCs w:val="78"/>
                                    </w:rPr>
                                    <w:t>r</w:t>
                                  </w:r>
                                </w:p>
                              </w:tc>
                              <w:tc>
                                <w:tcPr>
                                  <w:tcW w:w="1805" w:type="dxa"/>
                                  <w:shd w:val="clear" w:color="auto" w:fill="E97425"/>
                                  <w:vAlign w:val="bottom"/>
                                </w:tcPr>
                                <w:p w:rsidR="00215B20" w:rsidRDefault="00FD0AA3">
                                  <w:pPr>
                                    <w:pStyle w:val="Jin0"/>
                                    <w:pBdr>
                                      <w:top w:val="single" w:sz="0" w:space="0" w:color="E97425"/>
                                      <w:left w:val="single" w:sz="0" w:space="0" w:color="E97425"/>
                                      <w:bottom w:val="single" w:sz="0" w:space="0" w:color="E97425"/>
                                      <w:right w:val="single" w:sz="0" w:space="0" w:color="E97425"/>
                                    </w:pBdr>
                                    <w:shd w:val="clear" w:color="auto" w:fill="E97425"/>
                                    <w:spacing w:after="0" w:line="240" w:lineRule="auto"/>
                                    <w:rPr>
                                      <w:sz w:val="13"/>
                                      <w:szCs w:val="13"/>
                                    </w:rPr>
                                  </w:pPr>
                                  <w:r>
                                    <w:rPr>
                                      <w:color w:val="FAE2C1"/>
                                      <w:sz w:val="13"/>
                                      <w:szCs w:val="13"/>
                                    </w:rPr>
                                    <w:t>"Základní kapacita</w:t>
                                  </w:r>
                                </w:p>
                              </w:tc>
                              <w:tc>
                                <w:tcPr>
                                  <w:tcW w:w="240" w:type="dxa"/>
                                  <w:shd w:val="clear" w:color="auto" w:fill="E97425"/>
                                </w:tcPr>
                                <w:p w:rsidR="00215B20" w:rsidRDefault="00215B20">
                                  <w:pPr>
                                    <w:rPr>
                                      <w:sz w:val="10"/>
                                      <w:szCs w:val="10"/>
                                    </w:rPr>
                                  </w:pPr>
                                </w:p>
                              </w:tc>
                            </w:tr>
                            <w:tr w:rsidR="00215B20">
                              <w:tblPrEx>
                                <w:tblCellMar>
                                  <w:top w:w="0" w:type="dxa"/>
                                  <w:bottom w:w="0" w:type="dxa"/>
                                </w:tblCellMar>
                              </w:tblPrEx>
                              <w:trPr>
                                <w:trHeight w:hRule="exact" w:val="149"/>
                              </w:trPr>
                              <w:tc>
                                <w:tcPr>
                                  <w:tcW w:w="235" w:type="dxa"/>
                                  <w:shd w:val="clear" w:color="auto" w:fill="E97425"/>
                                  <w:vAlign w:val="bottom"/>
                                </w:tcPr>
                                <w:p w:rsidR="00215B20" w:rsidRDefault="00FD0AA3">
                                  <w:pPr>
                                    <w:pStyle w:val="Jin0"/>
                                    <w:pBdr>
                                      <w:top w:val="single" w:sz="0" w:space="0" w:color="E97424"/>
                                      <w:left w:val="single" w:sz="0" w:space="0" w:color="E97424"/>
                                      <w:bottom w:val="single" w:sz="0" w:space="0" w:color="E97424"/>
                                      <w:right w:val="single" w:sz="0" w:space="0" w:color="E97424"/>
                                    </w:pBdr>
                                    <w:shd w:val="clear" w:color="auto" w:fill="E97424"/>
                                    <w:spacing w:after="0" w:line="240" w:lineRule="auto"/>
                                    <w:rPr>
                                      <w:sz w:val="13"/>
                                      <w:szCs w:val="13"/>
                                    </w:rPr>
                                  </w:pPr>
                                  <w:r>
                                    <w:rPr>
                                      <w:color w:val="D1F0A7"/>
                                      <w:sz w:val="13"/>
                                      <w:szCs w:val="13"/>
                                    </w:rPr>
                                    <w:t>L</w:t>
                                  </w:r>
                                </w:p>
                              </w:tc>
                              <w:tc>
                                <w:tcPr>
                                  <w:tcW w:w="1805" w:type="dxa"/>
                                  <w:shd w:val="clear" w:color="auto" w:fill="E97425"/>
                                  <w:vAlign w:val="bottom"/>
                                </w:tcPr>
                                <w:p w:rsidR="00215B20" w:rsidRDefault="00FD0AA3">
                                  <w:pPr>
                                    <w:pStyle w:val="Jin0"/>
                                    <w:pBdr>
                                      <w:top w:val="single" w:sz="0" w:space="0" w:color="E97424"/>
                                      <w:left w:val="single" w:sz="0" w:space="0" w:color="E97424"/>
                                      <w:bottom w:val="single" w:sz="0" w:space="0" w:color="E97424"/>
                                      <w:right w:val="single" w:sz="0" w:space="0" w:color="E97424"/>
                                    </w:pBdr>
                                    <w:shd w:val="clear" w:color="auto" w:fill="E97424"/>
                                    <w:spacing w:after="0" w:line="240" w:lineRule="auto"/>
                                    <w:ind w:firstLine="200"/>
                                    <w:rPr>
                                      <w:sz w:val="13"/>
                                      <w:szCs w:val="13"/>
                                    </w:rPr>
                                  </w:pPr>
                                  <w:r>
                                    <w:rPr>
                                      <w:color w:val="FAE2C1"/>
                                      <w:sz w:val="13"/>
                                      <w:szCs w:val="13"/>
                                    </w:rPr>
                                    <w:t>- pravidelný</w:t>
                                  </w:r>
                                </w:p>
                              </w:tc>
                              <w:tc>
                                <w:tcPr>
                                  <w:tcW w:w="240" w:type="dxa"/>
                                  <w:shd w:val="clear" w:color="auto" w:fill="E97425"/>
                                </w:tcPr>
                                <w:p w:rsidR="00215B20" w:rsidRDefault="00215B20">
                                  <w:pPr>
                                    <w:rPr>
                                      <w:sz w:val="10"/>
                                      <w:szCs w:val="10"/>
                                    </w:rPr>
                                  </w:pPr>
                                </w:p>
                              </w:tc>
                            </w:tr>
                            <w:tr w:rsidR="00215B20">
                              <w:tblPrEx>
                                <w:tblCellMar>
                                  <w:top w:w="0" w:type="dxa"/>
                                  <w:bottom w:w="0" w:type="dxa"/>
                                </w:tblCellMar>
                              </w:tblPrEx>
                              <w:trPr>
                                <w:trHeight w:hRule="exact" w:val="259"/>
                              </w:trPr>
                              <w:tc>
                                <w:tcPr>
                                  <w:tcW w:w="235" w:type="dxa"/>
                                  <w:shd w:val="clear" w:color="auto" w:fill="E97425"/>
                                </w:tcPr>
                                <w:p w:rsidR="00215B20" w:rsidRDefault="00FD0AA3">
                                  <w:pPr>
                                    <w:pStyle w:val="Jin0"/>
                                    <w:pBdr>
                                      <w:top w:val="single" w:sz="0" w:space="0" w:color="E97424"/>
                                      <w:left w:val="single" w:sz="0" w:space="0" w:color="E97424"/>
                                      <w:bottom w:val="single" w:sz="0" w:space="0" w:color="E97424"/>
                                      <w:right w:val="single" w:sz="0" w:space="0" w:color="E97424"/>
                                    </w:pBdr>
                                    <w:shd w:val="clear" w:color="auto" w:fill="E97424"/>
                                    <w:spacing w:after="0" w:line="240" w:lineRule="auto"/>
                                    <w:rPr>
                                      <w:sz w:val="40"/>
                                      <w:szCs w:val="40"/>
                                    </w:rPr>
                                  </w:pPr>
                                  <w:r>
                                    <w:rPr>
                                      <w:b/>
                                      <w:bCs/>
                                      <w:color w:val="FFFFFF"/>
                                      <w:sz w:val="40"/>
                                      <w:szCs w:val="40"/>
                                    </w:rPr>
                                    <w:t>k</w:t>
                                  </w:r>
                                </w:p>
                              </w:tc>
                              <w:tc>
                                <w:tcPr>
                                  <w:tcW w:w="1805" w:type="dxa"/>
                                  <w:shd w:val="clear" w:color="auto" w:fill="E97425"/>
                                </w:tcPr>
                                <w:p w:rsidR="00215B20" w:rsidRDefault="00FD0AA3">
                                  <w:pPr>
                                    <w:pStyle w:val="Jin0"/>
                                    <w:pBdr>
                                      <w:top w:val="single" w:sz="0" w:space="0" w:color="E97425"/>
                                      <w:left w:val="single" w:sz="0" w:space="0" w:color="E97425"/>
                                      <w:bottom w:val="single" w:sz="0" w:space="0" w:color="E97425"/>
                                      <w:right w:val="single" w:sz="0" w:space="0" w:color="E97425"/>
                                    </w:pBdr>
                                    <w:shd w:val="clear" w:color="auto" w:fill="E97425"/>
                                    <w:spacing w:after="0" w:line="240" w:lineRule="auto"/>
                                    <w:rPr>
                                      <w:sz w:val="13"/>
                                      <w:szCs w:val="13"/>
                                    </w:rPr>
                                  </w:pPr>
                                  <w:r>
                                    <w:rPr>
                                      <w:color w:val="FAE2C1"/>
                                      <w:sz w:val="13"/>
                                      <w:szCs w:val="13"/>
                                    </w:rPr>
                                    <w:t>mésični poplatek"</w:t>
                                  </w:r>
                                </w:p>
                              </w:tc>
                              <w:tc>
                                <w:tcPr>
                                  <w:tcW w:w="240" w:type="dxa"/>
                                  <w:shd w:val="clear" w:color="auto" w:fill="E97425"/>
                                </w:tcPr>
                                <w:p w:rsidR="00215B20" w:rsidRDefault="00215B20">
                                  <w:pPr>
                                    <w:rPr>
                                      <w:sz w:val="10"/>
                                      <w:szCs w:val="10"/>
                                    </w:rPr>
                                  </w:pPr>
                                </w:p>
                              </w:tc>
                            </w:tr>
                          </w:tbl>
                          <w:p w:rsidR="00215B20" w:rsidRDefault="00215B20">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22" o:spid="_x0000_s1029" type="#_x0000_t202" style="position:absolute;margin-left:223.15pt;margin-top:39.8pt;width:114pt;height:37.45pt;z-index:125829385;visibility:visible;mso-wrap-style:square;mso-wrap-distance-left:4.1pt;mso-wrap-distance-top:39.8pt;mso-wrap-distance-right:2.4pt;mso-wrap-distance-bottom:3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235"/>
                        <w:gridCol w:w="1805"/>
                        <w:gridCol w:w="240"/>
                      </w:tblGrid>
                      <w:tr w:rsidR="00215B20">
                        <w:tblPrEx>
                          <w:tblCellMar>
                            <w:top w:w="0" w:type="dxa"/>
                            <w:bottom w:w="0" w:type="dxa"/>
                          </w:tblCellMar>
                        </w:tblPrEx>
                        <w:trPr>
                          <w:trHeight w:hRule="exact" w:val="341"/>
                          <w:tblHeader/>
                        </w:trPr>
                        <w:tc>
                          <w:tcPr>
                            <w:tcW w:w="235" w:type="dxa"/>
                            <w:shd w:val="clear" w:color="auto" w:fill="E97425"/>
                            <w:vAlign w:val="bottom"/>
                          </w:tcPr>
                          <w:p w:rsidR="00215B20" w:rsidRDefault="00FD0AA3">
                            <w:pPr>
                              <w:pStyle w:val="Jin0"/>
                              <w:pBdr>
                                <w:top w:val="single" w:sz="0" w:space="0" w:color="E97425"/>
                                <w:left w:val="single" w:sz="0" w:space="0" w:color="E97425"/>
                                <w:bottom w:val="single" w:sz="0" w:space="0" w:color="E97425"/>
                                <w:right w:val="single" w:sz="0" w:space="0" w:color="E97425"/>
                              </w:pBdr>
                              <w:shd w:val="clear" w:color="auto" w:fill="E97425"/>
                              <w:spacing w:after="0" w:line="240" w:lineRule="auto"/>
                              <w:rPr>
                                <w:sz w:val="78"/>
                                <w:szCs w:val="78"/>
                              </w:rPr>
                            </w:pPr>
                            <w:r>
                              <w:rPr>
                                <w:color w:val="FFFFFF"/>
                                <w:sz w:val="78"/>
                                <w:szCs w:val="78"/>
                              </w:rPr>
                              <w:t>r</w:t>
                            </w:r>
                          </w:p>
                        </w:tc>
                        <w:tc>
                          <w:tcPr>
                            <w:tcW w:w="1805" w:type="dxa"/>
                            <w:shd w:val="clear" w:color="auto" w:fill="E97425"/>
                            <w:vAlign w:val="bottom"/>
                          </w:tcPr>
                          <w:p w:rsidR="00215B20" w:rsidRDefault="00FD0AA3">
                            <w:pPr>
                              <w:pStyle w:val="Jin0"/>
                              <w:pBdr>
                                <w:top w:val="single" w:sz="0" w:space="0" w:color="E97425"/>
                                <w:left w:val="single" w:sz="0" w:space="0" w:color="E97425"/>
                                <w:bottom w:val="single" w:sz="0" w:space="0" w:color="E97425"/>
                                <w:right w:val="single" w:sz="0" w:space="0" w:color="E97425"/>
                              </w:pBdr>
                              <w:shd w:val="clear" w:color="auto" w:fill="E97425"/>
                              <w:spacing w:after="0" w:line="240" w:lineRule="auto"/>
                              <w:rPr>
                                <w:sz w:val="13"/>
                                <w:szCs w:val="13"/>
                              </w:rPr>
                            </w:pPr>
                            <w:r>
                              <w:rPr>
                                <w:color w:val="FAE2C1"/>
                                <w:sz w:val="13"/>
                                <w:szCs w:val="13"/>
                              </w:rPr>
                              <w:t>"Základní kapacita</w:t>
                            </w:r>
                          </w:p>
                        </w:tc>
                        <w:tc>
                          <w:tcPr>
                            <w:tcW w:w="240" w:type="dxa"/>
                            <w:shd w:val="clear" w:color="auto" w:fill="E97425"/>
                          </w:tcPr>
                          <w:p w:rsidR="00215B20" w:rsidRDefault="00215B20">
                            <w:pPr>
                              <w:rPr>
                                <w:sz w:val="10"/>
                                <w:szCs w:val="10"/>
                              </w:rPr>
                            </w:pPr>
                          </w:p>
                        </w:tc>
                      </w:tr>
                      <w:tr w:rsidR="00215B20">
                        <w:tblPrEx>
                          <w:tblCellMar>
                            <w:top w:w="0" w:type="dxa"/>
                            <w:bottom w:w="0" w:type="dxa"/>
                          </w:tblCellMar>
                        </w:tblPrEx>
                        <w:trPr>
                          <w:trHeight w:hRule="exact" w:val="149"/>
                        </w:trPr>
                        <w:tc>
                          <w:tcPr>
                            <w:tcW w:w="235" w:type="dxa"/>
                            <w:shd w:val="clear" w:color="auto" w:fill="E97425"/>
                            <w:vAlign w:val="bottom"/>
                          </w:tcPr>
                          <w:p w:rsidR="00215B20" w:rsidRDefault="00FD0AA3">
                            <w:pPr>
                              <w:pStyle w:val="Jin0"/>
                              <w:pBdr>
                                <w:top w:val="single" w:sz="0" w:space="0" w:color="E97424"/>
                                <w:left w:val="single" w:sz="0" w:space="0" w:color="E97424"/>
                                <w:bottom w:val="single" w:sz="0" w:space="0" w:color="E97424"/>
                                <w:right w:val="single" w:sz="0" w:space="0" w:color="E97424"/>
                              </w:pBdr>
                              <w:shd w:val="clear" w:color="auto" w:fill="E97424"/>
                              <w:spacing w:after="0" w:line="240" w:lineRule="auto"/>
                              <w:rPr>
                                <w:sz w:val="13"/>
                                <w:szCs w:val="13"/>
                              </w:rPr>
                            </w:pPr>
                            <w:r>
                              <w:rPr>
                                <w:color w:val="D1F0A7"/>
                                <w:sz w:val="13"/>
                                <w:szCs w:val="13"/>
                              </w:rPr>
                              <w:t>L</w:t>
                            </w:r>
                          </w:p>
                        </w:tc>
                        <w:tc>
                          <w:tcPr>
                            <w:tcW w:w="1805" w:type="dxa"/>
                            <w:shd w:val="clear" w:color="auto" w:fill="E97425"/>
                            <w:vAlign w:val="bottom"/>
                          </w:tcPr>
                          <w:p w:rsidR="00215B20" w:rsidRDefault="00FD0AA3">
                            <w:pPr>
                              <w:pStyle w:val="Jin0"/>
                              <w:pBdr>
                                <w:top w:val="single" w:sz="0" w:space="0" w:color="E97424"/>
                                <w:left w:val="single" w:sz="0" w:space="0" w:color="E97424"/>
                                <w:bottom w:val="single" w:sz="0" w:space="0" w:color="E97424"/>
                                <w:right w:val="single" w:sz="0" w:space="0" w:color="E97424"/>
                              </w:pBdr>
                              <w:shd w:val="clear" w:color="auto" w:fill="E97424"/>
                              <w:spacing w:after="0" w:line="240" w:lineRule="auto"/>
                              <w:ind w:firstLine="200"/>
                              <w:rPr>
                                <w:sz w:val="13"/>
                                <w:szCs w:val="13"/>
                              </w:rPr>
                            </w:pPr>
                            <w:r>
                              <w:rPr>
                                <w:color w:val="FAE2C1"/>
                                <w:sz w:val="13"/>
                                <w:szCs w:val="13"/>
                              </w:rPr>
                              <w:t>- pravidelný</w:t>
                            </w:r>
                          </w:p>
                        </w:tc>
                        <w:tc>
                          <w:tcPr>
                            <w:tcW w:w="240" w:type="dxa"/>
                            <w:shd w:val="clear" w:color="auto" w:fill="E97425"/>
                          </w:tcPr>
                          <w:p w:rsidR="00215B20" w:rsidRDefault="00215B20">
                            <w:pPr>
                              <w:rPr>
                                <w:sz w:val="10"/>
                                <w:szCs w:val="10"/>
                              </w:rPr>
                            </w:pPr>
                          </w:p>
                        </w:tc>
                      </w:tr>
                      <w:tr w:rsidR="00215B20">
                        <w:tblPrEx>
                          <w:tblCellMar>
                            <w:top w:w="0" w:type="dxa"/>
                            <w:bottom w:w="0" w:type="dxa"/>
                          </w:tblCellMar>
                        </w:tblPrEx>
                        <w:trPr>
                          <w:trHeight w:hRule="exact" w:val="259"/>
                        </w:trPr>
                        <w:tc>
                          <w:tcPr>
                            <w:tcW w:w="235" w:type="dxa"/>
                            <w:shd w:val="clear" w:color="auto" w:fill="E97425"/>
                          </w:tcPr>
                          <w:p w:rsidR="00215B20" w:rsidRDefault="00FD0AA3">
                            <w:pPr>
                              <w:pStyle w:val="Jin0"/>
                              <w:pBdr>
                                <w:top w:val="single" w:sz="0" w:space="0" w:color="E97424"/>
                                <w:left w:val="single" w:sz="0" w:space="0" w:color="E97424"/>
                                <w:bottom w:val="single" w:sz="0" w:space="0" w:color="E97424"/>
                                <w:right w:val="single" w:sz="0" w:space="0" w:color="E97424"/>
                              </w:pBdr>
                              <w:shd w:val="clear" w:color="auto" w:fill="E97424"/>
                              <w:spacing w:after="0" w:line="240" w:lineRule="auto"/>
                              <w:rPr>
                                <w:sz w:val="40"/>
                                <w:szCs w:val="40"/>
                              </w:rPr>
                            </w:pPr>
                            <w:r>
                              <w:rPr>
                                <w:b/>
                                <w:bCs/>
                                <w:color w:val="FFFFFF"/>
                                <w:sz w:val="40"/>
                                <w:szCs w:val="40"/>
                              </w:rPr>
                              <w:t>k</w:t>
                            </w:r>
                          </w:p>
                        </w:tc>
                        <w:tc>
                          <w:tcPr>
                            <w:tcW w:w="1805" w:type="dxa"/>
                            <w:shd w:val="clear" w:color="auto" w:fill="E97425"/>
                          </w:tcPr>
                          <w:p w:rsidR="00215B20" w:rsidRDefault="00FD0AA3">
                            <w:pPr>
                              <w:pStyle w:val="Jin0"/>
                              <w:pBdr>
                                <w:top w:val="single" w:sz="0" w:space="0" w:color="E97425"/>
                                <w:left w:val="single" w:sz="0" w:space="0" w:color="E97425"/>
                                <w:bottom w:val="single" w:sz="0" w:space="0" w:color="E97425"/>
                                <w:right w:val="single" w:sz="0" w:space="0" w:color="E97425"/>
                              </w:pBdr>
                              <w:shd w:val="clear" w:color="auto" w:fill="E97425"/>
                              <w:spacing w:after="0" w:line="240" w:lineRule="auto"/>
                              <w:rPr>
                                <w:sz w:val="13"/>
                                <w:szCs w:val="13"/>
                              </w:rPr>
                            </w:pPr>
                            <w:r>
                              <w:rPr>
                                <w:color w:val="FAE2C1"/>
                                <w:sz w:val="13"/>
                                <w:szCs w:val="13"/>
                              </w:rPr>
                              <w:t>mésični poplatek"</w:t>
                            </w:r>
                          </w:p>
                        </w:tc>
                        <w:tc>
                          <w:tcPr>
                            <w:tcW w:w="240" w:type="dxa"/>
                            <w:shd w:val="clear" w:color="auto" w:fill="E97425"/>
                          </w:tcPr>
                          <w:p w:rsidR="00215B20" w:rsidRDefault="00215B20">
                            <w:pPr>
                              <w:rPr>
                                <w:sz w:val="10"/>
                                <w:szCs w:val="10"/>
                              </w:rPr>
                            </w:pPr>
                          </w:p>
                        </w:tc>
                      </w:tr>
                    </w:tbl>
                    <w:p w:rsidR="00215B20" w:rsidRDefault="00215B20">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658240" behindDoc="0" locked="0" layoutInCell="1" allowOverlap="1">
                <wp:simplePos x="0" y="0"/>
                <wp:positionH relativeFrom="page">
                  <wp:posOffset>2781935</wp:posOffset>
                </wp:positionH>
                <wp:positionV relativeFrom="paragraph">
                  <wp:posOffset>139700</wp:posOffset>
                </wp:positionV>
                <wp:extent cx="1530350" cy="338455"/>
                <wp:effectExtent l="0" t="0" r="0" b="0"/>
                <wp:wrapNone/>
                <wp:docPr id="24" name="Shape 24"/>
                <wp:cNvGraphicFramePr/>
                <a:graphic xmlns:a="http://schemas.openxmlformats.org/drawingml/2006/main">
                  <a:graphicData uri="http://schemas.microsoft.com/office/word/2010/wordprocessingShape">
                    <wps:wsp>
                      <wps:cNvSpPr txBox="1"/>
                      <wps:spPr>
                        <a:xfrm>
                          <a:off x="0" y="0"/>
                          <a:ext cx="1530350" cy="338455"/>
                        </a:xfrm>
                        <a:prstGeom prst="rect">
                          <a:avLst/>
                        </a:prstGeom>
                        <a:noFill/>
                      </wps:spPr>
                      <wps:txbx>
                        <w:txbxContent>
                          <w:p w:rsidR="00215B20" w:rsidRDefault="00FD0AA3">
                            <w:pPr>
                              <w:pStyle w:val="Titulektabulky0"/>
                              <w:shd w:val="clear" w:color="auto" w:fill="auto"/>
                              <w:tabs>
                                <w:tab w:val="left" w:pos="850"/>
                                <w:tab w:val="left" w:pos="1253"/>
                                <w:tab w:val="left" w:pos="1565"/>
                                <w:tab w:val="left" w:pos="2016"/>
                              </w:tabs>
                              <w:jc w:val="center"/>
                              <w:rPr>
                                <w:sz w:val="8"/>
                                <w:szCs w:val="8"/>
                              </w:rPr>
                            </w:pPr>
                            <w:r>
                              <w:rPr>
                                <w:b/>
                                <w:bCs/>
                                <w:color w:val="B0C786"/>
                                <w:sz w:val="8"/>
                                <w:szCs w:val="8"/>
                              </w:rPr>
                              <w:t>/</w:t>
                            </w:r>
                            <w:r>
                              <w:rPr>
                                <w:b/>
                                <w:bCs/>
                                <w:color w:val="B0C786"/>
                                <w:sz w:val="8"/>
                                <w:szCs w:val="8"/>
                              </w:rPr>
                              <w:tab/>
                            </w:r>
                            <w:r>
                              <w:rPr>
                                <w:b/>
                                <w:bCs/>
                                <w:color w:val="D1F0A7"/>
                                <w:sz w:val="8"/>
                                <w:szCs w:val="8"/>
                              </w:rPr>
                              <w:t>f.</w:t>
                            </w:r>
                            <w:r>
                              <w:rPr>
                                <w:b/>
                                <w:bCs/>
                                <w:color w:val="D1F0A7"/>
                                <w:sz w:val="8"/>
                                <w:szCs w:val="8"/>
                              </w:rPr>
                              <w:tab/>
                            </w:r>
                            <w:r>
                              <w:rPr>
                                <w:b/>
                                <w:bCs/>
                                <w:color w:val="D1F0A7"/>
                                <w:sz w:val="8"/>
                                <w:szCs w:val="8"/>
                                <w:u w:val="single"/>
                              </w:rPr>
                              <w:t>..■</w:t>
                            </w:r>
                            <w:r>
                              <w:rPr>
                                <w:b/>
                                <w:bCs/>
                                <w:color w:val="D1F0A7"/>
                                <w:sz w:val="8"/>
                                <w:szCs w:val="8"/>
                              </w:rPr>
                              <w:tab/>
                            </w:r>
                            <w:r>
                              <w:rPr>
                                <w:b/>
                                <w:bCs/>
                                <w:color w:val="B0C786"/>
                                <w:sz w:val="8"/>
                                <w:szCs w:val="8"/>
                              </w:rPr>
                              <w:t>/</w:t>
                            </w:r>
                            <w:r>
                              <w:rPr>
                                <w:b/>
                                <w:bCs/>
                                <w:color w:val="B0C786"/>
                                <w:sz w:val="8"/>
                                <w:szCs w:val="8"/>
                              </w:rPr>
                              <w:tab/>
                              <w:t>\</w:t>
                            </w:r>
                          </w:p>
                          <w:p w:rsidR="00215B20" w:rsidRDefault="00FD0AA3">
                            <w:pPr>
                              <w:pStyle w:val="Titulektabulky0"/>
                              <w:shd w:val="clear" w:color="auto" w:fill="auto"/>
                              <w:tabs>
                                <w:tab w:val="left" w:pos="2093"/>
                              </w:tabs>
                              <w:spacing w:line="180" w:lineRule="auto"/>
                              <w:jc w:val="center"/>
                              <w:rPr>
                                <w:sz w:val="13"/>
                                <w:szCs w:val="13"/>
                              </w:rPr>
                            </w:pPr>
                            <w:r>
                              <w:rPr>
                                <w:color w:val="B0C786"/>
                                <w:sz w:val="13"/>
                                <w:szCs w:val="13"/>
                              </w:rPr>
                              <w:t>/ "Nadlimitní kapacita Z</w:t>
                            </w:r>
                            <w:r>
                              <w:rPr>
                                <w:color w:val="B0C786"/>
                                <w:sz w:val="13"/>
                                <w:szCs w:val="13"/>
                              </w:rPr>
                              <w:tab/>
                              <w:t>\</w:t>
                            </w:r>
                          </w:p>
                          <w:p w:rsidR="00215B20" w:rsidRDefault="00FD0AA3">
                            <w:pPr>
                              <w:pStyle w:val="Titulektabulky0"/>
                              <w:shd w:val="clear" w:color="auto" w:fill="auto"/>
                              <w:tabs>
                                <w:tab w:val="left" w:pos="418"/>
                                <w:tab w:val="left" w:pos="2208"/>
                              </w:tabs>
                              <w:spacing w:line="230" w:lineRule="auto"/>
                              <w:jc w:val="center"/>
                              <w:rPr>
                                <w:sz w:val="13"/>
                                <w:szCs w:val="13"/>
                              </w:rPr>
                            </w:pPr>
                            <w:r>
                              <w:rPr>
                                <w:color w:val="B0C786"/>
                                <w:sz w:val="13"/>
                                <w:szCs w:val="13"/>
                              </w:rPr>
                              <w:t>•</w:t>
                            </w:r>
                            <w:r>
                              <w:rPr>
                                <w:color w:val="B0C786"/>
                                <w:sz w:val="13"/>
                                <w:szCs w:val="13"/>
                              </w:rPr>
                              <w:tab/>
                              <w:t>= cena za reálné •</w:t>
                            </w:r>
                            <w:r>
                              <w:rPr>
                                <w:color w:val="B0C786"/>
                                <w:sz w:val="13"/>
                                <w:szCs w:val="13"/>
                              </w:rPr>
                              <w:tab/>
                              <w:t>\</w:t>
                            </w:r>
                          </w:p>
                          <w:p w:rsidR="00215B20" w:rsidRDefault="00FD0AA3">
                            <w:pPr>
                              <w:pStyle w:val="Titulektabulky0"/>
                              <w:shd w:val="clear" w:color="auto" w:fill="auto"/>
                              <w:tabs>
                                <w:tab w:val="left" w:pos="2314"/>
                              </w:tabs>
                              <w:jc w:val="center"/>
                              <w:rPr>
                                <w:sz w:val="13"/>
                                <w:szCs w:val="13"/>
                              </w:rPr>
                            </w:pPr>
                            <w:r>
                              <w:rPr>
                                <w:color w:val="D1F0A7"/>
                                <w:sz w:val="13"/>
                                <w:szCs w:val="13"/>
                              </w:rPr>
                              <w:t xml:space="preserve">; </w:t>
                            </w:r>
                            <w:r>
                              <w:rPr>
                                <w:color w:val="B0C786"/>
                                <w:sz w:val="13"/>
                                <w:szCs w:val="13"/>
                              </w:rPr>
                              <w:t>využitou kapacitu"</w:t>
                            </w:r>
                            <w:r>
                              <w:rPr>
                                <w:color w:val="B0C786"/>
                                <w:sz w:val="13"/>
                                <w:szCs w:val="13"/>
                              </w:rPr>
                              <w:tab/>
                              <w:t>»</w:t>
                            </w:r>
                          </w:p>
                        </w:txbxContent>
                      </wps:txbx>
                      <wps:bodyPr lIns="0" tIns="0" rIns="0" bIns="0"/>
                    </wps:wsp>
                  </a:graphicData>
                </a:graphic>
              </wp:anchor>
            </w:drawing>
          </mc:Choice>
          <mc:Fallback>
            <w:pict>
              <v:shape id="_x0000_s1050" type="#_x0000_t202" style="position:absolute;margin-left:219.05000000000001pt;margin-top:11.pt;width:120.5pt;height:26.649999999999999pt;z-index:251657729;mso-wrap-distance-left:0;mso-wrap-distance-right:0;mso-position-horizontal-relative:page" filled="f" stroked="f">
                <v:textbox inset="0,0,0,0">
                  <w:txbxContent>
                    <w:p>
                      <w:pPr>
                        <w:pStyle w:val="Style17"/>
                        <w:keepNext w:val="0"/>
                        <w:keepLines w:val="0"/>
                        <w:widowControl w:val="0"/>
                        <w:shd w:val="clear" w:color="auto" w:fill="auto"/>
                        <w:tabs>
                          <w:tab w:pos="850" w:val="left"/>
                          <w:tab w:pos="1253" w:val="left"/>
                          <w:tab w:pos="1565" w:val="left"/>
                          <w:tab w:pos="2016" w:val="left"/>
                        </w:tabs>
                        <w:bidi w:val="0"/>
                        <w:spacing w:before="0" w:after="0" w:line="240" w:lineRule="auto"/>
                        <w:ind w:left="0" w:right="0" w:firstLine="0"/>
                        <w:jc w:val="center"/>
                        <w:rPr>
                          <w:sz w:val="8"/>
                          <w:szCs w:val="8"/>
                        </w:rPr>
                      </w:pPr>
                      <w:r>
                        <w:rPr>
                          <w:b/>
                          <w:bCs/>
                          <w:color w:val="B0C786"/>
                          <w:spacing w:val="0"/>
                          <w:w w:val="100"/>
                          <w:position w:val="0"/>
                          <w:sz w:val="8"/>
                          <w:szCs w:val="8"/>
                          <w:shd w:val="clear" w:color="auto" w:fill="auto"/>
                          <w:lang w:val="cs-CZ" w:eastAsia="cs-CZ" w:bidi="cs-CZ"/>
                        </w:rPr>
                        <w:t>/</w:t>
                        <w:tab/>
                      </w:r>
                      <w:r>
                        <w:rPr>
                          <w:b/>
                          <w:bCs/>
                          <w:color w:val="D1F0A7"/>
                          <w:spacing w:val="0"/>
                          <w:w w:val="100"/>
                          <w:position w:val="0"/>
                          <w:sz w:val="8"/>
                          <w:szCs w:val="8"/>
                          <w:shd w:val="clear" w:color="auto" w:fill="auto"/>
                          <w:lang w:val="cs-CZ" w:eastAsia="cs-CZ" w:bidi="cs-CZ"/>
                        </w:rPr>
                        <w:t>f.</w:t>
                        <w:tab/>
                      </w:r>
                      <w:r>
                        <w:rPr>
                          <w:b/>
                          <w:bCs/>
                          <w:color w:val="D1F0A7"/>
                          <w:spacing w:val="0"/>
                          <w:w w:val="100"/>
                          <w:position w:val="0"/>
                          <w:sz w:val="8"/>
                          <w:szCs w:val="8"/>
                          <w:u w:val="single"/>
                          <w:shd w:val="clear" w:color="auto" w:fill="auto"/>
                          <w:lang w:val="cs-CZ" w:eastAsia="cs-CZ" w:bidi="cs-CZ"/>
                        </w:rPr>
                        <w:t>..■</w:t>
                      </w:r>
                      <w:r>
                        <w:rPr>
                          <w:b/>
                          <w:bCs/>
                          <w:color w:val="D1F0A7"/>
                          <w:spacing w:val="0"/>
                          <w:w w:val="100"/>
                          <w:position w:val="0"/>
                          <w:sz w:val="8"/>
                          <w:szCs w:val="8"/>
                          <w:shd w:val="clear" w:color="auto" w:fill="auto"/>
                          <w:lang w:val="cs-CZ" w:eastAsia="cs-CZ" w:bidi="cs-CZ"/>
                        </w:rPr>
                        <w:tab/>
                      </w:r>
                      <w:r>
                        <w:rPr>
                          <w:b/>
                          <w:bCs/>
                          <w:color w:val="B0C786"/>
                          <w:spacing w:val="0"/>
                          <w:w w:val="100"/>
                          <w:position w:val="0"/>
                          <w:sz w:val="8"/>
                          <w:szCs w:val="8"/>
                          <w:shd w:val="clear" w:color="auto" w:fill="auto"/>
                          <w:lang w:val="cs-CZ" w:eastAsia="cs-CZ" w:bidi="cs-CZ"/>
                        </w:rPr>
                        <w:t>/</w:t>
                        <w:tab/>
                        <w:t>\</w:t>
                      </w:r>
                    </w:p>
                    <w:p>
                      <w:pPr>
                        <w:pStyle w:val="Style17"/>
                        <w:keepNext w:val="0"/>
                        <w:keepLines w:val="0"/>
                        <w:widowControl w:val="0"/>
                        <w:shd w:val="clear" w:color="auto" w:fill="auto"/>
                        <w:tabs>
                          <w:tab w:pos="2093" w:val="left"/>
                        </w:tabs>
                        <w:bidi w:val="0"/>
                        <w:spacing w:before="0" w:after="0" w:line="180" w:lineRule="auto"/>
                        <w:ind w:left="0" w:right="0" w:firstLine="0"/>
                        <w:jc w:val="center"/>
                        <w:rPr>
                          <w:sz w:val="13"/>
                          <w:szCs w:val="13"/>
                        </w:rPr>
                      </w:pPr>
                      <w:r>
                        <w:rPr>
                          <w:color w:val="B0C786"/>
                          <w:spacing w:val="0"/>
                          <w:w w:val="100"/>
                          <w:position w:val="0"/>
                          <w:sz w:val="13"/>
                          <w:szCs w:val="13"/>
                          <w:shd w:val="clear" w:color="auto" w:fill="auto"/>
                          <w:lang w:val="cs-CZ" w:eastAsia="cs-CZ" w:bidi="cs-CZ"/>
                        </w:rPr>
                        <w:t>/ "Nadlimitní kapacita Z</w:t>
                        <w:tab/>
                        <w:t>\</w:t>
                      </w:r>
                    </w:p>
                    <w:p>
                      <w:pPr>
                        <w:pStyle w:val="Style17"/>
                        <w:keepNext w:val="0"/>
                        <w:keepLines w:val="0"/>
                        <w:widowControl w:val="0"/>
                        <w:shd w:val="clear" w:color="auto" w:fill="auto"/>
                        <w:tabs>
                          <w:tab w:pos="418" w:val="left"/>
                          <w:tab w:pos="2208" w:val="left"/>
                        </w:tabs>
                        <w:bidi w:val="0"/>
                        <w:spacing w:before="0" w:after="0" w:line="230" w:lineRule="auto"/>
                        <w:ind w:left="0" w:right="0" w:firstLine="0"/>
                        <w:jc w:val="center"/>
                        <w:rPr>
                          <w:sz w:val="13"/>
                          <w:szCs w:val="13"/>
                        </w:rPr>
                      </w:pPr>
                      <w:r>
                        <w:rPr>
                          <w:color w:val="B0C786"/>
                          <w:spacing w:val="0"/>
                          <w:w w:val="100"/>
                          <w:position w:val="0"/>
                          <w:sz w:val="13"/>
                          <w:szCs w:val="13"/>
                          <w:shd w:val="clear" w:color="auto" w:fill="auto"/>
                          <w:lang w:val="cs-CZ" w:eastAsia="cs-CZ" w:bidi="cs-CZ"/>
                        </w:rPr>
                        <w:t>•</w:t>
                        <w:tab/>
                        <w:t>= cena za reálné •</w:t>
                        <w:tab/>
                        <w:t>\</w:t>
                      </w:r>
                    </w:p>
                    <w:p>
                      <w:pPr>
                        <w:pStyle w:val="Style17"/>
                        <w:keepNext w:val="0"/>
                        <w:keepLines w:val="0"/>
                        <w:widowControl w:val="0"/>
                        <w:shd w:val="clear" w:color="auto" w:fill="auto"/>
                        <w:tabs>
                          <w:tab w:pos="2314" w:val="left"/>
                        </w:tabs>
                        <w:bidi w:val="0"/>
                        <w:spacing w:before="0" w:after="0" w:line="240" w:lineRule="auto"/>
                        <w:ind w:left="0" w:right="0" w:firstLine="0"/>
                        <w:jc w:val="center"/>
                        <w:rPr>
                          <w:sz w:val="13"/>
                          <w:szCs w:val="13"/>
                        </w:rPr>
                      </w:pPr>
                      <w:r>
                        <w:rPr>
                          <w:color w:val="D1F0A7"/>
                          <w:spacing w:val="0"/>
                          <w:w w:val="100"/>
                          <w:position w:val="0"/>
                          <w:sz w:val="13"/>
                          <w:szCs w:val="13"/>
                          <w:shd w:val="clear" w:color="auto" w:fill="auto"/>
                          <w:lang w:val="cs-CZ" w:eastAsia="cs-CZ" w:bidi="cs-CZ"/>
                        </w:rPr>
                        <w:t xml:space="preserve">; </w:t>
                      </w:r>
                      <w:r>
                        <w:rPr>
                          <w:color w:val="B0C786"/>
                          <w:spacing w:val="0"/>
                          <w:w w:val="100"/>
                          <w:position w:val="0"/>
                          <w:sz w:val="13"/>
                          <w:szCs w:val="13"/>
                          <w:shd w:val="clear" w:color="auto" w:fill="auto"/>
                          <w:lang w:val="cs-CZ" w:eastAsia="cs-CZ" w:bidi="cs-CZ"/>
                        </w:rPr>
                        <w:t>využitou kapacitu"</w:t>
                        <w:tab/>
                        <w:t>»</w:t>
                      </w:r>
                    </w:p>
                  </w:txbxContent>
                </v:textbox>
                <w10:wrap anchorx="page"/>
              </v:shape>
            </w:pict>
          </mc:Fallback>
        </mc:AlternateContent>
      </w:r>
      <w:r>
        <w:rPr>
          <w:noProof/>
          <w:lang w:bidi="ar-SA"/>
        </w:rPr>
        <w:drawing>
          <wp:anchor distT="1078865" distB="137160" distL="6350" distR="97790" simplePos="0" relativeHeight="125829387" behindDoc="0" locked="0" layoutInCell="1" allowOverlap="1">
            <wp:simplePos x="0" y="0"/>
            <wp:positionH relativeFrom="page">
              <wp:posOffset>2258060</wp:posOffset>
            </wp:positionH>
            <wp:positionV relativeFrom="paragraph">
              <wp:posOffset>1078865</wp:posOffset>
            </wp:positionV>
            <wp:extent cx="2712720" cy="255905"/>
            <wp:effectExtent l="0" t="0" r="0" b="0"/>
            <wp:wrapTopAndBottom/>
            <wp:docPr id="26"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19"/>
                    <a:stretch/>
                  </pic:blipFill>
                  <pic:spPr>
                    <a:xfrm>
                      <a:off x="0" y="0"/>
                      <a:ext cx="2712720" cy="255905"/>
                    </a:xfrm>
                    <a:prstGeom prst="rect">
                      <a:avLst/>
                    </a:prstGeom>
                  </pic:spPr>
                </pic:pic>
              </a:graphicData>
            </a:graphic>
          </wp:anchor>
        </w:drawing>
      </w:r>
      <w:r>
        <w:rPr>
          <w:noProof/>
          <w:lang w:bidi="ar-SA"/>
        </w:rPr>
        <mc:AlternateContent>
          <mc:Choice Requires="wps">
            <w:drawing>
              <wp:anchor distT="0" distB="0" distL="0" distR="0" simplePos="0" relativeHeight="251659264" behindDoc="0" locked="0" layoutInCell="1" allowOverlap="1">
                <wp:simplePos x="0" y="0"/>
                <wp:positionH relativeFrom="page">
                  <wp:posOffset>4315460</wp:posOffset>
                </wp:positionH>
                <wp:positionV relativeFrom="paragraph">
                  <wp:posOffset>709930</wp:posOffset>
                </wp:positionV>
                <wp:extent cx="753110" cy="146050"/>
                <wp:effectExtent l="0" t="0" r="0" b="0"/>
                <wp:wrapNone/>
                <wp:docPr id="28" name="Shape 28"/>
                <wp:cNvGraphicFramePr/>
                <a:graphic xmlns:a="http://schemas.openxmlformats.org/drawingml/2006/main">
                  <a:graphicData uri="http://schemas.microsoft.com/office/word/2010/wordprocessingShape">
                    <wps:wsp>
                      <wps:cNvSpPr txBox="1"/>
                      <wps:spPr>
                        <a:xfrm>
                          <a:off x="0" y="0"/>
                          <a:ext cx="753110" cy="146050"/>
                        </a:xfrm>
                        <a:prstGeom prst="rect">
                          <a:avLst/>
                        </a:prstGeom>
                        <a:noFill/>
                      </wps:spPr>
                      <wps:txbx>
                        <w:txbxContent>
                          <w:p w:rsidR="00215B20" w:rsidRDefault="00FD0AA3">
                            <w:pPr>
                              <w:pStyle w:val="Titulekobrzku0"/>
                              <w:pBdr>
                                <w:top w:val="single" w:sz="0" w:space="0" w:color="E87526"/>
                                <w:left w:val="single" w:sz="0" w:space="0" w:color="E87526"/>
                                <w:bottom w:val="single" w:sz="0" w:space="0" w:color="E87526"/>
                                <w:right w:val="single" w:sz="0" w:space="0" w:color="E87526"/>
                              </w:pBdr>
                              <w:shd w:val="clear" w:color="auto" w:fill="E87526"/>
                              <w:spacing w:line="240" w:lineRule="auto"/>
                              <w:ind w:firstLine="0"/>
                            </w:pPr>
                            <w:r>
                              <w:rPr>
                                <w:b/>
                                <w:bCs/>
                                <w:color w:val="FFFFFF"/>
                              </w:rPr>
                              <w:t xml:space="preserve">r </w:t>
                            </w:r>
                            <w:r>
                              <w:rPr>
                                <w:b/>
                                <w:bCs/>
                                <w:color w:val="F9C595"/>
                              </w:rPr>
                              <w:t>Minimální kapacita</w:t>
                            </w:r>
                          </w:p>
                        </w:txbxContent>
                      </wps:txbx>
                      <wps:bodyPr lIns="0" tIns="0" rIns="0" bIns="0"/>
                    </wps:wsp>
                  </a:graphicData>
                </a:graphic>
              </wp:anchor>
            </w:drawing>
          </mc:Choice>
          <mc:Fallback>
            <w:pict>
              <v:shape id="_x0000_s1054" type="#_x0000_t202" style="position:absolute;margin-left:339.80000000000001pt;margin-top:55.899999999999999pt;width:59.299999999999997pt;height:11.5pt;z-index:251657731;mso-wrap-distance-left:0;mso-wrap-distance-right:0;mso-position-horizontal-relative:page" filled="f" stroked="f">
                <v:textbox inset="0,0,0,0">
                  <w:txbxContent>
                    <w:p>
                      <w:pPr>
                        <w:pStyle w:val="Style2"/>
                        <w:keepNext w:val="0"/>
                        <w:keepLines w:val="0"/>
                        <w:widowControl w:val="0"/>
                        <w:pBdr>
                          <w:top w:val="single" w:sz="0" w:space="0" w:color="E87526"/>
                          <w:left w:val="single" w:sz="0" w:space="0" w:color="E87526"/>
                          <w:bottom w:val="single" w:sz="0" w:space="0" w:color="E87526"/>
                          <w:right w:val="single" w:sz="0" w:space="0" w:color="E87526"/>
                        </w:pBdr>
                        <w:shd w:val="clear" w:color="auto" w:fill="E87526"/>
                        <w:bidi w:val="0"/>
                        <w:spacing w:before="0" w:after="0" w:line="240" w:lineRule="auto"/>
                        <w:ind w:left="0" w:right="0" w:firstLine="0"/>
                        <w:jc w:val="left"/>
                      </w:pPr>
                      <w:r>
                        <w:rPr>
                          <w:b/>
                          <w:bCs/>
                          <w:color w:val="FFFFFF"/>
                          <w:spacing w:val="0"/>
                          <w:w w:val="100"/>
                          <w:position w:val="0"/>
                          <w:shd w:val="clear" w:color="auto" w:fill="auto"/>
                          <w:lang w:val="cs-CZ" w:eastAsia="cs-CZ" w:bidi="cs-CZ"/>
                        </w:rPr>
                        <w:t xml:space="preserve">r </w:t>
                      </w:r>
                      <w:r>
                        <w:rPr>
                          <w:b/>
                          <w:bCs/>
                          <w:color w:val="F9C595"/>
                          <w:spacing w:val="0"/>
                          <w:w w:val="100"/>
                          <w:position w:val="0"/>
                          <w:shd w:val="clear" w:color="auto" w:fill="auto"/>
                          <w:lang w:val="cs-CZ" w:eastAsia="cs-CZ" w:bidi="cs-CZ"/>
                        </w:rPr>
                        <w:t>Minimální kapacita</w:t>
                      </w:r>
                    </w:p>
                  </w:txbxContent>
                </v:textbox>
                <w10:wrap anchorx="page"/>
              </v:shape>
            </w:pict>
          </mc:Fallback>
        </mc:AlternateContent>
      </w:r>
      <w:r>
        <w:rPr>
          <w:noProof/>
          <w:lang w:bidi="ar-SA"/>
        </w:rPr>
        <mc:AlternateContent>
          <mc:Choice Requires="wps">
            <w:drawing>
              <wp:anchor distT="0" distB="0" distL="0" distR="0" simplePos="0" relativeHeight="251660288" behindDoc="0" locked="0" layoutInCell="1" allowOverlap="1">
                <wp:simplePos x="0" y="0"/>
                <wp:positionH relativeFrom="page">
                  <wp:posOffset>2251710</wp:posOffset>
                </wp:positionH>
                <wp:positionV relativeFrom="paragraph">
                  <wp:posOffset>1337945</wp:posOffset>
                </wp:positionV>
                <wp:extent cx="2749550" cy="133985"/>
                <wp:effectExtent l="0" t="0" r="0" b="0"/>
                <wp:wrapNone/>
                <wp:docPr id="30" name="Shape 30"/>
                <wp:cNvGraphicFramePr/>
                <a:graphic xmlns:a="http://schemas.openxmlformats.org/drawingml/2006/main">
                  <a:graphicData uri="http://schemas.microsoft.com/office/word/2010/wordprocessingShape">
                    <wps:wsp>
                      <wps:cNvSpPr txBox="1"/>
                      <wps:spPr>
                        <a:xfrm>
                          <a:off x="0" y="0"/>
                          <a:ext cx="2749550" cy="133985"/>
                        </a:xfrm>
                        <a:prstGeom prst="rect">
                          <a:avLst/>
                        </a:prstGeom>
                        <a:noFill/>
                      </wps:spPr>
                      <wps:txbx>
                        <w:txbxContent>
                          <w:p w:rsidR="00215B20" w:rsidRDefault="00FD0AA3">
                            <w:pPr>
                              <w:pStyle w:val="Titulekobrzku0"/>
                              <w:shd w:val="clear" w:color="auto" w:fill="auto"/>
                              <w:tabs>
                                <w:tab w:val="left" w:pos="134"/>
                                <w:tab w:val="left" w:pos="269"/>
                                <w:tab w:val="left" w:pos="557"/>
                                <w:tab w:val="left" w:pos="840"/>
                                <w:tab w:val="left" w:pos="974"/>
                              </w:tabs>
                              <w:spacing w:line="240" w:lineRule="auto"/>
                              <w:ind w:firstLine="0"/>
                              <w:rPr>
                                <w:sz w:val="8"/>
                                <w:szCs w:val="8"/>
                              </w:rPr>
                            </w:pPr>
                            <w:r>
                              <w:rPr>
                                <w:b/>
                                <w:bCs/>
                                <w:color w:val="B4BCC2"/>
                                <w:sz w:val="8"/>
                                <w:szCs w:val="8"/>
                              </w:rPr>
                              <w:t>1</w:t>
                            </w:r>
                            <w:r>
                              <w:rPr>
                                <w:b/>
                                <w:bCs/>
                                <w:color w:val="B4BCC2"/>
                                <w:sz w:val="8"/>
                                <w:szCs w:val="8"/>
                              </w:rPr>
                              <w:tab/>
                              <w:t>2</w:t>
                            </w:r>
                            <w:r>
                              <w:rPr>
                                <w:b/>
                                <w:bCs/>
                                <w:color w:val="B4BCC2"/>
                                <w:sz w:val="8"/>
                                <w:szCs w:val="8"/>
                              </w:rPr>
                              <w:tab/>
                              <w:t>3 4</w:t>
                            </w:r>
                            <w:r>
                              <w:rPr>
                                <w:b/>
                                <w:bCs/>
                                <w:color w:val="B4BCC2"/>
                                <w:sz w:val="8"/>
                                <w:szCs w:val="8"/>
                              </w:rPr>
                              <w:tab/>
                              <w:t>56</w:t>
                            </w:r>
                            <w:r>
                              <w:rPr>
                                <w:b/>
                                <w:bCs/>
                                <w:color w:val="B4BCC2"/>
                                <w:sz w:val="8"/>
                                <w:szCs w:val="8"/>
                              </w:rPr>
                              <w:tab/>
                            </w:r>
                            <w:r>
                              <w:rPr>
                                <w:b/>
                                <w:bCs/>
                                <w:i/>
                                <w:iCs/>
                                <w:color w:val="B4BCC2"/>
                                <w:sz w:val="15"/>
                                <w:szCs w:val="15"/>
                              </w:rPr>
                              <w:t>1</w:t>
                            </w:r>
                            <w:r>
                              <w:rPr>
                                <w:b/>
                                <w:bCs/>
                                <w:color w:val="B4BCC2"/>
                                <w:sz w:val="8"/>
                                <w:szCs w:val="8"/>
                              </w:rPr>
                              <w:tab/>
                              <w:t>8 9 10 li 12 13 14 15 16 1/ 18 19 20 21 22 23 24 25 26 27 20 29 30 31</w:t>
                            </w:r>
                          </w:p>
                        </w:txbxContent>
                      </wps:txbx>
                      <wps:bodyPr lIns="0" tIns="0" rIns="0" bIns="0"/>
                    </wps:wsp>
                  </a:graphicData>
                </a:graphic>
              </wp:anchor>
            </w:drawing>
          </mc:Choice>
          <mc:Fallback>
            <w:pict>
              <v:shape id="_x0000_s1056" type="#_x0000_t202" style="position:absolute;margin-left:177.30000000000001pt;margin-top:105.34999999999999pt;width:216.5pt;height:10.550000000000001pt;z-index:251657733;mso-wrap-distance-left:0;mso-wrap-distance-right:0;mso-position-horizontal-relative:page" filled="f" stroked="f">
                <v:textbox inset="0,0,0,0">
                  <w:txbxContent>
                    <w:p>
                      <w:pPr>
                        <w:pStyle w:val="Style2"/>
                        <w:keepNext w:val="0"/>
                        <w:keepLines w:val="0"/>
                        <w:widowControl w:val="0"/>
                        <w:shd w:val="clear" w:color="auto" w:fill="auto"/>
                        <w:tabs>
                          <w:tab w:pos="134" w:val="left"/>
                          <w:tab w:pos="269" w:val="left"/>
                          <w:tab w:pos="557" w:val="left"/>
                          <w:tab w:pos="840" w:val="left"/>
                          <w:tab w:pos="974" w:val="left"/>
                        </w:tabs>
                        <w:bidi w:val="0"/>
                        <w:spacing w:before="0" w:after="0" w:line="240" w:lineRule="auto"/>
                        <w:ind w:left="0" w:right="0" w:firstLine="0"/>
                        <w:jc w:val="left"/>
                        <w:rPr>
                          <w:sz w:val="8"/>
                          <w:szCs w:val="8"/>
                        </w:rPr>
                      </w:pPr>
                      <w:r>
                        <w:rPr>
                          <w:b/>
                          <w:bCs/>
                          <w:color w:val="B4BCC2"/>
                          <w:spacing w:val="0"/>
                          <w:w w:val="100"/>
                          <w:position w:val="0"/>
                          <w:sz w:val="8"/>
                          <w:szCs w:val="8"/>
                          <w:shd w:val="clear" w:color="auto" w:fill="auto"/>
                          <w:lang w:val="cs-CZ" w:eastAsia="cs-CZ" w:bidi="cs-CZ"/>
                        </w:rPr>
                        <w:t>1</w:t>
                        <w:tab/>
                        <w:t>2</w:t>
                        <w:tab/>
                        <w:t>3 4</w:t>
                        <w:tab/>
                        <w:t>56</w:t>
                        <w:tab/>
                      </w:r>
                      <w:r>
                        <w:rPr>
                          <w:b/>
                          <w:bCs/>
                          <w:i/>
                          <w:iCs/>
                          <w:color w:val="B4BCC2"/>
                          <w:spacing w:val="0"/>
                          <w:w w:val="100"/>
                          <w:position w:val="0"/>
                          <w:sz w:val="15"/>
                          <w:szCs w:val="15"/>
                          <w:shd w:val="clear" w:color="auto" w:fill="auto"/>
                          <w:lang w:val="cs-CZ" w:eastAsia="cs-CZ" w:bidi="cs-CZ"/>
                        </w:rPr>
                        <w:t>1</w:t>
                      </w:r>
                      <w:r>
                        <w:rPr>
                          <w:b/>
                          <w:bCs/>
                          <w:color w:val="B4BCC2"/>
                          <w:spacing w:val="0"/>
                          <w:w w:val="100"/>
                          <w:position w:val="0"/>
                          <w:sz w:val="8"/>
                          <w:szCs w:val="8"/>
                          <w:shd w:val="clear" w:color="auto" w:fill="auto"/>
                          <w:lang w:val="cs-CZ" w:eastAsia="cs-CZ" w:bidi="cs-CZ"/>
                        </w:rPr>
                        <w:tab/>
                        <w:t>8 9 10 li 12 13 14 15 16 1/ 18 19 20 21 22 23 24 25 26 27 20 29 30 31</w:t>
                      </w:r>
                    </w:p>
                  </w:txbxContent>
                </v:textbox>
                <w10:wrap anchorx="page"/>
              </v:shape>
            </w:pict>
          </mc:Fallback>
        </mc:AlternateContent>
      </w:r>
    </w:p>
    <w:p w:rsidR="00215B20" w:rsidRDefault="00FD0AA3">
      <w:pPr>
        <w:rPr>
          <w:sz w:val="2"/>
          <w:szCs w:val="2"/>
        </w:rPr>
      </w:pPr>
      <w:r>
        <w:rPr>
          <w:noProof/>
          <w:lang w:bidi="ar-SA"/>
        </w:rPr>
        <w:lastRenderedPageBreak/>
        <w:drawing>
          <wp:inline distT="0" distB="0" distL="0" distR="0">
            <wp:extent cx="658495" cy="47561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stretch/>
                  </pic:blipFill>
                  <pic:spPr>
                    <a:xfrm>
                      <a:off x="0" y="0"/>
                      <a:ext cx="658495" cy="475615"/>
                    </a:xfrm>
                    <a:prstGeom prst="rect">
                      <a:avLst/>
                    </a:prstGeom>
                  </pic:spPr>
                </pic:pic>
              </a:graphicData>
            </a:graphic>
          </wp:inline>
        </w:drawing>
      </w:r>
    </w:p>
    <w:p w:rsidR="00215B20" w:rsidRDefault="00215B20">
      <w:pPr>
        <w:spacing w:after="679" w:line="1" w:lineRule="exact"/>
      </w:pPr>
    </w:p>
    <w:p w:rsidR="00215B20" w:rsidRDefault="00FD0AA3">
      <w:pPr>
        <w:pStyle w:val="Nadpis60"/>
        <w:keepNext/>
        <w:keepLines/>
        <w:numPr>
          <w:ilvl w:val="2"/>
          <w:numId w:val="1"/>
        </w:numPr>
        <w:shd w:val="clear" w:color="auto" w:fill="auto"/>
        <w:tabs>
          <w:tab w:val="left" w:pos="684"/>
        </w:tabs>
        <w:spacing w:line="257" w:lineRule="auto"/>
        <w:jc w:val="both"/>
      </w:pPr>
      <w:bookmarkStart w:id="30" w:name="bookmark30"/>
      <w:bookmarkStart w:id="31" w:name="bookmark31"/>
      <w:r>
        <w:rPr>
          <w:color w:val="231F20"/>
        </w:rPr>
        <w:t xml:space="preserve">Účtováni </w:t>
      </w:r>
      <w:r>
        <w:rPr>
          <w:color w:val="231F20"/>
        </w:rPr>
        <w:t xml:space="preserve">přípojky s </w:t>
      </w:r>
      <w:proofErr w:type="gramStart"/>
      <w:r>
        <w:rPr>
          <w:color w:val="231F20"/>
        </w:rPr>
        <w:t>95%</w:t>
      </w:r>
      <w:proofErr w:type="gramEnd"/>
      <w:r>
        <w:rPr>
          <w:color w:val="231F20"/>
        </w:rPr>
        <w:t xml:space="preserve"> percentilem</w:t>
      </w:r>
      <w:bookmarkEnd w:id="30"/>
      <w:bookmarkEnd w:id="31"/>
    </w:p>
    <w:p w:rsidR="00215B20" w:rsidRDefault="00FD0AA3">
      <w:pPr>
        <w:pStyle w:val="Zkladntext1"/>
        <w:shd w:val="clear" w:color="auto" w:fill="auto"/>
        <w:spacing w:after="260"/>
        <w:jc w:val="both"/>
      </w:pPr>
      <w:r>
        <w:t xml:space="preserve">Poskytovatel na službě Přípojka s </w:t>
      </w:r>
      <w:proofErr w:type="gramStart"/>
      <w:r>
        <w:t>95%</w:t>
      </w:r>
      <w:proofErr w:type="gramEnd"/>
      <w:r>
        <w:t xml:space="preserve"> percentilem pravidelně, v pětiminutových intervalech, odečítá hodnoty čítačů přenesených dat na portu Služby. Na základě takto naměřených dat stanoví průměrnou hodnotu přenosové rychlosti pro</w:t>
      </w:r>
      <w:r>
        <w:t xml:space="preserve"> dané pětiminutové okno v bitech za sekundu. Na konci každého zúčtovacího období jsou hodnoty průměrných pětiminutových přenosových rychlostí seřazeny od nejvyšší hodnoty k nejnižší, a to samostatně pro každý přenosový směr. Hodnota 95. percentilu je pak s</w:t>
      </w:r>
      <w:r>
        <w:t>tanovena tak, že se z tohoto seznamu průměrných přenosových rychlostí odstraní 5% (z počtu hodnot) nejvyšších hodnot. Poslední nejvyšší hodnota po tomto odstranění reprezentuje 95. percentil. Tato hodnota je použita pro vlastní zúčtování využití Služby Pří</w:t>
      </w:r>
      <w:r>
        <w:t xml:space="preserve">pojka s </w:t>
      </w:r>
      <w:proofErr w:type="gramStart"/>
      <w:r>
        <w:t>95%</w:t>
      </w:r>
      <w:proofErr w:type="gramEnd"/>
      <w:r>
        <w:t xml:space="preserve"> percentilem.</w:t>
      </w:r>
    </w:p>
    <w:p w:rsidR="00215B20" w:rsidRDefault="00FD0AA3">
      <w:pPr>
        <w:jc w:val="center"/>
        <w:rPr>
          <w:sz w:val="2"/>
          <w:szCs w:val="2"/>
        </w:rPr>
      </w:pPr>
      <w:r>
        <w:rPr>
          <w:noProof/>
          <w:lang w:bidi="ar-SA"/>
        </w:rPr>
        <w:drawing>
          <wp:inline distT="0" distB="0" distL="0" distR="0">
            <wp:extent cx="3615055" cy="162750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a:stretch/>
                  </pic:blipFill>
                  <pic:spPr>
                    <a:xfrm>
                      <a:off x="0" y="0"/>
                      <a:ext cx="3615055" cy="1627505"/>
                    </a:xfrm>
                    <a:prstGeom prst="rect">
                      <a:avLst/>
                    </a:prstGeom>
                  </pic:spPr>
                </pic:pic>
              </a:graphicData>
            </a:graphic>
          </wp:inline>
        </w:drawing>
      </w:r>
    </w:p>
    <w:p w:rsidR="00215B20" w:rsidRDefault="00215B20">
      <w:pPr>
        <w:spacing w:after="259" w:line="1" w:lineRule="exact"/>
      </w:pPr>
    </w:p>
    <w:p w:rsidR="00215B20" w:rsidRDefault="00FD0AA3">
      <w:pPr>
        <w:pStyle w:val="Zkladntext1"/>
        <w:shd w:val="clear" w:color="auto" w:fill="auto"/>
        <w:spacing w:line="254" w:lineRule="auto"/>
        <w:jc w:val="both"/>
      </w:pPr>
      <w:r>
        <w:t xml:space="preserve">Za Standardní (základní) kapacitu Služby Smluvní partner hradí sjednanou pravidelnou měsíční cenu a za nadlimitně využitou kapacitu Služby v rámci tzv. „Burstu“ pak jednotkovou cenu (1Mbit/s/zúčtovací období) dle cen sjednaných </w:t>
      </w:r>
      <w:r>
        <w:t>ve Specifikaci služby.</w:t>
      </w:r>
    </w:p>
    <w:p w:rsidR="00215B20" w:rsidRDefault="00FD0AA3">
      <w:pPr>
        <w:pStyle w:val="Zkladntext1"/>
        <w:shd w:val="clear" w:color="auto" w:fill="auto"/>
        <w:spacing w:line="254" w:lineRule="auto"/>
        <w:jc w:val="both"/>
      </w:pPr>
      <w:r>
        <w:t>Součástí Služby je zřízení doplňkové Služby Provozní statistiky ve variantě Basic a souhrnný report o Přípojce s 95% percentilem - Základní a Maximální kapacita Služby a hodnoty 95% percentilu.</w:t>
      </w:r>
    </w:p>
    <w:p w:rsidR="00215B20" w:rsidRDefault="00FD0AA3">
      <w:pPr>
        <w:pStyle w:val="Zkladntext1"/>
        <w:shd w:val="clear" w:color="auto" w:fill="auto"/>
        <w:spacing w:line="262" w:lineRule="auto"/>
        <w:jc w:val="both"/>
      </w:pPr>
      <w:r>
        <w:t xml:space="preserve">Přípojka s </w:t>
      </w:r>
      <w:proofErr w:type="gramStart"/>
      <w:r>
        <w:t>95%</w:t>
      </w:r>
      <w:proofErr w:type="gramEnd"/>
      <w:r>
        <w:t xml:space="preserve"> percentilem je dostupná </w:t>
      </w:r>
      <w:r>
        <w:t>pouze pro vybrané přístupové technologie, přičemž detaily řešení jsou Smluvnímu partnerovi poskytnuty vždy na vyžádání.</w:t>
      </w:r>
    </w:p>
    <w:p w:rsidR="00215B20" w:rsidRDefault="00FD0AA3">
      <w:pPr>
        <w:pStyle w:val="Zkladntext1"/>
        <w:shd w:val="clear" w:color="auto" w:fill="auto"/>
        <w:spacing w:after="260" w:line="254" w:lineRule="auto"/>
        <w:jc w:val="both"/>
      </w:pPr>
      <w:r>
        <w:t xml:space="preserve">Přípojka s </w:t>
      </w:r>
      <w:proofErr w:type="gramStart"/>
      <w:r>
        <w:t>95%</w:t>
      </w:r>
      <w:proofErr w:type="gramEnd"/>
      <w:r>
        <w:t xml:space="preserve"> percentilem je dostupná pouze pro přípojky realizované v České republice. Tato funkcionalita není podporována standardně,</w:t>
      </w:r>
      <w:r>
        <w:t xml:space="preserve"> ale pouze v případech, kdy ji Smluvní partner výslovně vyžaduje (kdy je tedy výslovně sjednána ve Specifikaci služby).</w:t>
      </w:r>
    </w:p>
    <w:p w:rsidR="00215B20" w:rsidRDefault="00FD0AA3">
      <w:pPr>
        <w:pStyle w:val="Nadpis60"/>
        <w:keepNext/>
        <w:keepLines/>
        <w:numPr>
          <w:ilvl w:val="0"/>
          <w:numId w:val="1"/>
        </w:numPr>
        <w:shd w:val="clear" w:color="auto" w:fill="auto"/>
        <w:tabs>
          <w:tab w:val="left" w:pos="353"/>
        </w:tabs>
        <w:spacing w:line="240" w:lineRule="auto"/>
        <w:jc w:val="both"/>
        <w:rPr>
          <w:sz w:val="16"/>
          <w:szCs w:val="16"/>
        </w:rPr>
      </w:pPr>
      <w:bookmarkStart w:id="32" w:name="bookmark32"/>
      <w:bookmarkStart w:id="33" w:name="bookmark33"/>
      <w:r>
        <w:rPr>
          <w:sz w:val="16"/>
          <w:szCs w:val="16"/>
        </w:rPr>
        <w:t>Uzavření a doba trvání Specifikace služby</w:t>
      </w:r>
      <w:bookmarkEnd w:id="32"/>
      <w:bookmarkEnd w:id="33"/>
    </w:p>
    <w:p w:rsidR="00215B20" w:rsidRDefault="00FD0AA3">
      <w:pPr>
        <w:pStyle w:val="Zkladntext1"/>
        <w:shd w:val="clear" w:color="auto" w:fill="auto"/>
        <w:spacing w:line="254" w:lineRule="auto"/>
        <w:jc w:val="both"/>
      </w:pPr>
      <w:r>
        <w:t>Specifikaci služby může Smluvní partner uzavřít v listinné formě, elektronicky případně prostř</w:t>
      </w:r>
      <w:r>
        <w:t>ednictvím telefonické komunikace či webového portálu, pokud to podmínky dané služby umožňují.</w:t>
      </w:r>
    </w:p>
    <w:p w:rsidR="00215B20" w:rsidRDefault="00FD0AA3">
      <w:pPr>
        <w:pStyle w:val="Zkladntext1"/>
        <w:shd w:val="clear" w:color="auto" w:fill="auto"/>
        <w:spacing w:line="254" w:lineRule="auto"/>
        <w:jc w:val="both"/>
      </w:pPr>
      <w:r>
        <w:t>V případě uzavření Specifikace služby v listinné formě osobně na prodejně či prostřednictvím obchodního zástupce je nutné, aby Smluvní partner předložil dokumenty</w:t>
      </w:r>
      <w:r>
        <w:t xml:space="preserve"> potřebné k ověření jeho totožnosti</w:t>
      </w:r>
    </w:p>
    <w:p w:rsidR="00215B20" w:rsidRDefault="00FD0AA3">
      <w:pPr>
        <w:pStyle w:val="Zkladntext1"/>
        <w:shd w:val="clear" w:color="auto" w:fill="auto"/>
        <w:jc w:val="both"/>
      </w:pPr>
      <w:r>
        <w:t xml:space="preserve">Smluvní partner je povinen poskytnout Poskytovateli veškerou potřebnou součinnost v souvislosti s plněním Specifikace služby. V případě, že Smluvní partner takovouto součinnost neposkytne, není Poskytovatel v prodlení s </w:t>
      </w:r>
      <w:r>
        <w:t>plněním svých povinností (zejm. není v prodlení se zřízením, změnou, či poskytováním Služby ani odstraněním poruchy, vady, či výpadku Služby).</w:t>
      </w:r>
    </w:p>
    <w:p w:rsidR="00215B20" w:rsidRDefault="00FD0AA3">
      <w:pPr>
        <w:pStyle w:val="Zkladntext1"/>
        <w:shd w:val="clear" w:color="auto" w:fill="auto"/>
        <w:jc w:val="both"/>
      </w:pPr>
      <w:r>
        <w:t>Dnem aktivace Služby se stává Specifikace služby účinnou, nedohodnou-li se smluvní strany v příslušné Specifikaci</w:t>
      </w:r>
      <w:r>
        <w:t xml:space="preserve"> služby jinak. Vyžaduje-li však zákon pro nabytí účinnosti Specifikace služby splnění další podmínky, nabývá účinnosti dnem, kdy je Služba aktivní a zákonem vyžadovaná podmínka je splněna.</w:t>
      </w:r>
    </w:p>
    <w:p w:rsidR="00215B20" w:rsidRDefault="00FD0AA3">
      <w:pPr>
        <w:pStyle w:val="Zkladntext1"/>
        <w:shd w:val="clear" w:color="auto" w:fill="auto"/>
        <w:jc w:val="both"/>
      </w:pPr>
      <w:r>
        <w:t>Za aktivaci/zřízení Služby je účtován poplatek dle Ceníku služby.</w:t>
      </w:r>
    </w:p>
    <w:p w:rsidR="00215B20" w:rsidRDefault="00FD0AA3">
      <w:pPr>
        <w:pStyle w:val="Zkladntext1"/>
        <w:shd w:val="clear" w:color="auto" w:fill="auto"/>
        <w:jc w:val="both"/>
      </w:pPr>
      <w:r>
        <w:t>S</w:t>
      </w:r>
      <w:r>
        <w:t>pecifikaci služby lze uzavřít na dobu určitou nebo neurčitou.</w:t>
      </w:r>
    </w:p>
    <w:p w:rsidR="00215B20" w:rsidRDefault="00FD0AA3">
      <w:pPr>
        <w:pStyle w:val="Zkladntext1"/>
        <w:shd w:val="clear" w:color="auto" w:fill="auto"/>
        <w:spacing w:after="260" w:line="262" w:lineRule="auto"/>
        <w:jc w:val="both"/>
      </w:pPr>
      <w:r>
        <w:t>Specifikace služby zaniká dohodou, výpovědí, odstoupením, smrtí Účastníka, nebo zánikem Smluvního partnera či Poskytovatele bez právního nástupce případně z jiných důvodů stanovených zákonem.</w:t>
      </w:r>
    </w:p>
    <w:p w:rsidR="00215B20" w:rsidRDefault="00FD0AA3">
      <w:pPr>
        <w:pStyle w:val="Nadpis60"/>
        <w:keepNext/>
        <w:keepLines/>
        <w:numPr>
          <w:ilvl w:val="0"/>
          <w:numId w:val="1"/>
        </w:numPr>
        <w:shd w:val="clear" w:color="auto" w:fill="auto"/>
        <w:tabs>
          <w:tab w:val="left" w:pos="353"/>
        </w:tabs>
        <w:spacing w:line="240" w:lineRule="auto"/>
        <w:jc w:val="both"/>
        <w:rPr>
          <w:sz w:val="16"/>
          <w:szCs w:val="16"/>
        </w:rPr>
      </w:pPr>
      <w:bookmarkStart w:id="34" w:name="bookmark34"/>
      <w:bookmarkStart w:id="35" w:name="bookmark35"/>
      <w:r>
        <w:rPr>
          <w:sz w:val="16"/>
          <w:szCs w:val="16"/>
        </w:rPr>
        <w:t>Ceny a platby související s poskytnutou Službou</w:t>
      </w:r>
      <w:bookmarkEnd w:id="34"/>
      <w:bookmarkEnd w:id="35"/>
    </w:p>
    <w:p w:rsidR="00215B20" w:rsidRDefault="00FD0AA3">
      <w:pPr>
        <w:pStyle w:val="Zkladntext1"/>
        <w:shd w:val="clear" w:color="auto" w:fill="auto"/>
        <w:spacing w:line="262" w:lineRule="auto"/>
        <w:jc w:val="both"/>
      </w:pPr>
      <w:r>
        <w:t>Ceny Služby se řídí platným Ceníkem služby. Smluvní strany si mohou cenu služby popř. jejích komponent individuálně sjednat ve Specifikaci služby, popř. jiném Smluvním dokumentu.</w:t>
      </w:r>
    </w:p>
    <w:p w:rsidR="00215B20" w:rsidRDefault="00FD0AA3">
      <w:pPr>
        <w:pStyle w:val="Zkladntext1"/>
        <w:shd w:val="clear" w:color="auto" w:fill="auto"/>
        <w:spacing w:after="260" w:line="262" w:lineRule="auto"/>
        <w:jc w:val="both"/>
      </w:pPr>
      <w:r>
        <w:t>Servisní úkony (např. nadstan</w:t>
      </w:r>
      <w:r>
        <w:t>dardní instalace, mimozáruční opravy, marný výjezd) jsou Poskytovatelem poskytovány za ceny uvedené v Ceníku služby.</w:t>
      </w:r>
    </w:p>
    <w:p w:rsidR="00215B20" w:rsidRDefault="00FD0AA3">
      <w:pPr>
        <w:pStyle w:val="Nadpis60"/>
        <w:keepNext/>
        <w:keepLines/>
        <w:numPr>
          <w:ilvl w:val="0"/>
          <w:numId w:val="1"/>
        </w:numPr>
        <w:shd w:val="clear" w:color="auto" w:fill="auto"/>
        <w:tabs>
          <w:tab w:val="left" w:pos="353"/>
        </w:tabs>
        <w:spacing w:line="240" w:lineRule="auto"/>
        <w:jc w:val="both"/>
        <w:rPr>
          <w:sz w:val="16"/>
          <w:szCs w:val="16"/>
        </w:rPr>
      </w:pPr>
      <w:bookmarkStart w:id="36" w:name="bookmark36"/>
      <w:bookmarkStart w:id="37" w:name="bookmark37"/>
      <w:r>
        <w:rPr>
          <w:sz w:val="16"/>
          <w:szCs w:val="16"/>
        </w:rPr>
        <w:t>Změna poskytovatele Služby</w:t>
      </w:r>
      <w:bookmarkEnd w:id="36"/>
      <w:bookmarkEnd w:id="37"/>
    </w:p>
    <w:p w:rsidR="00215B20" w:rsidRDefault="00FD0AA3">
      <w:pPr>
        <w:pStyle w:val="Zkladntext1"/>
        <w:shd w:val="clear" w:color="auto" w:fill="auto"/>
        <w:spacing w:line="262" w:lineRule="auto"/>
        <w:jc w:val="both"/>
      </w:pPr>
      <w:r>
        <w:t>Každý Smluvní partner má možnost si v souladu s Podmínkami změny poskytovatele služby přístupu k internetu požád</w:t>
      </w:r>
      <w:r>
        <w:t>at o přenos každé služby elektronických komunikací k jinému poskytovateli služeb elektronických komunikací.</w:t>
      </w:r>
    </w:p>
    <w:p w:rsidR="00215B20" w:rsidRDefault="00FD0AA3">
      <w:pPr>
        <w:pStyle w:val="Zkladntext1"/>
        <w:shd w:val="clear" w:color="auto" w:fill="auto"/>
        <w:spacing w:line="254" w:lineRule="auto"/>
        <w:jc w:val="both"/>
      </w:pPr>
      <w:r>
        <w:t>Poskytovatel doporučuje Smluvnímu partnerovi, aby před zahájením přenosu Služby či jejích komponent ověřil u nového poskytovatele technické možnosti</w:t>
      </w:r>
      <w:r>
        <w:t xml:space="preserve"> přenesení a dalšího poskytování Služby v parametrech sjednaných ve Specifikaci služby.</w:t>
      </w:r>
    </w:p>
    <w:p w:rsidR="00215B20" w:rsidRDefault="00FD0AA3">
      <w:pPr>
        <w:pStyle w:val="Zkladntext1"/>
        <w:shd w:val="clear" w:color="auto" w:fill="auto"/>
        <w:spacing w:line="254" w:lineRule="auto"/>
        <w:jc w:val="both"/>
      </w:pPr>
      <w:r>
        <w:t>Dojde-li ke zpoždění či zneužití změny poskytovatele, jež bylo způsobeno pochybením Poskytovatele, tak se Poskytovatel zavazuje Smluvnímu partnerovi uhradit paušální ná</w:t>
      </w:r>
      <w:r>
        <w:t>hradu dle výpočtu stanoveného příslušným prováděcím předpisem.</w:t>
      </w:r>
    </w:p>
    <w:p w:rsidR="00215B20" w:rsidRDefault="00FD0AA3">
      <w:pPr>
        <w:pStyle w:val="Zkladntext1"/>
        <w:shd w:val="clear" w:color="auto" w:fill="auto"/>
        <w:spacing w:after="260"/>
        <w:jc w:val="both"/>
      </w:pPr>
      <w:r>
        <w:t>Se změnou Poskytovatele nejsou spojeny žádné poplatky.</w:t>
      </w:r>
    </w:p>
    <w:p w:rsidR="00215B20" w:rsidRDefault="00FD0AA3">
      <w:pPr>
        <w:pStyle w:val="Nadpis60"/>
        <w:keepNext/>
        <w:keepLines/>
        <w:numPr>
          <w:ilvl w:val="0"/>
          <w:numId w:val="1"/>
        </w:numPr>
        <w:shd w:val="clear" w:color="auto" w:fill="auto"/>
        <w:tabs>
          <w:tab w:val="left" w:pos="353"/>
        </w:tabs>
        <w:spacing w:line="240" w:lineRule="auto"/>
        <w:jc w:val="both"/>
        <w:rPr>
          <w:sz w:val="16"/>
          <w:szCs w:val="16"/>
        </w:rPr>
      </w:pPr>
      <w:bookmarkStart w:id="38" w:name="bookmark38"/>
      <w:bookmarkStart w:id="39" w:name="bookmark39"/>
      <w:r>
        <w:rPr>
          <w:sz w:val="16"/>
          <w:szCs w:val="16"/>
        </w:rPr>
        <w:t>Zálohy a obdobné platby</w:t>
      </w:r>
      <w:bookmarkEnd w:id="38"/>
      <w:bookmarkEnd w:id="39"/>
    </w:p>
    <w:p w:rsidR="00215B20" w:rsidRDefault="00FD0AA3">
      <w:pPr>
        <w:pStyle w:val="Zkladntext1"/>
        <w:shd w:val="clear" w:color="auto" w:fill="auto"/>
        <w:jc w:val="both"/>
      </w:pPr>
      <w:r>
        <w:t>Poskytovatel může vybírat následující zálohy:</w:t>
      </w:r>
    </w:p>
    <w:p w:rsidR="00215B20" w:rsidRDefault="00FD0AA3">
      <w:pPr>
        <w:pStyle w:val="Zkladntext1"/>
        <w:shd w:val="clear" w:color="auto" w:fill="auto"/>
        <w:tabs>
          <w:tab w:val="left" w:pos="684"/>
        </w:tabs>
        <w:ind w:firstLine="380"/>
        <w:jc w:val="both"/>
      </w:pPr>
      <w:r>
        <w:rPr>
          <w:color w:val="DE1273"/>
        </w:rPr>
        <w:t>■</w:t>
      </w:r>
      <w:r>
        <w:rPr>
          <w:color w:val="DE1273"/>
        </w:rPr>
        <w:tab/>
      </w:r>
      <w:r>
        <w:t>na Služby;</w:t>
      </w:r>
    </w:p>
    <w:p w:rsidR="00215B20" w:rsidRDefault="00FD0AA3">
      <w:pPr>
        <w:rPr>
          <w:sz w:val="2"/>
          <w:szCs w:val="2"/>
        </w:rPr>
      </w:pPr>
      <w:r>
        <w:rPr>
          <w:noProof/>
          <w:lang w:bidi="ar-SA"/>
        </w:rPr>
        <w:lastRenderedPageBreak/>
        <w:drawing>
          <wp:inline distT="0" distB="0" distL="0" distR="0">
            <wp:extent cx="658495" cy="47561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stretch/>
                  </pic:blipFill>
                  <pic:spPr>
                    <a:xfrm>
                      <a:off x="0" y="0"/>
                      <a:ext cx="658495" cy="475615"/>
                    </a:xfrm>
                    <a:prstGeom prst="rect">
                      <a:avLst/>
                    </a:prstGeom>
                  </pic:spPr>
                </pic:pic>
              </a:graphicData>
            </a:graphic>
          </wp:inline>
        </w:drawing>
      </w:r>
    </w:p>
    <w:p w:rsidR="00215B20" w:rsidRDefault="00215B20">
      <w:pPr>
        <w:spacing w:after="699" w:line="1" w:lineRule="exact"/>
      </w:pPr>
    </w:p>
    <w:p w:rsidR="00215B20" w:rsidRDefault="00FD0AA3">
      <w:pPr>
        <w:pStyle w:val="Zkladntext1"/>
        <w:numPr>
          <w:ilvl w:val="0"/>
          <w:numId w:val="2"/>
        </w:numPr>
        <w:shd w:val="clear" w:color="auto" w:fill="auto"/>
        <w:tabs>
          <w:tab w:val="left" w:pos="750"/>
        </w:tabs>
        <w:spacing w:after="0"/>
        <w:ind w:firstLine="400"/>
      </w:pPr>
      <w:r>
        <w:t>mimořádnouzálohu dleVPST;</w:t>
      </w:r>
    </w:p>
    <w:p w:rsidR="00215B20" w:rsidRDefault="00FD0AA3">
      <w:pPr>
        <w:pStyle w:val="Zkladntext1"/>
        <w:numPr>
          <w:ilvl w:val="0"/>
          <w:numId w:val="2"/>
        </w:numPr>
        <w:shd w:val="clear" w:color="auto" w:fill="auto"/>
        <w:tabs>
          <w:tab w:val="left" w:pos="750"/>
        </w:tabs>
        <w:ind w:firstLine="400"/>
      </w:pPr>
      <w:r>
        <w:t xml:space="preserve">zálohu na minimální </w:t>
      </w:r>
      <w:r>
        <w:t>měsíční plnění/částku (MMP).</w:t>
      </w:r>
    </w:p>
    <w:p w:rsidR="00215B20" w:rsidRDefault="00FD0AA3">
      <w:pPr>
        <w:pStyle w:val="Zkladntext1"/>
        <w:shd w:val="clear" w:color="auto" w:fill="auto"/>
        <w:spacing w:after="260" w:line="262" w:lineRule="auto"/>
        <w:jc w:val="both"/>
      </w:pPr>
      <w:r>
        <w:t>Pokud Smluvní partner řádně a včas platí svá vyúčtování a nehrozí žádné finanční riziko, Poskytovatel mu na písemnou výzvu uhrazenou zálohu vrátí snížením částky k úhradě, a do vyúčtování.</w:t>
      </w:r>
    </w:p>
    <w:p w:rsidR="00215B20" w:rsidRDefault="00FD0AA3">
      <w:pPr>
        <w:pStyle w:val="Nadpis60"/>
        <w:keepNext/>
        <w:keepLines/>
        <w:numPr>
          <w:ilvl w:val="0"/>
          <w:numId w:val="1"/>
        </w:numPr>
        <w:shd w:val="clear" w:color="auto" w:fill="auto"/>
        <w:tabs>
          <w:tab w:val="left" w:pos="352"/>
        </w:tabs>
        <w:spacing w:line="240" w:lineRule="auto"/>
        <w:rPr>
          <w:sz w:val="16"/>
          <w:szCs w:val="16"/>
        </w:rPr>
      </w:pPr>
      <w:bookmarkStart w:id="40" w:name="bookmark40"/>
      <w:bookmarkStart w:id="41" w:name="bookmark41"/>
      <w:r>
        <w:rPr>
          <w:sz w:val="16"/>
          <w:szCs w:val="16"/>
        </w:rPr>
        <w:t>Informace o postupech při porušení pov</w:t>
      </w:r>
      <w:r>
        <w:rPr>
          <w:sz w:val="16"/>
          <w:szCs w:val="16"/>
        </w:rPr>
        <w:t>inností ze strany Poskytovatele</w:t>
      </w:r>
      <w:bookmarkEnd w:id="40"/>
      <w:bookmarkEnd w:id="41"/>
    </w:p>
    <w:p w:rsidR="00215B20" w:rsidRDefault="00FD0AA3">
      <w:pPr>
        <w:pStyle w:val="Zkladntext1"/>
        <w:shd w:val="clear" w:color="auto" w:fill="auto"/>
        <w:jc w:val="both"/>
      </w:pPr>
      <w:r>
        <w:t>Poskytovatel se zavazuje poskytovat Smluvním partnerům Službu v co nejvyšší možné kvalitě. Kvalita Služby je závislá na kvalitě jednotlivých komponent Služby, z nichž některé mohou, ale nemusí být poskytovány Poskytovatelem.</w:t>
      </w:r>
      <w:r>
        <w:t xml:space="preserve"> Minimální garantovaná kvalita jednotlivých komponent Služby je definována ve Smluvních dokumentech zejména v ustanovení 1 tohoto Popisu. Je-li sjednáno SLA, je služba poskytována v kvalitě v něm sjednané. SLA zejména stanoví podmínky pro kvalitu Služby, o</w:t>
      </w:r>
      <w:r>
        <w:t>dstranění Poruch Služby a případné sankce při nesplnění termínů pro odstranění Poruchy či nedostupnosti Služby. Poskytovatel se dále zavazuje k minimální dostupnosti Služby ve výši 90%/měsíc, není-li dohodnuto smluvními stranami jinak. Postup pro výpočet m</w:t>
      </w:r>
      <w:r>
        <w:t>ěsíční dostupnosti Služby je uveden v Obchodních podmínkách smlouvy o firemním řešení/Obchodních podmínkách pevných služeb. V případě, že Smluvní partner nebude spokojen s poskytovanou kvalitou Služeb, má právo Služby reklamovat, a to ve lhůtě dvou (2) měs</w:t>
      </w:r>
      <w:r>
        <w:t xml:space="preserve">íců od jejich poskytnutí, jinak právo zanikne. Reklamaci může Smluvní partner podat písemně prostřednictvím zákaznického centra na e-mailové adrese </w:t>
      </w:r>
      <w:hyperlink r:id="rId21" w:history="1">
        <w:r w:rsidR="00920265">
          <w:rPr>
            <w:lang w:eastAsia="en-US" w:bidi="en-US"/>
          </w:rPr>
          <w:t>xxx</w:t>
        </w:r>
      </w:hyperlink>
      <w:r w:rsidRPr="00920265">
        <w:rPr>
          <w:lang w:eastAsia="en-US" w:bidi="en-US"/>
        </w:rPr>
        <w:t xml:space="preserve"> </w:t>
      </w:r>
      <w:r>
        <w:t>nebo osobně v kterékoliv značkové prodejně Po</w:t>
      </w:r>
      <w:r>
        <w:t>skytovatele.</w:t>
      </w:r>
    </w:p>
    <w:p w:rsidR="00215B20" w:rsidRDefault="00FD0AA3">
      <w:pPr>
        <w:pStyle w:val="Zkladntext1"/>
        <w:shd w:val="clear" w:color="auto" w:fill="auto"/>
        <w:jc w:val="both"/>
      </w:pPr>
      <w:r>
        <w:t>Poskytovatel reklamaci vyřídí bezodkladně, nejpozději však do jednoho (1) měsíce ode dne jejího doručení. V případě, že je třeba projednat reklamaci se zahraničním provozovatelem, obdrží Smluvní partner vyřízení reklamace do dvou (2) měsíců. P</w:t>
      </w:r>
      <w:r>
        <w:t>okud s řešením reklamace nebude Smluvní partner souhlasit, může do jednoho (1) měsíce od vyřízení reklamace uplatnit námitky proti jejímu vyřízení u příslušného orgánu (viz níže).</w:t>
      </w:r>
    </w:p>
    <w:p w:rsidR="00215B20" w:rsidRDefault="00FD0AA3">
      <w:pPr>
        <w:pStyle w:val="Zkladntext1"/>
        <w:shd w:val="clear" w:color="auto" w:fill="auto"/>
        <w:jc w:val="both"/>
      </w:pPr>
      <w:r>
        <w:t>Pokud došlo k výpadku Služby, resp. bylo možné Službu využít jen částečně, a</w:t>
      </w:r>
      <w:r>
        <w:t>nebo ji nebylo možno využít vůbec pro závadu technického nebo provozního charakteru na straně Poskytovatele, může Smluvní partner Službu reklamovat a Poskytovatel je povinen závadu odstranit a přiměřeně snížit cenu Služby. Poskytovatel není povinen nahradi</w:t>
      </w:r>
      <w:r>
        <w:t>t škodu, která vznikne Smluvnímu partnerovi v důsledku přerušení Služby nebo vadného poskytnutí Služby. V případě, že se bude jednat o neodstranitelnou závadu, je Smluvní partner oprávněn od Smlouvy odstoupit.</w:t>
      </w:r>
    </w:p>
    <w:p w:rsidR="00215B20" w:rsidRDefault="00FD0AA3">
      <w:pPr>
        <w:pStyle w:val="Zkladntext1"/>
        <w:shd w:val="clear" w:color="auto" w:fill="auto"/>
        <w:jc w:val="both"/>
      </w:pPr>
      <w:r>
        <w:t>V případě velké trvající či velké opakující se</w:t>
      </w:r>
      <w:r>
        <w:t xml:space="preserve"> odchylky (dále společně také „odchylka“) skutečného výkonu služby přístupu k internetu či v případě výpadku služby přístupu k internetu (dále jen „výpadek“) má Smluvní partner právo poskytovanou službu reklamovat. V případě oprávněné reklamace, tj. bude-l</w:t>
      </w:r>
      <w:r>
        <w:t>i prokázána odchylka či prokázán výpadek, má Smluvní partner právo na snížení ceny služby, resp. odstranění vady způsobující výpadek co nejdříve, maximálně však do 30 dnů. Reklamoval-li Smluvní partner odchylku třikrát oprávněně, příp. není-li vada odstran</w:t>
      </w:r>
      <w:r>
        <w:t xml:space="preserve">itelná, má Smluvní partner právo ukončit Specifikaci služby bez sankce (tím není dotčeno právo Poskytovatele na náhradu nákladů souvisejících se zařízením poskytnutým za zvýhodněných podmínek, bylo-li Smluvnímu partnerovi poskytnuto), a to k datu doručení </w:t>
      </w:r>
      <w:r>
        <w:t>žádosti o ukončení Specifikace služby z tohoto důvodu.</w:t>
      </w:r>
    </w:p>
    <w:p w:rsidR="00215B20" w:rsidRDefault="00FD0AA3">
      <w:pPr>
        <w:pStyle w:val="Zkladntext1"/>
        <w:shd w:val="clear" w:color="auto" w:fill="auto"/>
        <w:jc w:val="both"/>
      </w:pPr>
      <w:r>
        <w:t xml:space="preserve">Za velkou trvající odchylku od běžně dostupné rychlosti stahování </w:t>
      </w:r>
      <w:r w:rsidRPr="00920265">
        <w:rPr>
          <w:lang w:eastAsia="en-US" w:bidi="en-US"/>
        </w:rPr>
        <w:t xml:space="preserve">(download) </w:t>
      </w:r>
      <w:r>
        <w:t xml:space="preserve">nebo vkládání </w:t>
      </w:r>
      <w:r w:rsidRPr="00920265">
        <w:rPr>
          <w:lang w:eastAsia="en-US" w:bidi="en-US"/>
        </w:rPr>
        <w:t xml:space="preserve">(upload) </w:t>
      </w:r>
      <w:r>
        <w:t>dat se považuje taková odchylka, která vytváří souvislý pokles výkonu služby přístupu k internetu, tj</w:t>
      </w:r>
      <w:r>
        <w:t>. pokles skutečně dosahované rychlosti odpovídající měřením stanovené TCP propustnosti pod definovanou hodnotu běžně dostupné rychlosti v intervalu delším než 70 minut.</w:t>
      </w:r>
    </w:p>
    <w:p w:rsidR="00215B20" w:rsidRDefault="00FD0AA3">
      <w:pPr>
        <w:pStyle w:val="Zkladntext1"/>
        <w:shd w:val="clear" w:color="auto" w:fill="auto"/>
        <w:jc w:val="both"/>
      </w:pPr>
      <w:r>
        <w:t xml:space="preserve">Za velkou opakující se odchylku od běžně dostupné rychlosti stahování </w:t>
      </w:r>
      <w:r w:rsidRPr="00920265">
        <w:rPr>
          <w:lang w:eastAsia="en-US" w:bidi="en-US"/>
        </w:rPr>
        <w:t xml:space="preserve">(download) </w:t>
      </w:r>
      <w:r>
        <w:t>nebo v</w:t>
      </w:r>
      <w:r>
        <w:t xml:space="preserve">kládání </w:t>
      </w:r>
      <w:r w:rsidRPr="00920265">
        <w:rPr>
          <w:lang w:eastAsia="en-US" w:bidi="en-US"/>
        </w:rPr>
        <w:t xml:space="preserve">(upload) </w:t>
      </w:r>
      <w:r>
        <w:t>dat se považuje taková odchylka, při které dojde alespoň ke třem poklesům skutečně dosahované rychlosti odpovídající měřením stanovené TCP propustnosti pod definovanou hodnotu běžně dostupné rychlosti v intervalu delším nebo rovno 3,5 minu</w:t>
      </w:r>
      <w:r>
        <w:t>tám v časovém úseku 90 minut.</w:t>
      </w:r>
    </w:p>
    <w:p w:rsidR="00215B20" w:rsidRDefault="00FD0AA3">
      <w:pPr>
        <w:pStyle w:val="Zkladntext1"/>
        <w:shd w:val="clear" w:color="auto" w:fill="auto"/>
        <w:jc w:val="both"/>
      </w:pPr>
      <w:r>
        <w:t>Porucha Služby způsobená Smluvním partnerem anebo třetí osobou, např. výpadek napájení v koncovém bodu Služby nebo závada na vnitřních síťových rozvodech Smluvního partnera mezi koncovým bodem sítě a koncovým zařízením nebo na</w:t>
      </w:r>
      <w:r>
        <w:t xml:space="preserve"> koncovém zařízení Smluvního partnera, je považována za závadu na straně Smluvního partnera, za kterou neodpovídá poskytovatel, resp. u které si musí zajistit její odstranění na své náklady a riziko sám Smluvní partner.</w:t>
      </w:r>
    </w:p>
    <w:p w:rsidR="00215B20" w:rsidRDefault="00FD0AA3">
      <w:pPr>
        <w:pStyle w:val="Zkladntext1"/>
        <w:shd w:val="clear" w:color="auto" w:fill="auto"/>
        <w:spacing w:after="260" w:line="254" w:lineRule="auto"/>
        <w:jc w:val="both"/>
      </w:pPr>
      <w:r>
        <w:t xml:space="preserve">O sporech mezi Smluvním partnerem a </w:t>
      </w:r>
      <w:r>
        <w:t xml:space="preserve">Poskytovatelem rozhoduje soud, v některých případech definovaných zákonem Český telekomunikační úřad </w:t>
      </w:r>
      <w:r w:rsidRPr="00920265">
        <w:rPr>
          <w:lang w:eastAsia="en-US" w:bidi="en-US"/>
        </w:rPr>
        <w:t>(</w:t>
      </w:r>
      <w:hyperlink r:id="rId22" w:history="1">
        <w:r w:rsidRPr="00920265">
          <w:rPr>
            <w:lang w:eastAsia="en-US" w:bidi="en-US"/>
          </w:rPr>
          <w:t>www.ctu.cz</w:t>
        </w:r>
      </w:hyperlink>
      <w:r w:rsidRPr="00920265">
        <w:rPr>
          <w:lang w:eastAsia="en-US" w:bidi="en-US"/>
        </w:rPr>
        <w:t>).</w:t>
      </w:r>
    </w:p>
    <w:p w:rsidR="00215B20" w:rsidRDefault="00FD0AA3">
      <w:pPr>
        <w:pStyle w:val="Nadpis60"/>
        <w:keepNext/>
        <w:keepLines/>
        <w:numPr>
          <w:ilvl w:val="0"/>
          <w:numId w:val="1"/>
        </w:numPr>
        <w:shd w:val="clear" w:color="auto" w:fill="auto"/>
        <w:tabs>
          <w:tab w:val="left" w:pos="352"/>
        </w:tabs>
        <w:spacing w:line="240" w:lineRule="auto"/>
        <w:jc w:val="both"/>
        <w:rPr>
          <w:sz w:val="16"/>
          <w:szCs w:val="16"/>
        </w:rPr>
      </w:pPr>
      <w:bookmarkStart w:id="42" w:name="bookmark42"/>
      <w:bookmarkStart w:id="43" w:name="bookmark43"/>
      <w:r>
        <w:rPr>
          <w:sz w:val="16"/>
          <w:szCs w:val="16"/>
        </w:rPr>
        <w:t>Sledování úrovně spotřeby</w:t>
      </w:r>
      <w:bookmarkEnd w:id="42"/>
      <w:bookmarkEnd w:id="43"/>
    </w:p>
    <w:p w:rsidR="00215B20" w:rsidRDefault="00FD0AA3">
      <w:pPr>
        <w:pStyle w:val="Zkladntext1"/>
        <w:shd w:val="clear" w:color="auto" w:fill="auto"/>
        <w:spacing w:after="260"/>
        <w:jc w:val="both"/>
      </w:pPr>
      <w:r>
        <w:t>U Internetové služby má Smluvní parter k dispozici neomezený datový limit.</w:t>
      </w:r>
    </w:p>
    <w:p w:rsidR="00215B20" w:rsidRDefault="00FD0AA3">
      <w:pPr>
        <w:pStyle w:val="Nadpis60"/>
        <w:keepNext/>
        <w:keepLines/>
        <w:numPr>
          <w:ilvl w:val="0"/>
          <w:numId w:val="1"/>
        </w:numPr>
        <w:shd w:val="clear" w:color="auto" w:fill="auto"/>
        <w:tabs>
          <w:tab w:val="left" w:pos="352"/>
        </w:tabs>
        <w:spacing w:line="240" w:lineRule="auto"/>
        <w:jc w:val="both"/>
        <w:rPr>
          <w:sz w:val="16"/>
          <w:szCs w:val="16"/>
        </w:rPr>
      </w:pPr>
      <w:bookmarkStart w:id="44" w:name="bookmark44"/>
      <w:bookmarkStart w:id="45" w:name="bookmark45"/>
      <w:r>
        <w:rPr>
          <w:sz w:val="16"/>
          <w:szCs w:val="16"/>
        </w:rPr>
        <w:t xml:space="preserve">Tísňová </w:t>
      </w:r>
      <w:r>
        <w:rPr>
          <w:sz w:val="16"/>
          <w:szCs w:val="16"/>
        </w:rPr>
        <w:t>volání</w:t>
      </w:r>
      <w:bookmarkEnd w:id="44"/>
      <w:bookmarkEnd w:id="45"/>
    </w:p>
    <w:p w:rsidR="00215B20" w:rsidRDefault="00FD0AA3">
      <w:pPr>
        <w:pStyle w:val="Zkladntext1"/>
        <w:shd w:val="clear" w:color="auto" w:fill="auto"/>
        <w:spacing w:after="260"/>
        <w:jc w:val="both"/>
      </w:pPr>
      <w:r>
        <w:t>Charakter Služby neumožňuje přístup k tísňovému volání.</w:t>
      </w:r>
    </w:p>
    <w:p w:rsidR="00215B20" w:rsidRDefault="00FD0AA3">
      <w:pPr>
        <w:pStyle w:val="Nadpis60"/>
        <w:keepNext/>
        <w:keepLines/>
        <w:numPr>
          <w:ilvl w:val="0"/>
          <w:numId w:val="1"/>
        </w:numPr>
        <w:shd w:val="clear" w:color="auto" w:fill="auto"/>
        <w:tabs>
          <w:tab w:val="left" w:pos="352"/>
        </w:tabs>
        <w:spacing w:line="240" w:lineRule="auto"/>
        <w:rPr>
          <w:sz w:val="16"/>
          <w:szCs w:val="16"/>
        </w:rPr>
      </w:pPr>
      <w:bookmarkStart w:id="46" w:name="bookmark46"/>
      <w:bookmarkStart w:id="47" w:name="bookmark47"/>
      <w:r>
        <w:rPr>
          <w:sz w:val="16"/>
          <w:szCs w:val="16"/>
        </w:rPr>
        <w:t>Jaké osobní údaje zpracováváme před poskytnutím Služby</w:t>
      </w:r>
      <w:bookmarkEnd w:id="46"/>
      <w:bookmarkEnd w:id="47"/>
    </w:p>
    <w:p w:rsidR="00215B20" w:rsidRDefault="00FD0AA3">
      <w:pPr>
        <w:pStyle w:val="Zkladntext1"/>
        <w:shd w:val="clear" w:color="auto" w:fill="auto"/>
        <w:jc w:val="both"/>
      </w:pPr>
      <w:r>
        <w:t xml:space="preserve">Před poskytnutím služby Poskytovatel zpracovává o Smluvním partnerovi osobní údaje, které Poskytovatel získal v souvislosti s uzavřením </w:t>
      </w:r>
      <w:r>
        <w:t xml:space="preserve">Specifikace služby, na základě které má poskytovat Smluvnímu partnerovi Služby. Poskytovatel dále případně zpracovává osobní údaje Smluvního partnera účelem doručení Smluvnímu partnerovi návrhu Smlouvy v případě jejího uzavírání prostřednictvím prostředků </w:t>
      </w:r>
      <w:r>
        <w:t>komunikace na dálku.</w:t>
      </w:r>
    </w:p>
    <w:p w:rsidR="00215B20" w:rsidRDefault="00FD0AA3">
      <w:pPr>
        <w:pStyle w:val="Zkladntext1"/>
        <w:shd w:val="clear" w:color="auto" w:fill="auto"/>
        <w:spacing w:after="260"/>
        <w:jc w:val="both"/>
      </w:pPr>
      <w:r>
        <w:t xml:space="preserve">Bližší informace ke zpracování osobních údajů jsou upraveny v Zásadách ochrany osobních údajů na </w:t>
      </w:r>
      <w:hyperlink r:id="rId23" w:history="1">
        <w:r w:rsidRPr="00920265">
          <w:rPr>
            <w:lang w:eastAsia="en-US" w:bidi="en-US"/>
          </w:rPr>
          <w:t xml:space="preserve">https://www.t-mobile.cz/ochrana- </w:t>
        </w:r>
        <w:r>
          <w:t>udaju/zasady-ochrany-osobn</w:t>
        </w:r>
        <w:r>
          <w:t>ich-udaju</w:t>
        </w:r>
      </w:hyperlink>
      <w:r>
        <w:t>. Základní informace o zpracování osobních, identifikačních, provozních a lokalizačních údajů Smluvního partnera jsou podrobně upraveny v Podmínkách zpracování osobních, identifikačních, provozních a lokalizačních údajů Účastníků.</w:t>
      </w:r>
    </w:p>
    <w:p w:rsidR="00215B20" w:rsidRDefault="00FD0AA3">
      <w:pPr>
        <w:pStyle w:val="Nadpis60"/>
        <w:keepNext/>
        <w:keepLines/>
        <w:numPr>
          <w:ilvl w:val="0"/>
          <w:numId w:val="1"/>
        </w:numPr>
        <w:shd w:val="clear" w:color="auto" w:fill="auto"/>
        <w:tabs>
          <w:tab w:val="left" w:pos="352"/>
        </w:tabs>
        <w:spacing w:line="240" w:lineRule="auto"/>
        <w:rPr>
          <w:sz w:val="16"/>
          <w:szCs w:val="16"/>
        </w:rPr>
      </w:pPr>
      <w:bookmarkStart w:id="48" w:name="bookmark48"/>
      <w:bookmarkStart w:id="49" w:name="bookmark49"/>
      <w:r>
        <w:rPr>
          <w:sz w:val="16"/>
          <w:szCs w:val="16"/>
        </w:rPr>
        <w:t>Funkce pro Sm</w:t>
      </w:r>
      <w:r>
        <w:rPr>
          <w:sz w:val="16"/>
          <w:szCs w:val="16"/>
        </w:rPr>
        <w:t>luvní partnery se zdravotním postižením</w:t>
      </w:r>
      <w:bookmarkEnd w:id="48"/>
      <w:bookmarkEnd w:id="49"/>
    </w:p>
    <w:p w:rsidR="00215B20" w:rsidRDefault="00FD0AA3">
      <w:pPr>
        <w:pStyle w:val="Zkladntext1"/>
        <w:shd w:val="clear" w:color="auto" w:fill="auto"/>
        <w:spacing w:line="254" w:lineRule="auto"/>
        <w:jc w:val="both"/>
      </w:pPr>
      <w:r>
        <w:t xml:space="preserve">Pro neslyšící Smluvní partnery Poskytovatel provozuje speciální infolinku, kde se volání s Poskytovatelem přepojí do textového hovoru. Vše, co se řekne, je převedeno rovnou do psané podoby, a to na </w:t>
      </w:r>
      <w:hyperlink r:id="rId24" w:history="1">
        <w:r>
          <w:rPr>
            <w:lang w:val="en-US" w:eastAsia="en-US" w:bidi="en-US"/>
          </w:rPr>
          <w:t>https://www.t-mobile.cz/infolinka-pro-neslysici</w:t>
        </w:r>
      </w:hyperlink>
      <w:r>
        <w:rPr>
          <w:lang w:val="en-US" w:eastAsia="en-US" w:bidi="en-US"/>
        </w:rPr>
        <w:t>.</w:t>
      </w:r>
    </w:p>
    <w:p w:rsidR="00215B20" w:rsidRDefault="00FD0AA3">
      <w:pPr>
        <w:pStyle w:val="Zkladntext1"/>
        <w:shd w:val="clear" w:color="auto" w:fill="auto"/>
        <w:spacing w:line="254" w:lineRule="auto"/>
        <w:jc w:val="both"/>
      </w:pPr>
      <w:r>
        <w:t xml:space="preserve">Pro sluchově postižené Smluvní partnery je na T-Mobile </w:t>
      </w:r>
      <w:proofErr w:type="gramStart"/>
      <w:r>
        <w:t>prodejnách</w:t>
      </w:r>
      <w:proofErr w:type="gramEnd"/>
      <w:r>
        <w:t xml:space="preserve"> přístupná služba T-Mobile e-Přepis. Jde o simultánní přepis řeči na dálku, díky němuž může neslyš</w:t>
      </w:r>
      <w:r>
        <w:t>ící či nedoslýchavý pohodlně sledovat odpovědi prodejce na displeji tabletu.</w:t>
      </w:r>
    </w:p>
    <w:p w:rsidR="00215B20" w:rsidRDefault="00FD0AA3">
      <w:pPr>
        <w:rPr>
          <w:sz w:val="2"/>
          <w:szCs w:val="2"/>
        </w:rPr>
      </w:pPr>
      <w:r>
        <w:rPr>
          <w:noProof/>
          <w:lang w:bidi="ar-SA"/>
        </w:rPr>
        <w:drawing>
          <wp:inline distT="0" distB="0" distL="0" distR="0">
            <wp:extent cx="658495" cy="47561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stretch/>
                  </pic:blipFill>
                  <pic:spPr>
                    <a:xfrm>
                      <a:off x="0" y="0"/>
                      <a:ext cx="658495" cy="475615"/>
                    </a:xfrm>
                    <a:prstGeom prst="rect">
                      <a:avLst/>
                    </a:prstGeom>
                  </pic:spPr>
                </pic:pic>
              </a:graphicData>
            </a:graphic>
          </wp:inline>
        </w:drawing>
      </w:r>
    </w:p>
    <w:p w:rsidR="00215B20" w:rsidRDefault="00215B20">
      <w:pPr>
        <w:spacing w:after="719" w:line="1" w:lineRule="exact"/>
      </w:pPr>
    </w:p>
    <w:p w:rsidR="00215B20" w:rsidRDefault="00FD0AA3">
      <w:pPr>
        <w:pStyle w:val="Nadpis60"/>
        <w:keepNext/>
        <w:keepLines/>
        <w:numPr>
          <w:ilvl w:val="0"/>
          <w:numId w:val="1"/>
        </w:numPr>
        <w:shd w:val="clear" w:color="auto" w:fill="auto"/>
        <w:tabs>
          <w:tab w:val="left" w:pos="354"/>
        </w:tabs>
        <w:spacing w:line="240" w:lineRule="auto"/>
        <w:jc w:val="both"/>
        <w:rPr>
          <w:sz w:val="16"/>
          <w:szCs w:val="16"/>
        </w:rPr>
      </w:pPr>
      <w:bookmarkStart w:id="50" w:name="bookmark50"/>
      <w:bookmarkStart w:id="51" w:name="bookmark51"/>
      <w:r>
        <w:rPr>
          <w:sz w:val="16"/>
          <w:szCs w:val="16"/>
        </w:rPr>
        <w:lastRenderedPageBreak/>
        <w:t>Poprodejní služby</w:t>
      </w:r>
      <w:bookmarkEnd w:id="50"/>
      <w:bookmarkEnd w:id="51"/>
    </w:p>
    <w:p w:rsidR="00215B20" w:rsidRDefault="00FD0AA3">
      <w:pPr>
        <w:pStyle w:val="Zkladntext1"/>
        <w:numPr>
          <w:ilvl w:val="0"/>
          <w:numId w:val="3"/>
        </w:numPr>
        <w:shd w:val="clear" w:color="auto" w:fill="auto"/>
        <w:tabs>
          <w:tab w:val="left" w:pos="241"/>
        </w:tabs>
        <w:spacing w:after="240"/>
        <w:jc w:val="both"/>
      </w:pPr>
      <w:proofErr w:type="gramStart"/>
      <w:r>
        <w:t>případě</w:t>
      </w:r>
      <w:proofErr w:type="gramEnd"/>
      <w:r>
        <w:t xml:space="preserve"> potřeby rady ohledně nastavení Služby, koncového zařízení nebo jiného problému či požadavku, se Smluvní partner může obrátit na obchodního zástupce </w:t>
      </w:r>
      <w:r>
        <w:t>Poskytovatele nebo může využít asistenčních služeb zákaznického centra Poskytovatele tel. +420 800 73 73 33 - business zákaznická linka či služeb hlasového automatu na čísle 800 73 73 73. V neposlední řadě má Smluvní partner možnost navštívit sídlo Poskyto</w:t>
      </w:r>
      <w:r>
        <w:t>vatele na adrese Tomíčkova 2144/1, 148 00 Praha 4.</w:t>
      </w:r>
    </w:p>
    <w:p w:rsidR="00215B20" w:rsidRDefault="00FD0AA3">
      <w:pPr>
        <w:pStyle w:val="Nadpis60"/>
        <w:keepNext/>
        <w:keepLines/>
        <w:numPr>
          <w:ilvl w:val="0"/>
          <w:numId w:val="1"/>
        </w:numPr>
        <w:shd w:val="clear" w:color="auto" w:fill="auto"/>
        <w:tabs>
          <w:tab w:val="left" w:pos="354"/>
        </w:tabs>
        <w:spacing w:line="240" w:lineRule="auto"/>
        <w:rPr>
          <w:sz w:val="16"/>
          <w:szCs w:val="16"/>
        </w:rPr>
      </w:pPr>
      <w:bookmarkStart w:id="52" w:name="bookmark52"/>
      <w:bookmarkStart w:id="53" w:name="bookmark53"/>
      <w:r>
        <w:rPr>
          <w:sz w:val="16"/>
          <w:szCs w:val="16"/>
        </w:rPr>
        <w:t>Účastnický seznam</w:t>
      </w:r>
      <w:bookmarkEnd w:id="52"/>
      <w:bookmarkEnd w:id="53"/>
    </w:p>
    <w:p w:rsidR="00215B20" w:rsidRDefault="00FD0AA3">
      <w:pPr>
        <w:pStyle w:val="Zkladntext1"/>
        <w:shd w:val="clear" w:color="auto" w:fill="auto"/>
        <w:spacing w:after="240"/>
        <w:jc w:val="both"/>
      </w:pPr>
      <w:r>
        <w:t>Vzhledem k charakteru poskytované Služby není možné zapsat osobní a identifikační údaje do veřejného účastnického seznamu.</w:t>
      </w:r>
    </w:p>
    <w:p w:rsidR="00215B20" w:rsidRDefault="00FD0AA3">
      <w:pPr>
        <w:pStyle w:val="Nadpis60"/>
        <w:keepNext/>
        <w:keepLines/>
        <w:numPr>
          <w:ilvl w:val="0"/>
          <w:numId w:val="1"/>
        </w:numPr>
        <w:shd w:val="clear" w:color="auto" w:fill="auto"/>
        <w:tabs>
          <w:tab w:val="left" w:pos="354"/>
        </w:tabs>
        <w:spacing w:line="240" w:lineRule="auto"/>
        <w:jc w:val="both"/>
        <w:rPr>
          <w:sz w:val="16"/>
          <w:szCs w:val="16"/>
        </w:rPr>
      </w:pPr>
      <w:bookmarkStart w:id="54" w:name="bookmark54"/>
      <w:bookmarkStart w:id="55" w:name="bookmark55"/>
      <w:r>
        <w:rPr>
          <w:sz w:val="16"/>
          <w:szCs w:val="16"/>
        </w:rPr>
        <w:t>Bezpečné využívání Internetové služby</w:t>
      </w:r>
      <w:bookmarkEnd w:id="54"/>
      <w:bookmarkEnd w:id="55"/>
    </w:p>
    <w:p w:rsidR="00215B20" w:rsidRDefault="00FD0AA3">
      <w:pPr>
        <w:pStyle w:val="Zkladntext1"/>
        <w:shd w:val="clear" w:color="auto" w:fill="auto"/>
        <w:jc w:val="both"/>
      </w:pPr>
      <w:r>
        <w:t>Smluvní partner je povinen</w:t>
      </w:r>
      <w:r>
        <w:t xml:space="preserve"> zdržet se jednání, které je způsobilé negativně ovlivnit provoz Internetové služby či její části, případně kvalitu služeb poskytovaných jiným Smluvním partnerům, a jednání, jež závažným způsobem porušuje práva dalších osob a uživatelů sítě internet.</w:t>
      </w:r>
    </w:p>
    <w:p w:rsidR="00215B20" w:rsidRDefault="00FD0AA3">
      <w:pPr>
        <w:pStyle w:val="Zkladntext1"/>
        <w:shd w:val="clear" w:color="auto" w:fill="auto"/>
        <w:spacing w:line="254" w:lineRule="auto"/>
        <w:jc w:val="both"/>
      </w:pPr>
      <w:r>
        <w:t>Smluv</w:t>
      </w:r>
      <w:r>
        <w:t>ní partner nesmí užít Internetovou službu k obtěžování třetích osob, zejména rozesíláním nevyžádaných dat. Smluvní partner nesmí využitím Internetové služby jakkoli narušit právem chráněná práva Poskytovatele či jiných osob. Smluvní partner nesmí užívat In</w:t>
      </w:r>
      <w:r>
        <w:t>ternetovou službu tak, aby ohrozil bezpečnost a integritu sítě a poskytování Internetové služby jiným uživatelům.</w:t>
      </w:r>
    </w:p>
    <w:p w:rsidR="00215B20" w:rsidRDefault="00FD0AA3">
      <w:pPr>
        <w:pStyle w:val="Zkladntext1"/>
        <w:shd w:val="clear" w:color="auto" w:fill="auto"/>
        <w:jc w:val="both"/>
      </w:pPr>
      <w:r>
        <w:t xml:space="preserve">Smluvní partner se zavazuje vyvinout maximální úsilí k zajištění bezpečnosti sítě a učiní taková technická opatření, která zabrání napadení a </w:t>
      </w:r>
      <w:r>
        <w:t xml:space="preserve">průniku do systémů jiných uživatelů prostřednictvím sítě Smluvního partnera (např. ochrana proti DDOS útokům </w:t>
      </w:r>
      <w:r w:rsidRPr="00920265">
        <w:rPr>
          <w:lang w:eastAsia="en-US" w:bidi="en-US"/>
        </w:rPr>
        <w:t xml:space="preserve">apod.) </w:t>
      </w:r>
      <w:r>
        <w:t>a proti zneužití Internetové služby. Smluvní partner je odpovědný za následky takového zneužití, pokud k němu dojde zaviněním ze strany Smlu</w:t>
      </w:r>
      <w:r>
        <w:t>vního partnera. V případě takového průniku se Smluvní partner zavazuje aktivně spolupracovat s Poskytovatelem na realizaci opatření, která by podobným skutečnostem zabránila.</w:t>
      </w:r>
    </w:p>
    <w:p w:rsidR="00215B20" w:rsidRDefault="00FD0AA3">
      <w:pPr>
        <w:pStyle w:val="Zkladntext1"/>
        <w:shd w:val="clear" w:color="auto" w:fill="auto"/>
        <w:spacing w:line="254" w:lineRule="auto"/>
        <w:jc w:val="both"/>
      </w:pPr>
      <w:r>
        <w:t xml:space="preserve">Smluvní partner je povinen zajistit síť a servery tak, aby zamezil třetím osobám </w:t>
      </w:r>
      <w:r>
        <w:t>zneužívat poskytovanou Internetovou službu. Smluvní partner je povinen hlásit Poskytovateli nefunkčnost Internetové služby, a to neprodleně po zjištění.</w:t>
      </w:r>
    </w:p>
    <w:p w:rsidR="00215B20" w:rsidRDefault="00FD0AA3">
      <w:pPr>
        <w:pStyle w:val="Zkladntext1"/>
        <w:shd w:val="clear" w:color="auto" w:fill="auto"/>
        <w:jc w:val="both"/>
      </w:pPr>
      <w:r>
        <w:t>Porušení bezpečnostních zásad uvedených v této části Podmínek bude Poskytovatelem považováno za zneužit</w:t>
      </w:r>
      <w:r>
        <w:t xml:space="preserve">í Internetové služby ve smyslu či. </w:t>
      </w:r>
      <w:proofErr w:type="gramStart"/>
      <w:r>
        <w:t>3.4. VPST</w:t>
      </w:r>
      <w:proofErr w:type="gramEnd"/>
      <w:r>
        <w:t xml:space="preserve"> a Poskytovatel má právo přerušit poskytování Internetové služby a v případě opakovaného porušení poskytování Internetové služby ukončit.</w:t>
      </w:r>
    </w:p>
    <w:p w:rsidR="00215B20" w:rsidRDefault="00FD0AA3">
      <w:pPr>
        <w:pStyle w:val="Zkladntext1"/>
        <w:shd w:val="clear" w:color="auto" w:fill="auto"/>
        <w:spacing w:line="262" w:lineRule="auto"/>
        <w:jc w:val="both"/>
      </w:pPr>
      <w:r>
        <w:t>Poskytovatel může pozastavit přístup k Internetové službě uživatelům, jeji</w:t>
      </w:r>
      <w:r>
        <w:t>chž chování indikuje využívání technických prostředků k obcházení podmínek Internetové služby či ukazuje na sdílení připojení s třetími osobami.</w:t>
      </w:r>
    </w:p>
    <w:p w:rsidR="00215B20" w:rsidRDefault="00FD0AA3">
      <w:pPr>
        <w:pStyle w:val="Zkladntext1"/>
        <w:shd w:val="clear" w:color="auto" w:fill="auto"/>
        <w:spacing w:line="262" w:lineRule="auto"/>
        <w:jc w:val="both"/>
      </w:pPr>
      <w:r>
        <w:t>Za případné zneužití Internetové služby třetí stranou, které Smluvní partner umožnil využití Internetové služby</w:t>
      </w:r>
      <w:r>
        <w:t xml:space="preserve"> (zejména zpřístupněním Wi-Fi sítě), nese plnou odpovědnost Smluvní partner.</w:t>
      </w:r>
    </w:p>
    <w:p w:rsidR="00215B20" w:rsidRDefault="00FD0AA3">
      <w:pPr>
        <w:pStyle w:val="Zkladntext1"/>
        <w:shd w:val="clear" w:color="auto" w:fill="auto"/>
        <w:spacing w:line="254" w:lineRule="auto"/>
        <w:jc w:val="both"/>
      </w:pPr>
      <w:r>
        <w:t>Poskytovatel je oprávněn zamezit šíření dat, která Smluvní partner šíří v rozporu s podmínkami, obecně závaznými právními předpisy České republiky nebo s dobrými mravy, např. zame</w:t>
      </w:r>
      <w:r>
        <w:t>zit Smluvnímu partnerovi přístup k internetovým stránkám na určitých serverech sítě Internet s nelegálním obsahem nebo obsahem odporujícím dobrým mravům.</w:t>
      </w:r>
    </w:p>
    <w:p w:rsidR="00215B20" w:rsidRDefault="00FD0AA3">
      <w:pPr>
        <w:pStyle w:val="Zkladntext1"/>
        <w:numPr>
          <w:ilvl w:val="0"/>
          <w:numId w:val="3"/>
        </w:numPr>
        <w:shd w:val="clear" w:color="auto" w:fill="auto"/>
        <w:tabs>
          <w:tab w:val="left" w:pos="241"/>
        </w:tabs>
        <w:spacing w:after="240" w:line="262" w:lineRule="auto"/>
        <w:jc w:val="both"/>
      </w:pPr>
      <w:proofErr w:type="gramStart"/>
      <w:r>
        <w:t>případě</w:t>
      </w:r>
      <w:proofErr w:type="gramEnd"/>
      <w:r>
        <w:t xml:space="preserve"> narušení bezpečnosti a integrity sítě, bezpečnosti Internetové služby nebo při zjištění jejich</w:t>
      </w:r>
      <w:r>
        <w:t xml:space="preserve"> ohrožení nebo zranitelnosti je Poskytovatel oprávněn omezit nebo přerušit poskytování Internetové služby.</w:t>
      </w:r>
    </w:p>
    <w:p w:rsidR="00215B20" w:rsidRDefault="00FD0AA3">
      <w:pPr>
        <w:pStyle w:val="Nadpis60"/>
        <w:keepNext/>
        <w:keepLines/>
        <w:numPr>
          <w:ilvl w:val="0"/>
          <w:numId w:val="1"/>
        </w:numPr>
        <w:shd w:val="clear" w:color="auto" w:fill="auto"/>
        <w:tabs>
          <w:tab w:val="left" w:pos="354"/>
        </w:tabs>
        <w:spacing w:line="240" w:lineRule="auto"/>
        <w:jc w:val="both"/>
        <w:rPr>
          <w:sz w:val="16"/>
          <w:szCs w:val="16"/>
        </w:rPr>
      </w:pPr>
      <w:bookmarkStart w:id="56" w:name="bookmark56"/>
      <w:bookmarkStart w:id="57" w:name="bookmark57"/>
      <w:r>
        <w:rPr>
          <w:sz w:val="16"/>
          <w:szCs w:val="16"/>
        </w:rPr>
        <w:t>Opatřenířízeníprovozu</w:t>
      </w:r>
      <w:bookmarkEnd w:id="56"/>
      <w:bookmarkEnd w:id="57"/>
    </w:p>
    <w:p w:rsidR="00215B20" w:rsidRDefault="00FD0AA3">
      <w:pPr>
        <w:pStyle w:val="Zkladntext1"/>
        <w:shd w:val="clear" w:color="auto" w:fill="auto"/>
        <w:jc w:val="both"/>
      </w:pPr>
      <w:r>
        <w:t>U Internetové služby nerozlišuje Poskytovatel jednotlivé datové toky za účelem blokování, zpomalování, měnění, omezování, naruš</w:t>
      </w:r>
      <w:r>
        <w:t>ování, diskriminace nebo snížení kvality jejich odbavení vyjma případů, kdy je to nezbytné. Pokud je to nezbytné, pak Poskytovatel uplatňuje při poskytování služeb následující opatření za účelem:</w:t>
      </w:r>
    </w:p>
    <w:p w:rsidR="00215B20" w:rsidRDefault="00FD0AA3">
      <w:pPr>
        <w:pStyle w:val="Zkladntext1"/>
        <w:shd w:val="clear" w:color="auto" w:fill="auto"/>
        <w:spacing w:line="276" w:lineRule="auto"/>
      </w:pPr>
      <w:r>
        <w:t>plnění povinností stanovených právními předpisy či správními</w:t>
      </w:r>
      <w:r>
        <w:t xml:space="preserve"> či soudními rozhodnutími týkajícími se omezování poskytovaných služeb; zachování integrity a bezpečnosti sítě Poskytovatele, služeb poskytovaných prostřednictvím této sítě a Koncových zařízení koncových uživatelů, může Poskytovatel uplatňovat dočasná opat</w:t>
      </w:r>
      <w:r>
        <w:t>ření spočívající v blokování IP adres a jejich rozsahů, blokování síťových portů, protokolů a doménových jmen, dále pak aktualizaci firmware a řízení konfigurace Koncových zařízení, které má Poskytovatel ve své správě, jsou-li tyto známým zdrojem nebo cíle</w:t>
      </w:r>
      <w:r>
        <w:t xml:space="preserve">m </w:t>
      </w:r>
      <w:proofErr w:type="gramStart"/>
      <w:r>
        <w:t>útoků a nebo představují</w:t>
      </w:r>
      <w:proofErr w:type="gramEnd"/>
      <w:r>
        <w:t xml:space="preserve"> hrozbu pro bezpečnost a integritu sítě;</w:t>
      </w:r>
    </w:p>
    <w:p w:rsidR="00215B20" w:rsidRDefault="00FD0AA3">
      <w:pPr>
        <w:pStyle w:val="Zkladntext1"/>
        <w:shd w:val="clear" w:color="auto" w:fill="auto"/>
        <w:jc w:val="both"/>
      </w:pPr>
      <w:r>
        <w:t xml:space="preserve">zabránění hrozícímu přetížení sítě nebo zmírnění účinků výjimečného přetížení sítě může dojít k dočasnému plošnému omezení datových toků všech Koncových uživatelů. Opatření dle předchozí </w:t>
      </w:r>
      <w:r>
        <w:t>věty je aplikováno rovnocenně na všechny kategorie datového provozu všech Koncových uživatelů za účelem příslušného snížení celkového datového toku sítě.</w:t>
      </w:r>
    </w:p>
    <w:p w:rsidR="00215B20" w:rsidRDefault="00FD0AA3">
      <w:pPr>
        <w:pStyle w:val="Zkladntext1"/>
        <w:numPr>
          <w:ilvl w:val="0"/>
          <w:numId w:val="3"/>
        </w:numPr>
        <w:shd w:val="clear" w:color="auto" w:fill="auto"/>
        <w:tabs>
          <w:tab w:val="left" w:pos="241"/>
        </w:tabs>
        <w:spacing w:after="240"/>
        <w:jc w:val="both"/>
      </w:pPr>
      <w:proofErr w:type="gramStart"/>
      <w:r>
        <w:t>případě</w:t>
      </w:r>
      <w:proofErr w:type="gramEnd"/>
      <w:r>
        <w:t xml:space="preserve">, že by opatření na řízení provozu uplatněné Poskytovatelem mohlo mít vliv na ochranu soukromí </w:t>
      </w:r>
      <w:r>
        <w:t xml:space="preserve">a osobních údajů koncových uživatelů, Poskytovatel je povinen postupovat podle nařízení Evropského parlamentu a Rady (EU) č. 2016/679 ze dne 27. dubna 2016 o ochraně fyzických osob v souvislosti se zpracováním osobních údajů a o volném pohybu těchto údajů </w:t>
      </w:r>
      <w:r>
        <w:t>a o zrušení směrnice 95/46/ES (dále jen „GDPR“). Poskytovatel je zejména povinen posoudit vliv na ochranu soukromí a osobních údajů subjektů údajů a zajistit splnění poučovací povinnosti související se zpracováním osobních údajů vůči subjektům údajů (např.</w:t>
      </w:r>
      <w:r>
        <w:t xml:space="preserve"> ve smlouvě či v podmínkách služby).</w:t>
      </w:r>
    </w:p>
    <w:p w:rsidR="00215B20" w:rsidRDefault="00FD0AA3">
      <w:pPr>
        <w:pStyle w:val="Nadpis60"/>
        <w:keepNext/>
        <w:keepLines/>
        <w:numPr>
          <w:ilvl w:val="0"/>
          <w:numId w:val="1"/>
        </w:numPr>
        <w:shd w:val="clear" w:color="auto" w:fill="auto"/>
        <w:tabs>
          <w:tab w:val="left" w:pos="354"/>
        </w:tabs>
        <w:spacing w:line="240" w:lineRule="auto"/>
        <w:jc w:val="both"/>
        <w:rPr>
          <w:sz w:val="16"/>
          <w:szCs w:val="16"/>
        </w:rPr>
      </w:pPr>
      <w:bookmarkStart w:id="58" w:name="bookmark58"/>
      <w:bookmarkStart w:id="59" w:name="bookmark59"/>
      <w:r>
        <w:rPr>
          <w:sz w:val="16"/>
          <w:szCs w:val="16"/>
        </w:rPr>
        <w:t>Dopad omezení objemu dat, rychlosti či jiných parametrů Internetové služby</w:t>
      </w:r>
      <w:bookmarkEnd w:id="58"/>
      <w:bookmarkEnd w:id="59"/>
    </w:p>
    <w:p w:rsidR="00215B20" w:rsidRDefault="00FD0AA3">
      <w:pPr>
        <w:pStyle w:val="Zkladntext1"/>
        <w:shd w:val="clear" w:color="auto" w:fill="auto"/>
        <w:spacing w:line="276" w:lineRule="auto"/>
        <w:jc w:val="both"/>
      </w:pPr>
      <w:r>
        <w:t>Dosažitelné rychlosti poskytované Internetové služby závisí na mnoha faktorech, a to na obecných faktorech neovlivnitelných ze strany Poskytovat</w:t>
      </w:r>
      <w:r>
        <w:t>ele ani ze strany mluvního partnera, ale i na faktorech, které může Smluvní partner přímo ovlivnit a v důsledku těchto faktorů je aktuální efektivní rychlost připojení zpravidla nižší než maximální. Nejvyšší dosažitelná rychlost Internetové služby závisí n</w:t>
      </w:r>
      <w:r>
        <w:t>a typu technologie, která je pro připojení využívána, sjednané přenosové rychlosti, a dalších parametrem definovaných pro konkrétní typ služby. Faktory omezujícími rychlost připojení jsou zejména:</w:t>
      </w:r>
    </w:p>
    <w:p w:rsidR="00215B20" w:rsidRDefault="00FD0AA3">
      <w:pPr>
        <w:pStyle w:val="Zkladntext1"/>
        <w:numPr>
          <w:ilvl w:val="0"/>
          <w:numId w:val="2"/>
        </w:numPr>
        <w:shd w:val="clear" w:color="auto" w:fill="auto"/>
        <w:tabs>
          <w:tab w:val="left" w:pos="753"/>
        </w:tabs>
        <w:spacing w:after="0" w:line="262" w:lineRule="auto"/>
        <w:ind w:firstLine="400"/>
        <w:jc w:val="both"/>
      </w:pPr>
      <w:r>
        <w:t>sjednaná přenosová rychlost či typ služby,</w:t>
      </w:r>
    </w:p>
    <w:p w:rsidR="00215B20" w:rsidRDefault="00FD0AA3">
      <w:pPr>
        <w:pStyle w:val="Zkladntext1"/>
        <w:numPr>
          <w:ilvl w:val="0"/>
          <w:numId w:val="2"/>
        </w:numPr>
        <w:shd w:val="clear" w:color="auto" w:fill="auto"/>
        <w:tabs>
          <w:tab w:val="left" w:pos="753"/>
        </w:tabs>
        <w:spacing w:after="0" w:line="262" w:lineRule="auto"/>
        <w:ind w:firstLine="400"/>
        <w:jc w:val="both"/>
      </w:pPr>
      <w:r>
        <w:t xml:space="preserve">kvalita a délka </w:t>
      </w:r>
      <w:r>
        <w:t>přístupového vedení,</w:t>
      </w:r>
    </w:p>
    <w:p w:rsidR="00215B20" w:rsidRDefault="00FD0AA3">
      <w:pPr>
        <w:pStyle w:val="Zkladntext1"/>
        <w:numPr>
          <w:ilvl w:val="0"/>
          <w:numId w:val="2"/>
        </w:numPr>
        <w:shd w:val="clear" w:color="auto" w:fill="auto"/>
        <w:tabs>
          <w:tab w:val="left" w:pos="753"/>
        </w:tabs>
        <w:spacing w:after="0" w:line="262" w:lineRule="auto"/>
        <w:ind w:firstLine="400"/>
        <w:jc w:val="both"/>
      </w:pPr>
      <w:r>
        <w:t>kvalita a délka vedení vnitřních rozvodů v objektu Uživatele,</w:t>
      </w:r>
    </w:p>
    <w:p w:rsidR="00215B20" w:rsidRDefault="00FD0AA3">
      <w:pPr>
        <w:pStyle w:val="Zkladntext1"/>
        <w:numPr>
          <w:ilvl w:val="0"/>
          <w:numId w:val="2"/>
        </w:numPr>
        <w:shd w:val="clear" w:color="auto" w:fill="auto"/>
        <w:tabs>
          <w:tab w:val="left" w:pos="753"/>
        </w:tabs>
        <w:spacing w:after="0" w:line="262" w:lineRule="auto"/>
        <w:ind w:firstLine="400"/>
        <w:jc w:val="both"/>
      </w:pPr>
      <w:r>
        <w:t>použitý typ připojeného Koncového telekomunikačního zařízení Uživatele,</w:t>
      </w:r>
    </w:p>
    <w:p w:rsidR="00215B20" w:rsidRDefault="00FD0AA3">
      <w:pPr>
        <w:pStyle w:val="Zkladntext1"/>
        <w:numPr>
          <w:ilvl w:val="0"/>
          <w:numId w:val="2"/>
        </w:numPr>
        <w:shd w:val="clear" w:color="auto" w:fill="auto"/>
        <w:tabs>
          <w:tab w:val="left" w:pos="753"/>
        </w:tabs>
        <w:spacing w:line="262" w:lineRule="auto"/>
        <w:ind w:left="740" w:hanging="340"/>
        <w:jc w:val="both"/>
      </w:pPr>
      <w:r>
        <w:t xml:space="preserve">sdílení kapacity přístupové sítě více Uživateli, a to až do výše maximálního poměru stanoveného </w:t>
      </w:r>
      <w:r>
        <w:t>Poskytovatelem (tzv. agregace)</w:t>
      </w:r>
    </w:p>
    <w:p w:rsidR="00215B20" w:rsidRDefault="00FD0AA3">
      <w:pPr>
        <w:rPr>
          <w:sz w:val="2"/>
          <w:szCs w:val="2"/>
        </w:rPr>
      </w:pPr>
      <w:r>
        <w:rPr>
          <w:noProof/>
          <w:lang w:bidi="ar-SA"/>
        </w:rPr>
        <w:drawing>
          <wp:inline distT="0" distB="0" distL="0" distR="0">
            <wp:extent cx="871855" cy="43878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a:stretch/>
                  </pic:blipFill>
                  <pic:spPr>
                    <a:xfrm>
                      <a:off x="0" y="0"/>
                      <a:ext cx="871855" cy="438785"/>
                    </a:xfrm>
                    <a:prstGeom prst="rect">
                      <a:avLst/>
                    </a:prstGeom>
                  </pic:spPr>
                </pic:pic>
              </a:graphicData>
            </a:graphic>
          </wp:inline>
        </w:drawing>
      </w:r>
    </w:p>
    <w:p w:rsidR="00215B20" w:rsidRDefault="00215B20">
      <w:pPr>
        <w:spacing w:after="719" w:line="1" w:lineRule="exact"/>
      </w:pPr>
    </w:p>
    <w:p w:rsidR="00215B20" w:rsidRDefault="00FD0AA3">
      <w:pPr>
        <w:pStyle w:val="Zkladntext1"/>
        <w:numPr>
          <w:ilvl w:val="0"/>
          <w:numId w:val="2"/>
        </w:numPr>
        <w:shd w:val="clear" w:color="auto" w:fill="auto"/>
        <w:tabs>
          <w:tab w:val="left" w:pos="731"/>
        </w:tabs>
        <w:spacing w:after="0" w:line="254" w:lineRule="auto"/>
        <w:ind w:left="740" w:hanging="360"/>
        <w:jc w:val="both"/>
      </w:pPr>
      <w:r>
        <w:t>sdílení kapacity přístupového vedení, například současným připojením více počítačů, nebo aktivní provoz jedné služby, který využívá dostupnou rychlost připojení, a to na straně Uživatele,</w:t>
      </w:r>
    </w:p>
    <w:p w:rsidR="00215B20" w:rsidRDefault="00FD0AA3">
      <w:pPr>
        <w:pStyle w:val="Zkladntext1"/>
        <w:numPr>
          <w:ilvl w:val="0"/>
          <w:numId w:val="2"/>
        </w:numPr>
        <w:shd w:val="clear" w:color="auto" w:fill="auto"/>
        <w:tabs>
          <w:tab w:val="left" w:pos="731"/>
        </w:tabs>
        <w:spacing w:after="0" w:line="254" w:lineRule="auto"/>
        <w:ind w:firstLine="380"/>
        <w:jc w:val="both"/>
      </w:pPr>
      <w:r>
        <w:t>úroveň pokrytí signálem (úroveň po</w:t>
      </w:r>
      <w:r>
        <w:t xml:space="preserve">krytí pro službu je uvedena na orientační mapě na </w:t>
      </w:r>
      <w:hyperlink r:id="rId26" w:history="1">
        <w:r w:rsidRPr="00920265">
          <w:rPr>
            <w:lang w:eastAsia="en-US" w:bidi="en-US"/>
          </w:rPr>
          <w:t>www.t-mobile.cz</w:t>
        </w:r>
      </w:hyperlink>
      <w:r w:rsidRPr="00920265">
        <w:rPr>
          <w:lang w:eastAsia="en-US" w:bidi="en-US"/>
        </w:rPr>
        <w:t>),</w:t>
      </w:r>
    </w:p>
    <w:p w:rsidR="00215B20" w:rsidRDefault="00FD0AA3">
      <w:pPr>
        <w:pStyle w:val="Zkladntext1"/>
        <w:numPr>
          <w:ilvl w:val="0"/>
          <w:numId w:val="2"/>
        </w:numPr>
        <w:shd w:val="clear" w:color="auto" w:fill="auto"/>
        <w:tabs>
          <w:tab w:val="left" w:pos="731"/>
        </w:tabs>
        <w:spacing w:after="0" w:line="254" w:lineRule="auto"/>
        <w:ind w:firstLine="380"/>
        <w:jc w:val="both"/>
      </w:pPr>
      <w:r>
        <w:t>výkon vysílače, prostřednictvím kterého Účastník/Uživatel službu využívá,</w:t>
      </w:r>
    </w:p>
    <w:p w:rsidR="00215B20" w:rsidRDefault="00FD0AA3">
      <w:pPr>
        <w:pStyle w:val="Zkladntext1"/>
        <w:numPr>
          <w:ilvl w:val="0"/>
          <w:numId w:val="2"/>
        </w:numPr>
        <w:shd w:val="clear" w:color="auto" w:fill="auto"/>
        <w:tabs>
          <w:tab w:val="left" w:pos="731"/>
        </w:tabs>
        <w:spacing w:after="40" w:line="254" w:lineRule="auto"/>
        <w:ind w:firstLine="380"/>
        <w:jc w:val="both"/>
      </w:pPr>
      <w:r>
        <w:t>počasí,</w:t>
      </w:r>
    </w:p>
    <w:p w:rsidR="00215B20" w:rsidRDefault="00FD0AA3">
      <w:pPr>
        <w:pStyle w:val="Zkladntext1"/>
        <w:numPr>
          <w:ilvl w:val="0"/>
          <w:numId w:val="2"/>
        </w:numPr>
        <w:shd w:val="clear" w:color="auto" w:fill="auto"/>
        <w:tabs>
          <w:tab w:val="left" w:pos="731"/>
        </w:tabs>
        <w:spacing w:after="0" w:line="254" w:lineRule="auto"/>
        <w:ind w:firstLine="380"/>
        <w:jc w:val="both"/>
      </w:pPr>
      <w:r>
        <w:lastRenderedPageBreak/>
        <w:t>vegetace,</w:t>
      </w:r>
    </w:p>
    <w:p w:rsidR="00215B20" w:rsidRDefault="00FD0AA3">
      <w:pPr>
        <w:pStyle w:val="Zkladntext1"/>
        <w:numPr>
          <w:ilvl w:val="0"/>
          <w:numId w:val="2"/>
        </w:numPr>
        <w:shd w:val="clear" w:color="auto" w:fill="auto"/>
        <w:tabs>
          <w:tab w:val="left" w:pos="731"/>
        </w:tabs>
        <w:spacing w:after="0" w:line="254" w:lineRule="auto"/>
        <w:ind w:firstLine="380"/>
        <w:jc w:val="both"/>
      </w:pPr>
      <w:r>
        <w:t>umělé horizonty,</w:t>
      </w:r>
    </w:p>
    <w:p w:rsidR="00215B20" w:rsidRDefault="00FD0AA3">
      <w:pPr>
        <w:pStyle w:val="Zkladntext1"/>
        <w:numPr>
          <w:ilvl w:val="0"/>
          <w:numId w:val="2"/>
        </w:numPr>
        <w:shd w:val="clear" w:color="auto" w:fill="auto"/>
        <w:tabs>
          <w:tab w:val="left" w:pos="731"/>
        </w:tabs>
        <w:spacing w:after="40" w:line="254" w:lineRule="auto"/>
        <w:ind w:firstLine="380"/>
        <w:jc w:val="both"/>
      </w:pPr>
      <w:r>
        <w:t>rušení budovami ve výstavbě,</w:t>
      </w:r>
    </w:p>
    <w:p w:rsidR="00215B20" w:rsidRDefault="00FD0AA3">
      <w:pPr>
        <w:pStyle w:val="Zkladntext1"/>
        <w:numPr>
          <w:ilvl w:val="0"/>
          <w:numId w:val="2"/>
        </w:numPr>
        <w:shd w:val="clear" w:color="auto" w:fill="auto"/>
        <w:tabs>
          <w:tab w:val="left" w:pos="731"/>
        </w:tabs>
        <w:spacing w:after="0" w:line="254" w:lineRule="auto"/>
        <w:ind w:firstLine="380"/>
        <w:jc w:val="both"/>
      </w:pPr>
      <w:r>
        <w:t>živelní pohro</w:t>
      </w:r>
      <w:r>
        <w:t>my,</w:t>
      </w:r>
    </w:p>
    <w:p w:rsidR="00215B20" w:rsidRDefault="00FD0AA3">
      <w:pPr>
        <w:pStyle w:val="Zkladntext1"/>
        <w:numPr>
          <w:ilvl w:val="0"/>
          <w:numId w:val="2"/>
        </w:numPr>
        <w:shd w:val="clear" w:color="auto" w:fill="auto"/>
        <w:tabs>
          <w:tab w:val="left" w:pos="731"/>
        </w:tabs>
        <w:spacing w:after="0" w:line="254" w:lineRule="auto"/>
        <w:ind w:firstLine="380"/>
        <w:jc w:val="both"/>
      </w:pPr>
      <w:r>
        <w:t>nová výstavba,</w:t>
      </w:r>
    </w:p>
    <w:p w:rsidR="00215B20" w:rsidRDefault="00FD0AA3">
      <w:pPr>
        <w:pStyle w:val="Zkladntext1"/>
        <w:numPr>
          <w:ilvl w:val="0"/>
          <w:numId w:val="2"/>
        </w:numPr>
        <w:shd w:val="clear" w:color="auto" w:fill="auto"/>
        <w:tabs>
          <w:tab w:val="left" w:pos="731"/>
        </w:tabs>
        <w:spacing w:after="40" w:line="254" w:lineRule="auto"/>
        <w:ind w:firstLine="380"/>
        <w:jc w:val="both"/>
      </w:pPr>
      <w:r>
        <w:t>poloha Koncového zařízení,</w:t>
      </w:r>
    </w:p>
    <w:p w:rsidR="00215B20" w:rsidRDefault="00FD0AA3">
      <w:pPr>
        <w:pStyle w:val="Zkladntext1"/>
        <w:numPr>
          <w:ilvl w:val="0"/>
          <w:numId w:val="2"/>
        </w:numPr>
        <w:shd w:val="clear" w:color="auto" w:fill="auto"/>
        <w:tabs>
          <w:tab w:val="left" w:pos="731"/>
        </w:tabs>
        <w:spacing w:after="0" w:line="254" w:lineRule="auto"/>
        <w:ind w:firstLine="380"/>
        <w:jc w:val="both"/>
      </w:pPr>
      <w:r>
        <w:t>frekvenční pásmo,</w:t>
      </w:r>
    </w:p>
    <w:p w:rsidR="00215B20" w:rsidRDefault="00FD0AA3">
      <w:pPr>
        <w:pStyle w:val="Zkladntext1"/>
        <w:numPr>
          <w:ilvl w:val="0"/>
          <w:numId w:val="2"/>
        </w:numPr>
        <w:shd w:val="clear" w:color="auto" w:fill="auto"/>
        <w:tabs>
          <w:tab w:val="left" w:pos="731"/>
        </w:tabs>
        <w:spacing w:after="0" w:line="254" w:lineRule="auto"/>
        <w:ind w:firstLine="380"/>
        <w:jc w:val="both"/>
      </w:pPr>
      <w:r>
        <w:t>cesta šíření signálu,</w:t>
      </w:r>
    </w:p>
    <w:p w:rsidR="00215B20" w:rsidRDefault="00FD0AA3">
      <w:pPr>
        <w:pStyle w:val="Zkladntext1"/>
        <w:numPr>
          <w:ilvl w:val="0"/>
          <w:numId w:val="2"/>
        </w:numPr>
        <w:shd w:val="clear" w:color="auto" w:fill="auto"/>
        <w:tabs>
          <w:tab w:val="left" w:pos="731"/>
        </w:tabs>
        <w:spacing w:after="40" w:line="254" w:lineRule="auto"/>
        <w:ind w:firstLine="380"/>
        <w:jc w:val="both"/>
      </w:pPr>
      <w:r>
        <w:t>náhodná koncentrace Uživatelů/zařízení,</w:t>
      </w:r>
    </w:p>
    <w:p w:rsidR="00215B20" w:rsidRDefault="00FD0AA3">
      <w:pPr>
        <w:pStyle w:val="Zkladntext1"/>
        <w:numPr>
          <w:ilvl w:val="0"/>
          <w:numId w:val="2"/>
        </w:numPr>
        <w:shd w:val="clear" w:color="auto" w:fill="auto"/>
        <w:tabs>
          <w:tab w:val="left" w:pos="731"/>
        </w:tabs>
        <w:spacing w:after="0" w:line="254" w:lineRule="auto"/>
        <w:ind w:firstLine="380"/>
        <w:jc w:val="both"/>
      </w:pPr>
      <w:r>
        <w:t>režie vyšších přenosových vrstev,</w:t>
      </w:r>
    </w:p>
    <w:p w:rsidR="00215B20" w:rsidRDefault="00FD0AA3">
      <w:pPr>
        <w:pStyle w:val="Zkladntext1"/>
        <w:numPr>
          <w:ilvl w:val="0"/>
          <w:numId w:val="2"/>
        </w:numPr>
        <w:shd w:val="clear" w:color="auto" w:fill="auto"/>
        <w:tabs>
          <w:tab w:val="left" w:pos="731"/>
        </w:tabs>
        <w:spacing w:after="0" w:line="254" w:lineRule="auto"/>
        <w:ind w:firstLine="380"/>
        <w:jc w:val="both"/>
      </w:pPr>
      <w:r>
        <w:t>faktory sítě Internet stojící mimo vliv Operátora,</w:t>
      </w:r>
    </w:p>
    <w:p w:rsidR="00215B20" w:rsidRDefault="00FD0AA3">
      <w:pPr>
        <w:pStyle w:val="Zkladntext1"/>
        <w:numPr>
          <w:ilvl w:val="0"/>
          <w:numId w:val="2"/>
        </w:numPr>
        <w:shd w:val="clear" w:color="auto" w:fill="auto"/>
        <w:tabs>
          <w:tab w:val="left" w:pos="731"/>
        </w:tabs>
        <w:spacing w:after="40" w:line="254" w:lineRule="auto"/>
        <w:ind w:firstLine="380"/>
        <w:jc w:val="both"/>
      </w:pPr>
      <w:r>
        <w:t xml:space="preserve">jiné připojení než přes LAN port kabelem </w:t>
      </w:r>
      <w:r>
        <w:t>Koncového zařízení.</w:t>
      </w:r>
    </w:p>
    <w:p w:rsidR="00215B20" w:rsidRDefault="00FD0AA3">
      <w:pPr>
        <w:pStyle w:val="Zkladntext1"/>
        <w:shd w:val="clear" w:color="auto" w:fill="auto"/>
        <w:spacing w:after="40"/>
        <w:jc w:val="both"/>
      </w:pPr>
      <w:r>
        <w:t>Maximální dostupná rychlost na fyzické vrstvě (dle referenčního modelu ISO/OSI) je určena parametry objednaného produktu a nosné komunikační technologie. Pro technologie provozované na metalické síti je však zároveň ovlivněna (limitován</w:t>
      </w:r>
      <w:r>
        <w:t xml:space="preserve">a) přenosovými parametry konkrétního účastnického vedení mezi aktivním síťovým zařízením a Koncovým zařízením na straně Smluvního partnera. Mezi hlavní parametry, které </w:t>
      </w:r>
      <w:proofErr w:type="gramStart"/>
      <w:r>
        <w:t>ovlivňují</w:t>
      </w:r>
      <w:proofErr w:type="gramEnd"/>
      <w:r>
        <w:t xml:space="preserve"> dostupnou přenosovou rychlost </w:t>
      </w:r>
      <w:proofErr w:type="gramStart"/>
      <w:r>
        <w:t>patří</w:t>
      </w:r>
      <w:proofErr w:type="gramEnd"/>
      <w:r>
        <w:t xml:space="preserve"> vzdálenost, průřez jádra použitého metali</w:t>
      </w:r>
      <w:r>
        <w:t xml:space="preserve">ckého páru (oba předchozí parametry mají vliv na útlum vedení), provedení a technický stav kabelových úseků a jejich spojů, souběh s jinými službami (předchozí parametry mají vliv na nežádoucí rušení) apod. Některé úseky účastnického vedení navíc nejsou v </w:t>
      </w:r>
      <w:r>
        <w:t xml:space="preserve">majetku </w:t>
      </w:r>
      <w:proofErr w:type="gramStart"/>
      <w:r>
        <w:t>Poskytovatele , čímž</w:t>
      </w:r>
      <w:proofErr w:type="gramEnd"/>
      <w:r>
        <w:t xml:space="preserve"> je značně ztížena možnost úprav takového úseku - typicky jde o vnitřní rozvody v budovách či bytech.</w:t>
      </w:r>
    </w:p>
    <w:p w:rsidR="00215B20" w:rsidRDefault="00FD0AA3">
      <w:pPr>
        <w:pStyle w:val="Zkladntext1"/>
        <w:numPr>
          <w:ilvl w:val="0"/>
          <w:numId w:val="3"/>
        </w:numPr>
        <w:shd w:val="clear" w:color="auto" w:fill="auto"/>
        <w:tabs>
          <w:tab w:val="left" w:pos="241"/>
        </w:tabs>
        <w:spacing w:after="40"/>
        <w:jc w:val="both"/>
      </w:pPr>
      <w:proofErr w:type="gramStart"/>
      <w:r>
        <w:t>případě</w:t>
      </w:r>
      <w:proofErr w:type="gramEnd"/>
      <w:r>
        <w:t xml:space="preserve"> užívání jiných služeb, než služeb přístupu k internetu, může dojít ke snížení garantované kvality pevné datové služby.</w:t>
      </w:r>
    </w:p>
    <w:p w:rsidR="00215B20" w:rsidRDefault="00FD0AA3">
      <w:pPr>
        <w:pStyle w:val="Zkladntext1"/>
        <w:shd w:val="clear" w:color="auto" w:fill="auto"/>
        <w:spacing w:after="260" w:line="262" w:lineRule="auto"/>
        <w:jc w:val="both"/>
      </w:pPr>
      <w:r>
        <w:t>Poskytovatel neposkytuje žádné specializované Služby přístupu k internetu, tak jak jsou definovány v článku 3 odst. 5 nařízení EU č. 2015/2120.</w:t>
      </w:r>
    </w:p>
    <w:p w:rsidR="00215B20" w:rsidRDefault="00FD0AA3">
      <w:pPr>
        <w:pStyle w:val="Nadpis60"/>
        <w:keepNext/>
        <w:keepLines/>
        <w:numPr>
          <w:ilvl w:val="0"/>
          <w:numId w:val="1"/>
        </w:numPr>
        <w:shd w:val="clear" w:color="auto" w:fill="auto"/>
        <w:tabs>
          <w:tab w:val="left" w:pos="347"/>
        </w:tabs>
        <w:spacing w:after="40" w:line="240" w:lineRule="auto"/>
        <w:jc w:val="both"/>
        <w:rPr>
          <w:sz w:val="16"/>
          <w:szCs w:val="16"/>
        </w:rPr>
      </w:pPr>
      <w:bookmarkStart w:id="60" w:name="bookmark60"/>
      <w:bookmarkStart w:id="61" w:name="bookmark61"/>
      <w:r>
        <w:rPr>
          <w:sz w:val="16"/>
          <w:szCs w:val="16"/>
        </w:rPr>
        <w:t>Změna Podmínek</w:t>
      </w:r>
      <w:bookmarkEnd w:id="60"/>
      <w:bookmarkEnd w:id="61"/>
    </w:p>
    <w:p w:rsidR="00215B20" w:rsidRDefault="00FD0AA3">
      <w:pPr>
        <w:pStyle w:val="Zkladntext1"/>
        <w:shd w:val="clear" w:color="auto" w:fill="auto"/>
        <w:spacing w:after="260"/>
        <w:jc w:val="both"/>
      </w:pPr>
      <w:r>
        <w:t xml:space="preserve">Poskytovatel si vyhrazuje právo kdykoliv aktualizovat a měnit Podmínky z důvodů a v rozsahu jak </w:t>
      </w:r>
      <w:r>
        <w:t>stanoví Obchodní podmínky pevných služeb, případně Službu či některou z jejích komponent úplně zrušit. Takové změny budou Smluvnímu partnerovi oznámeny způsobem uvedeným v Obchodních podmínkách pevných služeb.</w:t>
      </w:r>
    </w:p>
    <w:p w:rsidR="00215B20" w:rsidRDefault="00FD0AA3">
      <w:pPr>
        <w:pStyle w:val="Nadpis60"/>
        <w:keepNext/>
        <w:keepLines/>
        <w:numPr>
          <w:ilvl w:val="0"/>
          <w:numId w:val="1"/>
        </w:numPr>
        <w:shd w:val="clear" w:color="auto" w:fill="auto"/>
        <w:tabs>
          <w:tab w:val="left" w:pos="347"/>
        </w:tabs>
        <w:spacing w:after="40" w:line="240" w:lineRule="auto"/>
        <w:jc w:val="both"/>
        <w:rPr>
          <w:sz w:val="16"/>
          <w:szCs w:val="16"/>
        </w:rPr>
      </w:pPr>
      <w:bookmarkStart w:id="62" w:name="bookmark62"/>
      <w:bookmarkStart w:id="63" w:name="bookmark63"/>
      <w:r>
        <w:rPr>
          <w:sz w:val="16"/>
          <w:szCs w:val="16"/>
        </w:rPr>
        <w:t>Náklady na dodání</w:t>
      </w:r>
      <w:bookmarkEnd w:id="62"/>
      <w:bookmarkEnd w:id="63"/>
    </w:p>
    <w:p w:rsidR="00215B20" w:rsidRDefault="00FD0AA3">
      <w:pPr>
        <w:pStyle w:val="Zkladntext1"/>
        <w:shd w:val="clear" w:color="auto" w:fill="auto"/>
        <w:spacing w:after="40" w:line="254" w:lineRule="auto"/>
        <w:jc w:val="both"/>
      </w:pPr>
      <w:r>
        <w:t>Náklady na dodání jsou zahrn</w:t>
      </w:r>
      <w:r>
        <w:t>uty v ceně poskytované Služby. V případě, že jsou účtovány náklady na dodání, jejich cenu Smluvní partner nalezne v platném Ceníku služby.</w:t>
      </w:r>
    </w:p>
    <w:p w:rsidR="00215B20" w:rsidRDefault="00FD0AA3">
      <w:pPr>
        <w:pStyle w:val="Zkladntext1"/>
        <w:shd w:val="clear" w:color="auto" w:fill="auto"/>
        <w:spacing w:after="40" w:line="298" w:lineRule="auto"/>
        <w:jc w:val="both"/>
      </w:pPr>
      <w:r>
        <w:t>Údaje o funkčnosti digitálního obsahu včetně technických ochranných opatření a součinnosti digitálního obsahu s hardw</w:t>
      </w:r>
      <w:r>
        <w:t>arem a softwarem Detailní informace z hlediska potřebného softwarového a hardwarového vybavení pro využití digitálního obsahu poskytovaného Poskytovatelem nalezne Smluvní partner v samostatných dokumentech.</w:t>
      </w:r>
    </w:p>
    <w:p w:rsidR="00215B20" w:rsidRDefault="00FD0AA3">
      <w:pPr>
        <w:pStyle w:val="Zkladntext1"/>
        <w:shd w:val="clear" w:color="auto" w:fill="auto"/>
        <w:spacing w:after="260"/>
        <w:jc w:val="both"/>
      </w:pPr>
      <w:r>
        <w:t>Smluvní partner není nijak omezen ve volbě koncov</w:t>
      </w:r>
      <w:r>
        <w:t>ého zařízení, jež používá v souvislosti s užívanou Službou, za předpokladu, že zařízení splňuje minimální technické standardy nutné pro fungování Služby. V případě, že Smluvní partner využívá koncové zařízení poskytnuté Poskytovatelem, jsou veškeré technic</w:t>
      </w:r>
      <w:r>
        <w:t>ké, platební a instalační podmínky uvedeny v příslušné smluvní dokumentaci k danému zařízení.</w:t>
      </w:r>
    </w:p>
    <w:p w:rsidR="00215B20" w:rsidRDefault="00FD0AA3">
      <w:pPr>
        <w:pStyle w:val="Nadpis60"/>
        <w:keepNext/>
        <w:keepLines/>
        <w:numPr>
          <w:ilvl w:val="0"/>
          <w:numId w:val="1"/>
        </w:numPr>
        <w:shd w:val="clear" w:color="auto" w:fill="auto"/>
        <w:tabs>
          <w:tab w:val="left" w:pos="347"/>
        </w:tabs>
        <w:spacing w:after="40" w:line="240" w:lineRule="auto"/>
        <w:jc w:val="both"/>
        <w:rPr>
          <w:sz w:val="16"/>
          <w:szCs w:val="16"/>
        </w:rPr>
      </w:pPr>
      <w:bookmarkStart w:id="64" w:name="bookmark64"/>
      <w:bookmarkStart w:id="65" w:name="bookmark65"/>
      <w:r>
        <w:rPr>
          <w:sz w:val="16"/>
          <w:szCs w:val="16"/>
        </w:rPr>
        <w:t>Odstoupeníodsmlouvy</w:t>
      </w:r>
      <w:bookmarkEnd w:id="64"/>
      <w:bookmarkEnd w:id="65"/>
    </w:p>
    <w:p w:rsidR="00215B20" w:rsidRDefault="00FD0AA3">
      <w:pPr>
        <w:pStyle w:val="Zkladntext1"/>
        <w:shd w:val="clear" w:color="auto" w:fill="auto"/>
        <w:spacing w:after="40"/>
        <w:jc w:val="both"/>
      </w:pPr>
      <w:r>
        <w:t>Nestanoví-li zákon, že odstoupit nelze, může Smluvní partner v postavení spotřebitele nebo fyzické osoby podnikající od Specifikace služby uza</w:t>
      </w:r>
      <w:r>
        <w:t>vřené mimo obvyklé obchodní prostory nebo za použití prostředků komunikace na dálku, odstoupit i bez uvedení důvodu ve lhůtě 14 dnů ode dne následujícího po dni doručení Shrnutí smlouvy nebo zřízení služby.</w:t>
      </w:r>
    </w:p>
    <w:p w:rsidR="00215B20" w:rsidRDefault="00FD0AA3">
      <w:pPr>
        <w:pStyle w:val="Zkladntext1"/>
        <w:shd w:val="clear" w:color="auto" w:fill="auto"/>
        <w:spacing w:after="40" w:line="254" w:lineRule="auto"/>
        <w:jc w:val="both"/>
      </w:pPr>
      <w:r>
        <w:t>Uzavřením Specifikace služby mimo obvyklé obchodn</w:t>
      </w:r>
      <w:r>
        <w:t>í prostory nebo za použití prostředků komunikace na dálku souhlasí Smluvní partner s tím, aby poskytování Služeb započalo ještě před uplynutím uvedené lhůty pro odstoupení. Dojde-li před odstoupením od Specifikace služby k čerpání Služeb, budou Smluvnímu p</w:t>
      </w:r>
      <w:r>
        <w:t>artnerovi v souladu s ustanovením § 1834 zákona č. 89/2012 Sb., občanský zákoník vyčerpané Služby účtovány.</w:t>
      </w:r>
    </w:p>
    <w:p w:rsidR="00215B20" w:rsidRDefault="00FD0AA3">
      <w:pPr>
        <w:pStyle w:val="Zkladntext1"/>
        <w:shd w:val="clear" w:color="auto" w:fill="auto"/>
        <w:spacing w:after="40" w:line="262" w:lineRule="auto"/>
        <w:jc w:val="both"/>
      </w:pPr>
      <w:r>
        <w:t>Náklady na vrácení zboží v případě odstoupení od části Specifikace služby týkající se ho (např. poštovné, dopravné aj.) nese v souladu s ustanovením</w:t>
      </w:r>
      <w:r>
        <w:t xml:space="preserve"> § 1820 odst. 1 písm. g) občanského zákoníku Smluvní partner.</w:t>
      </w:r>
    </w:p>
    <w:p w:rsidR="00215B20" w:rsidRDefault="00FD0AA3">
      <w:pPr>
        <w:pStyle w:val="Zkladntext1"/>
        <w:shd w:val="clear" w:color="auto" w:fill="auto"/>
        <w:spacing w:after="40"/>
        <w:jc w:val="both"/>
      </w:pPr>
      <w:r>
        <w:t xml:space="preserve">Pro odstoupení od Specifikace služby lze využít formulář „Odstoupení od smlouvy“ na </w:t>
      </w:r>
      <w:hyperlink r:id="rId27" w:history="1">
        <w:r w:rsidRPr="00920265">
          <w:rPr>
            <w:lang w:eastAsia="en-US" w:bidi="en-US"/>
          </w:rPr>
          <w:t>www.t-mobile.cz/podpora</w:t>
        </w:r>
      </w:hyperlink>
      <w:r w:rsidRPr="00920265">
        <w:rPr>
          <w:lang w:eastAsia="en-US" w:bidi="en-US"/>
        </w:rPr>
        <w:t xml:space="preserve">. </w:t>
      </w:r>
      <w:r>
        <w:t>Mimo tento formulář, je třeba na zasílan</w:t>
      </w:r>
      <w:r>
        <w:t>ém dokumentu výslovně uvést identifikační údaje Smluvního partnera a jednání, které je činěno, tj. odstoupení od Specifikace služby ve 14 dnech. Specifikaci služby, od které je odstupováno je nutno v dokumentu jednoznačně identifikovat.</w:t>
      </w:r>
    </w:p>
    <w:p w:rsidR="00215B20" w:rsidRDefault="00FD0AA3">
      <w:pPr>
        <w:pStyle w:val="Zkladntext1"/>
        <w:numPr>
          <w:ilvl w:val="0"/>
          <w:numId w:val="3"/>
        </w:numPr>
        <w:shd w:val="clear" w:color="auto" w:fill="auto"/>
        <w:tabs>
          <w:tab w:val="left" w:pos="241"/>
        </w:tabs>
        <w:spacing w:after="40"/>
        <w:jc w:val="both"/>
      </w:pPr>
      <w:proofErr w:type="gramStart"/>
      <w:r>
        <w:t>případě</w:t>
      </w:r>
      <w:proofErr w:type="gramEnd"/>
      <w:r>
        <w:t>, že nebudou</w:t>
      </w:r>
      <w:r>
        <w:t xml:space="preserve"> splněny veškeré zákonné podmínky pro uplatnění práva na odstoupení od Specifikace služby, nebude Poskytovatel moci odstoupení od Účastnické smlouvy považovat za řádné a zašle Smluvnímu partnerovi vysvětlení, proč je odstoupení neplatné.</w:t>
      </w:r>
    </w:p>
    <w:p w:rsidR="00215B20" w:rsidRDefault="00FD0AA3">
      <w:pPr>
        <w:pStyle w:val="Zkladntext1"/>
        <w:shd w:val="clear" w:color="auto" w:fill="auto"/>
        <w:spacing w:after="260"/>
        <w:jc w:val="both"/>
      </w:pPr>
      <w:r>
        <w:t>Pokud Smluvní part</w:t>
      </w:r>
      <w:r>
        <w:t>ner není v postavení spotřebitele či podnikající fyzické osoby, nemá právo odstoupit.</w:t>
      </w:r>
    </w:p>
    <w:p w:rsidR="00215B20" w:rsidRDefault="00FD0AA3">
      <w:pPr>
        <w:pStyle w:val="Nadpis60"/>
        <w:keepNext/>
        <w:keepLines/>
        <w:numPr>
          <w:ilvl w:val="0"/>
          <w:numId w:val="1"/>
        </w:numPr>
        <w:shd w:val="clear" w:color="auto" w:fill="auto"/>
        <w:tabs>
          <w:tab w:val="left" w:pos="347"/>
        </w:tabs>
        <w:spacing w:after="40" w:line="240" w:lineRule="auto"/>
        <w:jc w:val="both"/>
        <w:rPr>
          <w:sz w:val="16"/>
          <w:szCs w:val="16"/>
        </w:rPr>
      </w:pPr>
      <w:bookmarkStart w:id="66" w:name="bookmark66"/>
      <w:bookmarkStart w:id="67" w:name="bookmark67"/>
      <w:r>
        <w:rPr>
          <w:sz w:val="16"/>
          <w:szCs w:val="16"/>
        </w:rPr>
        <w:t>Závěrečnáustanovení</w:t>
      </w:r>
      <w:bookmarkEnd w:id="66"/>
      <w:bookmarkEnd w:id="67"/>
    </w:p>
    <w:p w:rsidR="00215B20" w:rsidRDefault="00FD0AA3">
      <w:pPr>
        <w:pStyle w:val="Zkladntext1"/>
        <w:shd w:val="clear" w:color="auto" w:fill="auto"/>
        <w:spacing w:after="40" w:line="254" w:lineRule="auto"/>
        <w:jc w:val="both"/>
        <w:sectPr w:rsidR="00215B20">
          <w:headerReference w:type="even" r:id="rId28"/>
          <w:headerReference w:type="default" r:id="rId29"/>
          <w:footerReference w:type="even" r:id="rId30"/>
          <w:footerReference w:type="default" r:id="rId31"/>
          <w:headerReference w:type="first" r:id="rId32"/>
          <w:footerReference w:type="first" r:id="rId33"/>
          <w:pgSz w:w="11900" w:h="16840"/>
          <w:pgMar w:top="530" w:right="1103" w:bottom="836" w:left="1091" w:header="0" w:footer="3" w:gutter="0"/>
          <w:pgNumType w:start="1"/>
          <w:cols w:space="720"/>
          <w:noEndnote/>
          <w:titlePg/>
          <w:docGrid w:linePitch="360"/>
        </w:sectPr>
      </w:pPr>
      <w:r>
        <w:t xml:space="preserve">Tyto podmínky nabývají platnosti a účinnosti dne </w:t>
      </w:r>
      <w:proofErr w:type="gramStart"/>
      <w:r>
        <w:t>1.1. 2022</w:t>
      </w:r>
      <w:proofErr w:type="gramEnd"/>
      <w:r>
        <w:t xml:space="preserve"> pro Specifikace služeb sjednané po tomto datu. Pro Specifikace služeb sjednané před </w:t>
      </w:r>
      <w:proofErr w:type="gramStart"/>
      <w:r>
        <w:t>1.1.2022</w:t>
      </w:r>
      <w:proofErr w:type="gramEnd"/>
      <w:r>
        <w:t xml:space="preserve"> nabývají tyto podmínky účinnosti dne 1.4. 2022.</w:t>
      </w:r>
    </w:p>
    <w:p w:rsidR="00215B20" w:rsidRDefault="00FD0AA3">
      <w:pPr>
        <w:pStyle w:val="Zkladntext30"/>
        <w:shd w:val="clear" w:color="auto" w:fill="auto"/>
        <w:spacing w:after="1340"/>
      </w:pPr>
      <w:r>
        <w:lastRenderedPageBreak/>
        <w:t>Zajištění podpory a serv</w:t>
      </w:r>
      <w:r>
        <w:t>isních služeb</w:t>
      </w:r>
    </w:p>
    <w:p w:rsidR="00215B20" w:rsidRDefault="00FD0AA3">
      <w:pPr>
        <w:pStyle w:val="Zkladntext30"/>
        <w:shd w:val="clear" w:color="auto" w:fill="auto"/>
        <w:spacing w:line="233" w:lineRule="auto"/>
        <w:jc w:val="both"/>
        <w:sectPr w:rsidR="00215B20">
          <w:headerReference w:type="even" r:id="rId34"/>
          <w:headerReference w:type="default" r:id="rId35"/>
          <w:footerReference w:type="even" r:id="rId36"/>
          <w:footerReference w:type="default" r:id="rId37"/>
          <w:pgSz w:w="11900" w:h="16840"/>
          <w:pgMar w:top="2746" w:right="690" w:bottom="2746" w:left="1265" w:header="0" w:footer="2318" w:gutter="0"/>
          <w:pgNumType w:start="11"/>
          <w:cols w:space="720"/>
          <w:noEndnote/>
          <w:docGrid w:linePitch="360"/>
        </w:sectPr>
      </w:pPr>
      <w:r>
        <w:t xml:space="preserve">Poskytovatel zajistí provozní podporu a servisní služby prostřednictvím sítě vlastních zaměstnanců, kteří jsou rozmístěni po území České </w:t>
      </w:r>
      <w:r>
        <w:t>republiky a v případech, kdy bude nutná součinnost subdodavatelů pomocí sítě jejich zaměstnanců, kteří jsou rovněž rozmístěni v lokalitách po území České republiky. Při stanovení konkrétních zaměstnanců zajišťujících servisní zásah, bude zohledněna optimal</w:t>
      </w:r>
      <w:r>
        <w:t>izovaná fyzická vzdálenost dostupných zaměstnanců a lokality, na které bude vyžadován servisní zásah. Ve všech případech bude brána do úvahy doba, která je k dispozici na splnění podmínek SLA uvedených ve smlouvě.</w:t>
      </w:r>
    </w:p>
    <w:p w:rsidR="00215B20" w:rsidRDefault="00FD0AA3">
      <w:pPr>
        <w:pStyle w:val="Titulekobrzku0"/>
        <w:framePr w:w="1080" w:h="307" w:wrap="none" w:hAnchor="page" w:x="1402" w:y="45"/>
        <w:shd w:val="clear" w:color="auto" w:fill="auto"/>
        <w:spacing w:line="240" w:lineRule="auto"/>
        <w:ind w:firstLine="0"/>
        <w:rPr>
          <w:sz w:val="22"/>
          <w:szCs w:val="22"/>
        </w:rPr>
      </w:pPr>
      <w:r>
        <w:rPr>
          <w:rFonts w:ascii="Calibri" w:eastAsia="Calibri" w:hAnsi="Calibri" w:cs="Calibri"/>
          <w:color w:val="231F20"/>
          <w:sz w:val="22"/>
          <w:szCs w:val="22"/>
        </w:rPr>
        <w:lastRenderedPageBreak/>
        <w:t>Příloha č. 5:</w:t>
      </w:r>
    </w:p>
    <w:p w:rsidR="00215B20" w:rsidRDefault="00FD0AA3">
      <w:pPr>
        <w:pStyle w:val="Zkladntext30"/>
        <w:framePr w:w="1306" w:h="307" w:wrap="none" w:hAnchor="page" w:x="1392" w:y="491"/>
        <w:shd w:val="clear" w:color="auto" w:fill="auto"/>
      </w:pPr>
      <w:r>
        <w:t>SLA podmínky</w:t>
      </w:r>
    </w:p>
    <w:p w:rsidR="00215B20" w:rsidRDefault="00FD0AA3">
      <w:pPr>
        <w:spacing w:line="360" w:lineRule="exact"/>
      </w:pPr>
      <w:r>
        <w:rPr>
          <w:noProof/>
          <w:lang w:bidi="ar-SA"/>
        </w:rPr>
        <w:drawing>
          <wp:anchor distT="0" distB="274320" distL="8890" distR="0" simplePos="0" relativeHeight="62914713" behindDoc="1" locked="0" layoutInCell="1" allowOverlap="1">
            <wp:simplePos x="0" y="0"/>
            <wp:positionH relativeFrom="page">
              <wp:posOffset>898525</wp:posOffset>
            </wp:positionH>
            <wp:positionV relativeFrom="margin">
              <wp:posOffset>-517525</wp:posOffset>
            </wp:positionV>
            <wp:extent cx="694690" cy="469265"/>
            <wp:effectExtent l="0" t="0" r="0" b="0"/>
            <wp:wrapNone/>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12"/>
                    <a:stretch/>
                  </pic:blipFill>
                  <pic:spPr>
                    <a:xfrm>
                      <a:off x="0" y="0"/>
                      <a:ext cx="694690" cy="469265"/>
                    </a:xfrm>
                    <a:prstGeom prst="rect">
                      <a:avLst/>
                    </a:prstGeom>
                  </pic:spPr>
                </pic:pic>
              </a:graphicData>
            </a:graphic>
          </wp:anchor>
        </w:drawing>
      </w:r>
    </w:p>
    <w:p w:rsidR="00215B20" w:rsidRDefault="00215B20">
      <w:pPr>
        <w:spacing w:after="437" w:line="1" w:lineRule="exact"/>
      </w:pPr>
    </w:p>
    <w:p w:rsidR="00215B20" w:rsidRDefault="00215B20">
      <w:pPr>
        <w:spacing w:line="1" w:lineRule="exact"/>
        <w:sectPr w:rsidR="00215B20">
          <w:headerReference w:type="even" r:id="rId38"/>
          <w:headerReference w:type="default" r:id="rId39"/>
          <w:footerReference w:type="even" r:id="rId40"/>
          <w:footerReference w:type="default" r:id="rId41"/>
          <w:pgSz w:w="11900" w:h="16840"/>
          <w:pgMar w:top="2256" w:right="7686" w:bottom="2256" w:left="1391" w:header="0" w:footer="1828" w:gutter="0"/>
          <w:cols w:space="720"/>
          <w:noEndnote/>
          <w:docGrid w:linePitch="360"/>
        </w:sectPr>
      </w:pPr>
    </w:p>
    <w:p w:rsidR="00215B20" w:rsidRDefault="00FD0AA3">
      <w:pPr>
        <w:rPr>
          <w:sz w:val="2"/>
          <w:szCs w:val="2"/>
        </w:rPr>
      </w:pPr>
      <w:r>
        <w:rPr>
          <w:noProof/>
          <w:lang w:bidi="ar-SA"/>
        </w:rPr>
        <w:lastRenderedPageBreak/>
        <w:drawing>
          <wp:inline distT="0" distB="0" distL="0" distR="0">
            <wp:extent cx="871855" cy="43307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2"/>
                    <a:stretch/>
                  </pic:blipFill>
                  <pic:spPr>
                    <a:xfrm>
                      <a:off x="0" y="0"/>
                      <a:ext cx="871855" cy="433070"/>
                    </a:xfrm>
                    <a:prstGeom prst="rect">
                      <a:avLst/>
                    </a:prstGeom>
                  </pic:spPr>
                </pic:pic>
              </a:graphicData>
            </a:graphic>
          </wp:inline>
        </w:drawing>
      </w:r>
    </w:p>
    <w:p w:rsidR="00215B20" w:rsidRDefault="00215B20">
      <w:pPr>
        <w:spacing w:after="99" w:line="1" w:lineRule="exact"/>
      </w:pPr>
    </w:p>
    <w:p w:rsidR="00215B20" w:rsidRDefault="00FD0AA3">
      <w:pPr>
        <w:pStyle w:val="Nadpis30"/>
        <w:keepNext/>
        <w:keepLines/>
        <w:shd w:val="clear" w:color="auto" w:fill="auto"/>
        <w:spacing w:after="160"/>
      </w:pPr>
      <w:bookmarkStart w:id="68" w:name="bookmark68"/>
      <w:bookmarkStart w:id="69" w:name="bookmark69"/>
      <w:r>
        <w:t>Popis služby SLA</w:t>
      </w:r>
      <w:bookmarkEnd w:id="68"/>
      <w:bookmarkEnd w:id="69"/>
    </w:p>
    <w:p w:rsidR="00215B20" w:rsidRDefault="00FD0AA3">
      <w:pPr>
        <w:pStyle w:val="Nadpis50"/>
        <w:keepNext/>
        <w:keepLines/>
        <w:shd w:val="clear" w:color="auto" w:fill="auto"/>
        <w:spacing w:after="160"/>
      </w:pPr>
      <w:bookmarkStart w:id="70" w:name="bookmark70"/>
      <w:bookmarkStart w:id="71" w:name="bookmark71"/>
      <w:r>
        <w:t>Platnost od 01. 09. 2021</w:t>
      </w:r>
      <w:bookmarkEnd w:id="70"/>
      <w:bookmarkEnd w:id="71"/>
    </w:p>
    <w:p w:rsidR="00215B20" w:rsidRDefault="00FD0AA3">
      <w:pPr>
        <w:pStyle w:val="Zkladntext1"/>
        <w:shd w:val="clear" w:color="auto" w:fill="auto"/>
        <w:spacing w:after="100"/>
      </w:pPr>
      <w:r>
        <w:t xml:space="preserve">Tento dokument stanovuje podmínky týkající se úrovně kvality a dostupnosti poskytovaných Služeb (dále také </w:t>
      </w:r>
      <w:r>
        <w:rPr>
          <w:b/>
          <w:bCs/>
        </w:rPr>
        <w:t xml:space="preserve">„SLA“). </w:t>
      </w:r>
      <w:r>
        <w:t>Úroveň služby SLA si moho</w:t>
      </w:r>
      <w:r>
        <w:t>u smluvní strany sjednat ve vztahu k dále uvedeným Službám v příslušném Smluvním dokumentu, zejména ve Specifikaci služby nebo Účastnické smlouvě. Podmínky SLA se dále řídí ujednáními ve Smlouvě, Podmínkách Firemního řešení, Specifikacích služby, Účastnick</w:t>
      </w:r>
      <w:r>
        <w:t>é smlouvě a dalších Smluvních dokumentech.</w:t>
      </w:r>
    </w:p>
    <w:p w:rsidR="00215B20" w:rsidRDefault="00FD0AA3">
      <w:pPr>
        <w:pStyle w:val="Nadpis60"/>
        <w:keepNext/>
        <w:keepLines/>
        <w:numPr>
          <w:ilvl w:val="0"/>
          <w:numId w:val="4"/>
        </w:numPr>
        <w:shd w:val="clear" w:color="auto" w:fill="auto"/>
        <w:tabs>
          <w:tab w:val="left" w:pos="278"/>
        </w:tabs>
        <w:spacing w:after="100" w:line="257" w:lineRule="auto"/>
      </w:pPr>
      <w:bookmarkStart w:id="72" w:name="bookmark72"/>
      <w:bookmarkStart w:id="73" w:name="bookmark73"/>
      <w:r>
        <w:t>Přehled Služeb a jednotlivých úrovni SLA</w:t>
      </w:r>
      <w:bookmarkEnd w:id="72"/>
      <w:bookmarkEnd w:id="73"/>
    </w:p>
    <w:p w:rsidR="00215B20" w:rsidRDefault="00FD0AA3">
      <w:pPr>
        <w:pStyle w:val="Zkladntext1"/>
        <w:shd w:val="clear" w:color="auto" w:fill="auto"/>
        <w:spacing w:after="300"/>
      </w:pPr>
      <w:r>
        <w:t>K dále uvedeným Službám si mohou smluvní strany sjednat následující úrovně služby - SLA:</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74"/>
        <w:gridCol w:w="1181"/>
        <w:gridCol w:w="1181"/>
        <w:gridCol w:w="1181"/>
        <w:gridCol w:w="1181"/>
        <w:gridCol w:w="1176"/>
        <w:gridCol w:w="1195"/>
      </w:tblGrid>
      <w:tr w:rsidR="00215B20">
        <w:tblPrEx>
          <w:tblCellMar>
            <w:top w:w="0" w:type="dxa"/>
            <w:bottom w:w="0" w:type="dxa"/>
          </w:tblCellMar>
        </w:tblPrEx>
        <w:trPr>
          <w:trHeight w:hRule="exact" w:val="298"/>
          <w:jc w:val="center"/>
        </w:trPr>
        <w:tc>
          <w:tcPr>
            <w:tcW w:w="2774" w:type="dxa"/>
            <w:vMerge w:val="restart"/>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Název Služby</w:t>
            </w:r>
          </w:p>
        </w:tc>
        <w:tc>
          <w:tcPr>
            <w:tcW w:w="7095" w:type="dxa"/>
            <w:gridSpan w:val="6"/>
            <w:tcBorders>
              <w:top w:val="single" w:sz="4" w:space="0" w:color="auto"/>
              <w:left w:val="single" w:sz="4" w:space="0" w:color="auto"/>
              <w:righ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Úroveň služby - SLA</w:t>
            </w:r>
          </w:p>
        </w:tc>
      </w:tr>
      <w:tr w:rsidR="00215B20">
        <w:tblPrEx>
          <w:tblCellMar>
            <w:top w:w="0" w:type="dxa"/>
            <w:bottom w:w="0" w:type="dxa"/>
          </w:tblCellMar>
        </w:tblPrEx>
        <w:trPr>
          <w:trHeight w:hRule="exact" w:val="293"/>
          <w:jc w:val="center"/>
        </w:trPr>
        <w:tc>
          <w:tcPr>
            <w:tcW w:w="2774" w:type="dxa"/>
            <w:vMerge/>
            <w:tcBorders>
              <w:left w:val="single" w:sz="4" w:space="0" w:color="auto"/>
            </w:tcBorders>
            <w:shd w:val="clear" w:color="auto" w:fill="D3D5D7"/>
            <w:vAlign w:val="center"/>
          </w:tcPr>
          <w:p w:rsidR="00215B20" w:rsidRDefault="00215B20"/>
        </w:tc>
        <w:tc>
          <w:tcPr>
            <w:tcW w:w="1181" w:type="dxa"/>
            <w:tcBorders>
              <w:top w:val="single" w:sz="4" w:space="0" w:color="auto"/>
              <w:lef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95,00%</w:t>
            </w:r>
          </w:p>
        </w:tc>
        <w:tc>
          <w:tcPr>
            <w:tcW w:w="1181" w:type="dxa"/>
            <w:tcBorders>
              <w:top w:val="single" w:sz="4" w:space="0" w:color="auto"/>
              <w:lef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99,00%</w:t>
            </w:r>
          </w:p>
        </w:tc>
        <w:tc>
          <w:tcPr>
            <w:tcW w:w="1181" w:type="dxa"/>
            <w:tcBorders>
              <w:top w:val="single" w:sz="4" w:space="0" w:color="auto"/>
              <w:lef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99,50%</w:t>
            </w:r>
          </w:p>
        </w:tc>
        <w:tc>
          <w:tcPr>
            <w:tcW w:w="1181" w:type="dxa"/>
            <w:tcBorders>
              <w:top w:val="single" w:sz="4" w:space="0" w:color="auto"/>
              <w:lef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99,70%</w:t>
            </w:r>
          </w:p>
        </w:tc>
        <w:tc>
          <w:tcPr>
            <w:tcW w:w="1176" w:type="dxa"/>
            <w:tcBorders>
              <w:top w:val="single" w:sz="4" w:space="0" w:color="auto"/>
              <w:lef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99,90%</w:t>
            </w:r>
          </w:p>
        </w:tc>
        <w:tc>
          <w:tcPr>
            <w:tcW w:w="1195" w:type="dxa"/>
            <w:tcBorders>
              <w:top w:val="single" w:sz="4" w:space="0" w:color="auto"/>
              <w:left w:val="single" w:sz="4" w:space="0" w:color="auto"/>
              <w:righ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99,99%</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Lambda *</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Pronajatý okruh *</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proofErr w:type="gramStart"/>
            <w:r>
              <w:rPr>
                <w:b/>
                <w:bCs/>
                <w:sz w:val="14"/>
                <w:szCs w:val="14"/>
              </w:rPr>
              <w:t>Ethernet Line</w:t>
            </w:r>
            <w:proofErr w:type="gramEnd"/>
            <w:r>
              <w:rPr>
                <w:b/>
                <w:bCs/>
                <w:sz w:val="14"/>
                <w:szCs w:val="14"/>
              </w:rPr>
              <w:t xml:space="preserve"> *</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Ethernet VPN *</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Profesionální internet *</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IP Tranzit *</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IP VPN *</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Telefonní připojení</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IP komplet *</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 xml:space="preserve">IP komplet </w:t>
            </w:r>
            <w:r>
              <w:rPr>
                <w:b/>
                <w:bCs/>
                <w:sz w:val="14"/>
                <w:szCs w:val="14"/>
                <w:lang w:val="en-US" w:eastAsia="en-US" w:bidi="en-US"/>
              </w:rPr>
              <w:t xml:space="preserve">premium </w:t>
            </w:r>
            <w:r>
              <w:rPr>
                <w:b/>
                <w:bCs/>
                <w:sz w:val="14"/>
                <w:szCs w:val="14"/>
              </w:rPr>
              <w:t>*</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 xml:space="preserve">IP komplet </w:t>
            </w:r>
            <w:r>
              <w:rPr>
                <w:b/>
                <w:bCs/>
                <w:sz w:val="14"/>
                <w:szCs w:val="14"/>
                <w:lang w:val="en-US" w:eastAsia="en-US" w:bidi="en-US"/>
              </w:rPr>
              <w:t xml:space="preserve">premium* </w:t>
            </w:r>
            <w:r>
              <w:rPr>
                <w:b/>
                <w:bCs/>
                <w:sz w:val="14"/>
                <w:szCs w:val="14"/>
              </w:rPr>
              <w:t>*</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Datová centra</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Datová centra SDC</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Virtuální datová centra</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Virtuální datové centrum (N)</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Virtuální záloha</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Virtuální datová úložiště</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Tiskové služby</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Správa mobilních zařízení</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lang w:val="en-US" w:eastAsia="en-US" w:bidi="en-US"/>
              </w:rPr>
              <w:t xml:space="preserve">Managed </w:t>
            </w:r>
            <w:r>
              <w:rPr>
                <w:b/>
                <w:bCs/>
                <w:sz w:val="14"/>
                <w:szCs w:val="14"/>
                <w:lang w:val="en-US" w:eastAsia="en-US" w:bidi="en-US"/>
              </w:rPr>
              <w:t>Firewall</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r>
      <w:tr w:rsidR="00215B20">
        <w:tblPrEx>
          <w:tblCellMar>
            <w:top w:w="0" w:type="dxa"/>
            <w:bottom w:w="0" w:type="dxa"/>
          </w:tblCellMar>
        </w:tblPrEx>
        <w:trPr>
          <w:trHeight w:hRule="exact" w:val="293"/>
          <w:jc w:val="center"/>
        </w:trPr>
        <w:tc>
          <w:tcPr>
            <w:tcW w:w="2774"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DDoS Ochrana</w:t>
            </w:r>
          </w:p>
        </w:tc>
        <w:tc>
          <w:tcPr>
            <w:tcW w:w="1181"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81"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76"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firstLine="480"/>
              <w:jc w:val="both"/>
              <w:rPr>
                <w:sz w:val="14"/>
                <w:szCs w:val="14"/>
              </w:rPr>
            </w:pPr>
            <w:r>
              <w:rPr>
                <w:b/>
                <w:bCs/>
                <w:color w:val="6B6C6F"/>
                <w:sz w:val="14"/>
                <w:szCs w:val="14"/>
              </w:rPr>
              <w:t>NE</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420"/>
              <w:jc w:val="both"/>
              <w:rPr>
                <w:sz w:val="14"/>
                <w:szCs w:val="14"/>
              </w:rPr>
            </w:pPr>
            <w:r>
              <w:rPr>
                <w:b/>
                <w:bCs/>
                <w:color w:val="DE1273"/>
                <w:sz w:val="14"/>
                <w:szCs w:val="14"/>
              </w:rPr>
              <w:t>ANO</w:t>
            </w:r>
          </w:p>
        </w:tc>
      </w:tr>
    </w:tbl>
    <w:p w:rsidR="00215B20" w:rsidRDefault="00215B20">
      <w:pPr>
        <w:spacing w:after="159" w:line="1" w:lineRule="exact"/>
      </w:pPr>
    </w:p>
    <w:p w:rsidR="00215B20" w:rsidRDefault="00FD0AA3">
      <w:pPr>
        <w:pStyle w:val="Zkladntext1"/>
        <w:shd w:val="clear" w:color="auto" w:fill="auto"/>
        <w:spacing w:after="300" w:line="254" w:lineRule="auto"/>
      </w:pPr>
      <w:r>
        <w:t xml:space="preserve">* Úrovně služby SLA, které jsou pro danou Službu k dispozici, závisí na zvoleném technickém řešení, zejména však na konkrétní technologii použité pro poslední míli dané Služby a na tom, </w:t>
      </w:r>
      <w:proofErr w:type="gramStart"/>
      <w:r>
        <w:t>jeli</w:t>
      </w:r>
      <w:proofErr w:type="gramEnd"/>
      <w:r>
        <w:t xml:space="preserve"> </w:t>
      </w:r>
      <w:r>
        <w:t xml:space="preserve">daná Služba </w:t>
      </w:r>
      <w:proofErr w:type="gramStart"/>
      <w:r>
        <w:t>realizována</w:t>
      </w:r>
      <w:proofErr w:type="gramEnd"/>
      <w:r>
        <w:t xml:space="preserve"> se záložní přístupovou linkou či bez ní.</w:t>
      </w:r>
    </w:p>
    <w:p w:rsidR="00215B20" w:rsidRDefault="00FD0AA3">
      <w:pPr>
        <w:pStyle w:val="Zkladntext1"/>
        <w:shd w:val="clear" w:color="auto" w:fill="auto"/>
        <w:spacing w:after="160"/>
      </w:pPr>
      <w:r>
        <w:t xml:space="preserve">Konkrétní úroveň SLA sjednaná pro jednotlivou Službu je uvedena v příslušném Smluvním dokumentu, zejména ve Specifikaci služby nebo Účastnické smlouvě. Není-li ve Smluvním dokumentu uvedena </w:t>
      </w:r>
      <w:r>
        <w:t>konkrétní úroveň SLA, platí, že SLA není pro příslušnou Službu sjednáno.</w:t>
      </w:r>
      <w:r>
        <w:br w:type="page"/>
      </w:r>
    </w:p>
    <w:p w:rsidR="00215B20" w:rsidRDefault="00FD0AA3">
      <w:pPr>
        <w:rPr>
          <w:sz w:val="2"/>
          <w:szCs w:val="2"/>
        </w:rPr>
      </w:pPr>
      <w:r>
        <w:rPr>
          <w:noProof/>
          <w:lang w:bidi="ar-SA"/>
        </w:rPr>
        <w:lastRenderedPageBreak/>
        <w:drawing>
          <wp:inline distT="0" distB="0" distL="0" distR="0">
            <wp:extent cx="871855" cy="43307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2"/>
                    <a:stretch/>
                  </pic:blipFill>
                  <pic:spPr>
                    <a:xfrm>
                      <a:off x="0" y="0"/>
                      <a:ext cx="871855" cy="433070"/>
                    </a:xfrm>
                    <a:prstGeom prst="rect">
                      <a:avLst/>
                    </a:prstGeom>
                  </pic:spPr>
                </pic:pic>
              </a:graphicData>
            </a:graphic>
          </wp:inline>
        </w:drawing>
      </w:r>
    </w:p>
    <w:p w:rsidR="00215B20" w:rsidRDefault="00215B20">
      <w:pPr>
        <w:spacing w:after="99" w:line="1" w:lineRule="exact"/>
      </w:pPr>
    </w:p>
    <w:p w:rsidR="00215B20" w:rsidRDefault="00FD0AA3">
      <w:pPr>
        <w:pStyle w:val="Nadpis30"/>
        <w:keepNext/>
        <w:keepLines/>
        <w:shd w:val="clear" w:color="auto" w:fill="auto"/>
        <w:spacing w:after="180"/>
      </w:pPr>
      <w:bookmarkStart w:id="74" w:name="bookmark74"/>
      <w:bookmarkStart w:id="75" w:name="bookmark75"/>
      <w:r>
        <w:t xml:space="preserve">Popis služby </w:t>
      </w:r>
      <w:r>
        <w:rPr>
          <w:lang w:val="en-US" w:eastAsia="en-US" w:bidi="en-US"/>
        </w:rPr>
        <w:t>SLA</w:t>
      </w:r>
      <w:bookmarkEnd w:id="74"/>
      <w:bookmarkEnd w:id="75"/>
    </w:p>
    <w:p w:rsidR="00215B20" w:rsidRDefault="00FD0AA3">
      <w:pPr>
        <w:pStyle w:val="Nadpis50"/>
        <w:keepNext/>
        <w:keepLines/>
        <w:shd w:val="clear" w:color="auto" w:fill="auto"/>
        <w:spacing w:after="100"/>
      </w:pPr>
      <w:bookmarkStart w:id="76" w:name="bookmark76"/>
      <w:bookmarkStart w:id="77" w:name="bookmark77"/>
      <w:r>
        <w:rPr>
          <w:lang w:val="en-US" w:eastAsia="en-US" w:bidi="en-US"/>
        </w:rPr>
        <w:t>Platnost od 01. 09. 2021</w:t>
      </w:r>
      <w:bookmarkEnd w:id="76"/>
      <w:bookmarkEnd w:id="77"/>
    </w:p>
    <w:p w:rsidR="00215B20" w:rsidRDefault="00FD0AA3">
      <w:pPr>
        <w:pStyle w:val="Zkladntext1"/>
        <w:numPr>
          <w:ilvl w:val="0"/>
          <w:numId w:val="4"/>
        </w:numPr>
        <w:shd w:val="clear" w:color="auto" w:fill="auto"/>
        <w:tabs>
          <w:tab w:val="left" w:pos="355"/>
        </w:tabs>
        <w:spacing w:after="240" w:line="240" w:lineRule="auto"/>
      </w:pPr>
      <w:r>
        <w:rPr>
          <w:b/>
          <w:bCs/>
          <w:color w:val="DE1273"/>
        </w:rPr>
        <w:t>Vyhodnocované parametry SLA</w:t>
      </w:r>
    </w:p>
    <w:p w:rsidR="00215B20" w:rsidRDefault="00FD0AA3">
      <w:pPr>
        <w:pStyle w:val="Zkladntext1"/>
        <w:shd w:val="clear" w:color="auto" w:fill="auto"/>
        <w:spacing w:after="0" w:line="240" w:lineRule="auto"/>
      </w:pPr>
      <w:r>
        <w:t>Pro dále uvedené Služby jsou, resp. nejsou, v rámci sjednaného SLA vyhodnocovány následující parametry:</w:t>
      </w:r>
    </w:p>
    <w:p w:rsidR="00215B20" w:rsidRDefault="00FD0AA3">
      <w:pPr>
        <w:pStyle w:val="Zkladntext1"/>
        <w:numPr>
          <w:ilvl w:val="0"/>
          <w:numId w:val="5"/>
        </w:numPr>
        <w:shd w:val="clear" w:color="auto" w:fill="auto"/>
        <w:tabs>
          <w:tab w:val="left" w:pos="770"/>
        </w:tabs>
        <w:spacing w:after="0" w:line="240" w:lineRule="auto"/>
        <w:ind w:firstLine="400"/>
      </w:pPr>
      <w:r>
        <w:t>Dostu</w:t>
      </w:r>
      <w:r>
        <w:t>pnost Služby</w:t>
      </w:r>
    </w:p>
    <w:p w:rsidR="00215B20" w:rsidRDefault="00FD0AA3">
      <w:pPr>
        <w:pStyle w:val="Zkladntext1"/>
        <w:numPr>
          <w:ilvl w:val="0"/>
          <w:numId w:val="5"/>
        </w:numPr>
        <w:shd w:val="clear" w:color="auto" w:fill="auto"/>
        <w:tabs>
          <w:tab w:val="left" w:pos="770"/>
        </w:tabs>
        <w:spacing w:after="0" w:line="240" w:lineRule="auto"/>
        <w:ind w:firstLine="400"/>
      </w:pPr>
      <w:r>
        <w:t>Doplňkové parametry</w:t>
      </w:r>
    </w:p>
    <w:p w:rsidR="00215B20" w:rsidRDefault="00FD0AA3">
      <w:pPr>
        <w:pStyle w:val="Zkladntext1"/>
        <w:numPr>
          <w:ilvl w:val="0"/>
          <w:numId w:val="5"/>
        </w:numPr>
        <w:shd w:val="clear" w:color="auto" w:fill="auto"/>
        <w:tabs>
          <w:tab w:val="left" w:pos="770"/>
        </w:tabs>
        <w:spacing w:after="180" w:line="240" w:lineRule="auto"/>
        <w:ind w:firstLine="400"/>
        <w:jc w:val="both"/>
      </w:pPr>
      <w:r>
        <w:t>Doba odstranění Poruchy</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74"/>
        <w:gridCol w:w="2362"/>
        <w:gridCol w:w="2362"/>
        <w:gridCol w:w="2371"/>
      </w:tblGrid>
      <w:tr w:rsidR="00215B20">
        <w:tblPrEx>
          <w:tblCellMar>
            <w:top w:w="0" w:type="dxa"/>
            <w:bottom w:w="0" w:type="dxa"/>
          </w:tblCellMar>
        </w:tblPrEx>
        <w:trPr>
          <w:trHeight w:hRule="exact" w:val="298"/>
          <w:jc w:val="center"/>
        </w:trPr>
        <w:tc>
          <w:tcPr>
            <w:tcW w:w="2774" w:type="dxa"/>
            <w:vMerge w:val="restart"/>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Název Služby</w:t>
            </w:r>
          </w:p>
        </w:tc>
        <w:tc>
          <w:tcPr>
            <w:tcW w:w="7095" w:type="dxa"/>
            <w:gridSpan w:val="3"/>
            <w:tcBorders>
              <w:top w:val="single" w:sz="4" w:space="0" w:color="auto"/>
              <w:left w:val="single" w:sz="4" w:space="0" w:color="auto"/>
              <w:righ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Vyhodnocované parametry</w:t>
            </w:r>
          </w:p>
        </w:tc>
      </w:tr>
      <w:tr w:rsidR="00215B20">
        <w:tblPrEx>
          <w:tblCellMar>
            <w:top w:w="0" w:type="dxa"/>
            <w:bottom w:w="0" w:type="dxa"/>
          </w:tblCellMar>
        </w:tblPrEx>
        <w:trPr>
          <w:trHeight w:hRule="exact" w:val="293"/>
          <w:jc w:val="center"/>
        </w:trPr>
        <w:tc>
          <w:tcPr>
            <w:tcW w:w="2774" w:type="dxa"/>
            <w:vMerge/>
            <w:tcBorders>
              <w:left w:val="single" w:sz="4" w:space="0" w:color="auto"/>
            </w:tcBorders>
            <w:shd w:val="clear" w:color="auto" w:fill="D3D5D7"/>
            <w:vAlign w:val="center"/>
          </w:tcPr>
          <w:p w:rsidR="00215B20" w:rsidRDefault="00215B20"/>
        </w:tc>
        <w:tc>
          <w:tcPr>
            <w:tcW w:w="2362" w:type="dxa"/>
            <w:tcBorders>
              <w:top w:val="single" w:sz="4" w:space="0" w:color="auto"/>
              <w:lef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Dostupnost Služby</w:t>
            </w:r>
          </w:p>
        </w:tc>
        <w:tc>
          <w:tcPr>
            <w:tcW w:w="2362" w:type="dxa"/>
            <w:tcBorders>
              <w:top w:val="single" w:sz="4" w:space="0" w:color="auto"/>
              <w:lef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Doplňkové parametry</w:t>
            </w:r>
          </w:p>
        </w:tc>
        <w:tc>
          <w:tcPr>
            <w:tcW w:w="2371" w:type="dxa"/>
            <w:tcBorders>
              <w:top w:val="single" w:sz="4" w:space="0" w:color="auto"/>
              <w:left w:val="single" w:sz="4" w:space="0" w:color="auto"/>
              <w:righ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Doba odstranění Poruchy</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Lambda</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Pronajatý okruh</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proofErr w:type="gramStart"/>
            <w:r>
              <w:rPr>
                <w:b/>
                <w:bCs/>
                <w:sz w:val="14"/>
                <w:szCs w:val="14"/>
              </w:rPr>
              <w:t>Ethernet Line</w:t>
            </w:r>
            <w:proofErr w:type="gramEnd"/>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Ethernet VPN</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Profesionální internet</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IP Tranzit</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IP VPN</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Telefonní připojení</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IP komplet</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 xml:space="preserve">IP komplet </w:t>
            </w:r>
            <w:r>
              <w:rPr>
                <w:b/>
                <w:bCs/>
                <w:sz w:val="14"/>
                <w:szCs w:val="14"/>
                <w:lang w:val="en-US" w:eastAsia="en-US" w:bidi="en-US"/>
              </w:rPr>
              <w:t>premium</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 xml:space="preserve">IP komplet </w:t>
            </w:r>
            <w:r>
              <w:rPr>
                <w:b/>
                <w:bCs/>
                <w:sz w:val="14"/>
                <w:szCs w:val="14"/>
                <w:lang w:val="en-US" w:eastAsia="en-US" w:bidi="en-US"/>
              </w:rPr>
              <w:t>premium*</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Datová centra</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Datová centra SDC</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Virtuální datová centra</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Virtuální datové centrum (N)</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Virtuální záloha</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78"/>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Virtuální datová úložiště</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Tiskové služby</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Správa mobilních zařízení</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3"/>
          <w:jc w:val="center"/>
        </w:trPr>
        <w:tc>
          <w:tcPr>
            <w:tcW w:w="277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lang w:val="en-US" w:eastAsia="en-US" w:bidi="en-US"/>
              </w:rPr>
              <w:t>Managed Firewall</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23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23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r>
      <w:tr w:rsidR="00215B20">
        <w:tblPrEx>
          <w:tblCellMar>
            <w:top w:w="0" w:type="dxa"/>
            <w:bottom w:w="0" w:type="dxa"/>
          </w:tblCellMar>
        </w:tblPrEx>
        <w:trPr>
          <w:trHeight w:hRule="exact" w:val="288"/>
          <w:jc w:val="center"/>
        </w:trPr>
        <w:tc>
          <w:tcPr>
            <w:tcW w:w="2774"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DDoS Ochrana</w:t>
            </w:r>
          </w:p>
        </w:tc>
        <w:tc>
          <w:tcPr>
            <w:tcW w:w="2362"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firstLine="1000"/>
              <w:jc w:val="both"/>
              <w:rPr>
                <w:sz w:val="14"/>
                <w:szCs w:val="14"/>
              </w:rPr>
            </w:pPr>
            <w:r>
              <w:rPr>
                <w:b/>
                <w:bCs/>
                <w:color w:val="DE1273"/>
                <w:sz w:val="14"/>
                <w:szCs w:val="14"/>
              </w:rPr>
              <w:t>ANO</w:t>
            </w:r>
          </w:p>
        </w:tc>
        <w:tc>
          <w:tcPr>
            <w:tcW w:w="2362"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left="1080"/>
              <w:jc w:val="both"/>
              <w:rPr>
                <w:sz w:val="14"/>
                <w:szCs w:val="14"/>
              </w:rPr>
            </w:pPr>
            <w:r>
              <w:rPr>
                <w:b/>
                <w:bCs/>
                <w:color w:val="6B6C6F"/>
                <w:sz w:val="14"/>
                <w:szCs w:val="14"/>
              </w:rPr>
              <w:t>NE</w:t>
            </w:r>
          </w:p>
        </w:tc>
        <w:tc>
          <w:tcPr>
            <w:tcW w:w="2371"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r>
    </w:tbl>
    <w:p w:rsidR="00215B20" w:rsidRDefault="00215B20">
      <w:pPr>
        <w:spacing w:after="99" w:line="1" w:lineRule="exact"/>
      </w:pPr>
    </w:p>
    <w:p w:rsidR="00215B20" w:rsidRDefault="00FD0AA3">
      <w:pPr>
        <w:pStyle w:val="Zkladntext1"/>
        <w:shd w:val="clear" w:color="auto" w:fill="auto"/>
        <w:spacing w:after="280" w:line="262" w:lineRule="auto"/>
      </w:pPr>
      <w:r>
        <w:t>U některých vybraných Služeb mohou být sjednány i další doplňkové parametry SLA, které jsou popsané pro danou Službu dále v tomto dokumentu nebo v příslušném Popisu služby.</w:t>
      </w:r>
    </w:p>
    <w:p w:rsidR="00215B20" w:rsidRDefault="00FD0AA3">
      <w:pPr>
        <w:pStyle w:val="Zkladntext1"/>
        <w:numPr>
          <w:ilvl w:val="0"/>
          <w:numId w:val="4"/>
        </w:numPr>
        <w:shd w:val="clear" w:color="auto" w:fill="auto"/>
        <w:tabs>
          <w:tab w:val="left" w:pos="355"/>
        </w:tabs>
        <w:spacing w:after="240" w:line="240" w:lineRule="auto"/>
      </w:pPr>
      <w:r>
        <w:rPr>
          <w:b/>
          <w:bCs/>
          <w:color w:val="DE1273"/>
        </w:rPr>
        <w:t>Garantované hodnoty parametrů SLA</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57"/>
        <w:gridCol w:w="1248"/>
        <w:gridCol w:w="1248"/>
        <w:gridCol w:w="1253"/>
        <w:gridCol w:w="1253"/>
        <w:gridCol w:w="1248"/>
        <w:gridCol w:w="1258"/>
      </w:tblGrid>
      <w:tr w:rsidR="00215B20">
        <w:tblPrEx>
          <w:tblCellMar>
            <w:top w:w="0" w:type="dxa"/>
            <w:bottom w:w="0" w:type="dxa"/>
          </w:tblCellMar>
        </w:tblPrEx>
        <w:trPr>
          <w:trHeight w:hRule="exact" w:val="331"/>
          <w:jc w:val="center"/>
        </w:trPr>
        <w:tc>
          <w:tcPr>
            <w:tcW w:w="2357" w:type="dxa"/>
            <w:shd w:val="clear" w:color="auto" w:fill="FFFFFF"/>
          </w:tcPr>
          <w:p w:rsidR="00215B20" w:rsidRDefault="00215B20">
            <w:pPr>
              <w:rPr>
                <w:sz w:val="10"/>
                <w:szCs w:val="10"/>
              </w:rPr>
            </w:pPr>
          </w:p>
        </w:tc>
        <w:tc>
          <w:tcPr>
            <w:tcW w:w="7508" w:type="dxa"/>
            <w:gridSpan w:val="6"/>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 xml:space="preserve">Označení úrovně - SLA a garantované </w:t>
            </w:r>
            <w:r>
              <w:rPr>
                <w:b/>
                <w:bCs/>
                <w:sz w:val="14"/>
                <w:szCs w:val="14"/>
              </w:rPr>
              <w:t>hodnoty příslušné úrovně - SLA</w:t>
            </w:r>
          </w:p>
        </w:tc>
      </w:tr>
      <w:tr w:rsidR="00215B20">
        <w:tblPrEx>
          <w:tblCellMar>
            <w:top w:w="0" w:type="dxa"/>
            <w:bottom w:w="0" w:type="dxa"/>
          </w:tblCellMar>
        </w:tblPrEx>
        <w:trPr>
          <w:trHeight w:hRule="exact" w:val="322"/>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Parametry SLA</w:t>
            </w:r>
          </w:p>
        </w:tc>
        <w:tc>
          <w:tcPr>
            <w:tcW w:w="124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95,00%</w:t>
            </w:r>
          </w:p>
        </w:tc>
        <w:tc>
          <w:tcPr>
            <w:tcW w:w="124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99,00%</w:t>
            </w:r>
          </w:p>
        </w:tc>
        <w:tc>
          <w:tcPr>
            <w:tcW w:w="1253"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99,50%</w:t>
            </w:r>
          </w:p>
        </w:tc>
        <w:tc>
          <w:tcPr>
            <w:tcW w:w="1253"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99,70%</w:t>
            </w:r>
          </w:p>
        </w:tc>
        <w:tc>
          <w:tcPr>
            <w:tcW w:w="124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99,90%</w:t>
            </w:r>
          </w:p>
        </w:tc>
        <w:tc>
          <w:tcPr>
            <w:tcW w:w="1258"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99,99%</w:t>
            </w:r>
          </w:p>
        </w:tc>
      </w:tr>
      <w:tr w:rsidR="00215B20">
        <w:tblPrEx>
          <w:tblCellMar>
            <w:top w:w="0" w:type="dxa"/>
            <w:bottom w:w="0" w:type="dxa"/>
          </w:tblCellMar>
        </w:tblPrEx>
        <w:trPr>
          <w:trHeight w:hRule="exact" w:val="326"/>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Dostupnost Služby</w:t>
            </w:r>
          </w:p>
        </w:tc>
        <w:tc>
          <w:tcPr>
            <w:tcW w:w="124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95,00%</w:t>
            </w:r>
          </w:p>
        </w:tc>
        <w:tc>
          <w:tcPr>
            <w:tcW w:w="124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99,00%</w:t>
            </w:r>
          </w:p>
        </w:tc>
        <w:tc>
          <w:tcPr>
            <w:tcW w:w="12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99,50%</w:t>
            </w:r>
          </w:p>
        </w:tc>
        <w:tc>
          <w:tcPr>
            <w:tcW w:w="12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99,70%</w:t>
            </w:r>
          </w:p>
        </w:tc>
        <w:tc>
          <w:tcPr>
            <w:tcW w:w="124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99,90%</w:t>
            </w:r>
          </w:p>
        </w:tc>
        <w:tc>
          <w:tcPr>
            <w:tcW w:w="1258"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99,99%</w:t>
            </w:r>
          </w:p>
        </w:tc>
      </w:tr>
      <w:tr w:rsidR="00215B20">
        <w:tblPrEx>
          <w:tblCellMar>
            <w:top w:w="0" w:type="dxa"/>
            <w:bottom w:w="0" w:type="dxa"/>
          </w:tblCellMar>
        </w:tblPrEx>
        <w:trPr>
          <w:trHeight w:hRule="exact" w:val="331"/>
          <w:jc w:val="center"/>
        </w:trPr>
        <w:tc>
          <w:tcPr>
            <w:tcW w:w="2357" w:type="dxa"/>
            <w:tcBorders>
              <w:top w:val="single" w:sz="4" w:space="0" w:color="auto"/>
              <w:left w:val="single" w:sz="4" w:space="0" w:color="auto"/>
              <w:bottom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Doba odstranění Poruchy</w:t>
            </w:r>
          </w:p>
        </w:tc>
        <w:tc>
          <w:tcPr>
            <w:tcW w:w="1248"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36 hodin</w:t>
            </w:r>
          </w:p>
        </w:tc>
        <w:tc>
          <w:tcPr>
            <w:tcW w:w="1248"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24 hodin</w:t>
            </w:r>
          </w:p>
        </w:tc>
        <w:tc>
          <w:tcPr>
            <w:tcW w:w="1253"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8 hodin</w:t>
            </w:r>
          </w:p>
        </w:tc>
        <w:tc>
          <w:tcPr>
            <w:tcW w:w="1253"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6 hodin</w:t>
            </w:r>
          </w:p>
        </w:tc>
        <w:tc>
          <w:tcPr>
            <w:tcW w:w="1248"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5 hodin</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4 hodiny</w:t>
            </w:r>
          </w:p>
        </w:tc>
      </w:tr>
    </w:tbl>
    <w:p w:rsidR="00215B20" w:rsidRDefault="00215B20">
      <w:pPr>
        <w:spacing w:after="179" w:line="1" w:lineRule="exact"/>
      </w:pPr>
    </w:p>
    <w:p w:rsidR="00215B20" w:rsidRDefault="00FD0AA3">
      <w:pPr>
        <w:pStyle w:val="Zkladntext1"/>
        <w:shd w:val="clear" w:color="auto" w:fill="auto"/>
        <w:spacing w:after="0" w:line="254" w:lineRule="auto"/>
      </w:pPr>
      <w:r>
        <w:t xml:space="preserve">Definice a způsob měření </w:t>
      </w:r>
      <w:r>
        <w:t>Dostupnosti Služby jsou uvedeny v Obchodních podmínkách Firemního řešení, popř. v jiných Smluvních dokumentech.</w:t>
      </w:r>
    </w:p>
    <w:p w:rsidR="00215B20" w:rsidRDefault="00FD0AA3">
      <w:pPr>
        <w:pStyle w:val="Zkladntext1"/>
        <w:shd w:val="clear" w:color="auto" w:fill="auto"/>
        <w:spacing w:after="140"/>
      </w:pPr>
      <w:r>
        <w:t xml:space="preserve">Dobou odstranění Poruchy se pro účely sjednaného SLA rozumí doba určená pro odstranění existující Poruchy ze strany TMCZ, která počíná běžet od </w:t>
      </w:r>
      <w:r>
        <w:t>okamžiku nahlášení požadavku Smluvního partnera na řešení existující Poruchy sjednaným způsobem TMCZ a která trvá až do okamžiku odstranění Poruchy.</w:t>
      </w:r>
      <w:r>
        <w:br w:type="page"/>
      </w:r>
    </w:p>
    <w:p w:rsidR="00215B20" w:rsidRDefault="00FD0AA3">
      <w:pPr>
        <w:rPr>
          <w:sz w:val="2"/>
          <w:szCs w:val="2"/>
        </w:rPr>
      </w:pPr>
      <w:r>
        <w:rPr>
          <w:noProof/>
          <w:lang w:bidi="ar-SA"/>
        </w:rPr>
        <w:lastRenderedPageBreak/>
        <w:drawing>
          <wp:inline distT="0" distB="0" distL="0" distR="0">
            <wp:extent cx="871855" cy="43307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2"/>
                    <a:stretch/>
                  </pic:blipFill>
                  <pic:spPr>
                    <a:xfrm>
                      <a:off x="0" y="0"/>
                      <a:ext cx="871855" cy="433070"/>
                    </a:xfrm>
                    <a:prstGeom prst="rect">
                      <a:avLst/>
                    </a:prstGeom>
                  </pic:spPr>
                </pic:pic>
              </a:graphicData>
            </a:graphic>
          </wp:inline>
        </w:drawing>
      </w:r>
    </w:p>
    <w:p w:rsidR="00215B20" w:rsidRDefault="00215B20">
      <w:pPr>
        <w:spacing w:after="79" w:line="1" w:lineRule="exact"/>
      </w:pPr>
    </w:p>
    <w:p w:rsidR="00215B20" w:rsidRDefault="00FD0AA3">
      <w:pPr>
        <w:pStyle w:val="Nadpis30"/>
        <w:keepNext/>
        <w:keepLines/>
        <w:shd w:val="clear" w:color="auto" w:fill="auto"/>
        <w:spacing w:after="160"/>
      </w:pPr>
      <w:bookmarkStart w:id="78" w:name="bookmark78"/>
      <w:bookmarkStart w:id="79" w:name="bookmark79"/>
      <w:r>
        <w:t>Popis služby SLA</w:t>
      </w:r>
      <w:bookmarkEnd w:id="78"/>
      <w:bookmarkEnd w:id="79"/>
    </w:p>
    <w:p w:rsidR="00215B20" w:rsidRDefault="00FD0AA3">
      <w:pPr>
        <w:pStyle w:val="Nadpis50"/>
        <w:keepNext/>
        <w:keepLines/>
        <w:shd w:val="clear" w:color="auto" w:fill="auto"/>
      </w:pPr>
      <w:bookmarkStart w:id="80" w:name="bookmark80"/>
      <w:bookmarkStart w:id="81" w:name="bookmark81"/>
      <w:r>
        <w:t>Platnost od 01. 09. 2021</w:t>
      </w:r>
      <w:bookmarkEnd w:id="80"/>
      <w:bookmarkEnd w:id="81"/>
    </w:p>
    <w:p w:rsidR="00215B20" w:rsidRDefault="00FD0AA3">
      <w:pPr>
        <w:pStyle w:val="Nadpis60"/>
        <w:keepNext/>
        <w:keepLines/>
        <w:numPr>
          <w:ilvl w:val="0"/>
          <w:numId w:val="4"/>
        </w:numPr>
        <w:shd w:val="clear" w:color="auto" w:fill="auto"/>
        <w:tabs>
          <w:tab w:val="left" w:pos="442"/>
        </w:tabs>
        <w:spacing w:after="220" w:line="240" w:lineRule="auto"/>
      </w:pPr>
      <w:bookmarkStart w:id="82" w:name="bookmark82"/>
      <w:bookmarkStart w:id="83" w:name="bookmark83"/>
      <w:r>
        <w:t xml:space="preserve">Smluvní pokuta za </w:t>
      </w:r>
      <w:proofErr w:type="gramStart"/>
      <w:r>
        <w:t>nedodrženi</w:t>
      </w:r>
      <w:proofErr w:type="gramEnd"/>
      <w:r>
        <w:t xml:space="preserve"> SLA</w:t>
      </w:r>
      <w:bookmarkEnd w:id="82"/>
      <w:bookmarkEnd w:id="83"/>
    </w:p>
    <w:p w:rsidR="00215B20" w:rsidRDefault="00FD0AA3">
      <w:pPr>
        <w:pStyle w:val="Zkladntext1"/>
        <w:shd w:val="clear" w:color="auto" w:fill="auto"/>
        <w:spacing w:after="220"/>
        <w:jc w:val="both"/>
      </w:pPr>
      <w:r>
        <w:t xml:space="preserve">Klesne-li v kalendářním </w:t>
      </w:r>
      <w:r>
        <w:t>měsíci poskytování Služby z viny TMCZ dostupnost Služby pod procentuální hranici sjednané úrovně SLA, je Smluvní partner oprávněn po TMCZ požadovat dále sjednaným způsobem smluvní pokutu, kterou TMCZ uhradí formou slevy z pravidelné měsíční (měsíční paušál</w:t>
      </w:r>
      <w:r>
        <w:t xml:space="preserve">ní) ceny dotčené Služby. Výše smluvní pokuty se vypočítá dle následující tabulky, a to jako procentuální část z pravidelné měsíční (měsíční paušální) ceny dotčené Služby po uplatnění všech sjednaných slev. Je-li pravidelná (měsíční paušální) cena sjednána </w:t>
      </w:r>
      <w:r>
        <w:t>za jiné, než měsíční poskytování Služby, vypočítá se výše smluvní pokuty jako procentuální část z poměrné části ceny, která odpovídá pravidelné měsíční (měsíční paušální) ceně za Službu v kalendářním měsíci po uplatnění všech sjednaných slev. Nenf-li pravi</w:t>
      </w:r>
      <w:r>
        <w:t>delná (měsíční paušální) cena u dané Služby sjednána, pak se smluvní pokuta vypočítá jako procentuální část z jiné ceny, kterou by TMCZ Smluvnímu partnerovi vyúčtoval za danou Službu za kalendářní měsíc, ve kterém k porušení SLA došlo (před snížením ceny o</w:t>
      </w:r>
      <w:r>
        <w:t xml:space="preserve"> smluvní pokutu). Smluvní strany se dále dohodly, že smluvní pokuta za překročení sjednané SLA - Doba odstranění Poruchy je zahrnuta ve smluvní pokutě za nedodržení dostupnosti Služby a Smluvnímu partnerovi tak nenáleží za nedodržení SLA - Doba odstranění </w:t>
      </w:r>
      <w:r>
        <w:t>Poruchy žádná další smluvní sankce, ani náhrada újmy.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47"/>
        <w:gridCol w:w="1147"/>
        <w:gridCol w:w="1219"/>
        <w:gridCol w:w="1219"/>
        <w:gridCol w:w="1224"/>
        <w:gridCol w:w="1219"/>
        <w:gridCol w:w="1224"/>
        <w:gridCol w:w="1234"/>
      </w:tblGrid>
      <w:tr w:rsidR="00215B20">
        <w:tblPrEx>
          <w:tblCellMar>
            <w:top w:w="0" w:type="dxa"/>
            <w:bottom w:w="0" w:type="dxa"/>
          </w:tblCellMar>
        </w:tblPrEx>
        <w:trPr>
          <w:trHeight w:hRule="exact" w:val="576"/>
          <w:jc w:val="center"/>
        </w:trPr>
        <w:tc>
          <w:tcPr>
            <w:tcW w:w="2294" w:type="dxa"/>
            <w:gridSpan w:val="2"/>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Dostupnost Služby v kalendářním měsíci</w:t>
            </w:r>
          </w:p>
        </w:tc>
        <w:tc>
          <w:tcPr>
            <w:tcW w:w="7339" w:type="dxa"/>
            <w:gridSpan w:val="6"/>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Označení úrovně SLA a procentní sazba smluvní pokuty za nedodržení dostupnosti Služby</w:t>
            </w:r>
          </w:p>
        </w:tc>
      </w:tr>
      <w:tr w:rsidR="00215B20">
        <w:tblPrEx>
          <w:tblCellMar>
            <w:top w:w="0" w:type="dxa"/>
            <w:bottom w:w="0" w:type="dxa"/>
          </w:tblCellMar>
        </w:tblPrEx>
        <w:trPr>
          <w:trHeight w:hRule="exact" w:val="418"/>
          <w:jc w:val="center"/>
        </w:trPr>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proofErr w:type="gramStart"/>
            <w:r>
              <w:rPr>
                <w:b/>
                <w:bCs/>
                <w:sz w:val="14"/>
                <w:szCs w:val="14"/>
              </w:rPr>
              <w:t>Od</w:t>
            </w:r>
            <w:proofErr w:type="gramEnd"/>
          </w:p>
        </w:tc>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proofErr w:type="gramStart"/>
            <w:r>
              <w:rPr>
                <w:b/>
                <w:bCs/>
                <w:sz w:val="14"/>
                <w:szCs w:val="14"/>
              </w:rPr>
              <w:t>Do</w:t>
            </w:r>
            <w:proofErr w:type="gramEnd"/>
          </w:p>
        </w:tc>
        <w:tc>
          <w:tcPr>
            <w:tcW w:w="1219"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95,00%</w:t>
            </w:r>
          </w:p>
        </w:tc>
        <w:tc>
          <w:tcPr>
            <w:tcW w:w="1219"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99,00%</w:t>
            </w:r>
          </w:p>
        </w:tc>
        <w:tc>
          <w:tcPr>
            <w:tcW w:w="1224"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99,50%</w:t>
            </w:r>
          </w:p>
        </w:tc>
        <w:tc>
          <w:tcPr>
            <w:tcW w:w="1219"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99,70%</w:t>
            </w:r>
          </w:p>
        </w:tc>
        <w:tc>
          <w:tcPr>
            <w:tcW w:w="1224"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99,90%</w:t>
            </w:r>
          </w:p>
        </w:tc>
        <w:tc>
          <w:tcPr>
            <w:tcW w:w="1234"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99,99%</w:t>
            </w:r>
          </w:p>
        </w:tc>
      </w:tr>
      <w:tr w:rsidR="00215B20">
        <w:tblPrEx>
          <w:tblCellMar>
            <w:top w:w="0" w:type="dxa"/>
            <w:bottom w:w="0" w:type="dxa"/>
          </w:tblCellMar>
        </w:tblPrEx>
        <w:trPr>
          <w:trHeight w:hRule="exact" w:val="442"/>
          <w:jc w:val="center"/>
        </w:trPr>
        <w:tc>
          <w:tcPr>
            <w:tcW w:w="1147" w:type="dxa"/>
            <w:tcBorders>
              <w:top w:val="single" w:sz="4" w:space="0" w:color="auto"/>
              <w:left w:val="single" w:sz="4" w:space="0" w:color="auto"/>
            </w:tcBorders>
            <w:shd w:val="clear" w:color="auto" w:fill="D3D5D7"/>
          </w:tcPr>
          <w:p w:rsidR="00215B20" w:rsidRDefault="00215B20">
            <w:pPr>
              <w:rPr>
                <w:sz w:val="10"/>
                <w:szCs w:val="10"/>
              </w:rPr>
            </w:pPr>
          </w:p>
        </w:tc>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&gt; 99,99 %</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jc w:val="both"/>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0%</w:t>
            </w:r>
          </w:p>
        </w:tc>
        <w:tc>
          <w:tcPr>
            <w:tcW w:w="1234"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0%</w:t>
            </w:r>
          </w:p>
        </w:tc>
      </w:tr>
      <w:tr w:rsidR="00215B20">
        <w:tblPrEx>
          <w:tblCellMar>
            <w:top w:w="0" w:type="dxa"/>
            <w:bottom w:w="0" w:type="dxa"/>
          </w:tblCellMar>
        </w:tblPrEx>
        <w:trPr>
          <w:trHeight w:hRule="exact" w:val="408"/>
          <w:jc w:val="center"/>
        </w:trPr>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99,99 % &gt;</w:t>
            </w:r>
          </w:p>
        </w:tc>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&gt; 99,90 %</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jc w:val="both"/>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0%</w:t>
            </w:r>
          </w:p>
        </w:tc>
        <w:tc>
          <w:tcPr>
            <w:tcW w:w="1234"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10%</w:t>
            </w:r>
          </w:p>
        </w:tc>
      </w:tr>
      <w:tr w:rsidR="00215B20">
        <w:tblPrEx>
          <w:tblCellMar>
            <w:top w:w="0" w:type="dxa"/>
            <w:bottom w:w="0" w:type="dxa"/>
          </w:tblCellMar>
        </w:tblPrEx>
        <w:trPr>
          <w:trHeight w:hRule="exact" w:val="413"/>
          <w:jc w:val="center"/>
        </w:trPr>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99,90 % &gt;</w:t>
            </w:r>
          </w:p>
        </w:tc>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&gt; 99,70 %</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jc w:val="both"/>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10%</w:t>
            </w:r>
          </w:p>
        </w:tc>
        <w:tc>
          <w:tcPr>
            <w:tcW w:w="1234"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15%</w:t>
            </w:r>
          </w:p>
        </w:tc>
      </w:tr>
      <w:tr w:rsidR="00215B20">
        <w:tblPrEx>
          <w:tblCellMar>
            <w:top w:w="0" w:type="dxa"/>
            <w:bottom w:w="0" w:type="dxa"/>
          </w:tblCellMar>
        </w:tblPrEx>
        <w:trPr>
          <w:trHeight w:hRule="exact" w:val="408"/>
          <w:jc w:val="center"/>
        </w:trPr>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99,70 % &gt;</w:t>
            </w:r>
          </w:p>
        </w:tc>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&gt; 99,50 %</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jc w:val="both"/>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10%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15%</w:t>
            </w:r>
          </w:p>
        </w:tc>
        <w:tc>
          <w:tcPr>
            <w:tcW w:w="1234"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20%</w:t>
            </w:r>
          </w:p>
        </w:tc>
      </w:tr>
      <w:tr w:rsidR="00215B20">
        <w:tblPrEx>
          <w:tblCellMar>
            <w:top w:w="0" w:type="dxa"/>
            <w:bottom w:w="0" w:type="dxa"/>
          </w:tblCellMar>
        </w:tblPrEx>
        <w:trPr>
          <w:trHeight w:hRule="exact" w:val="413"/>
          <w:jc w:val="center"/>
        </w:trPr>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99,50 % &gt;</w:t>
            </w:r>
          </w:p>
        </w:tc>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&gt; 99,00 %</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jc w:val="both"/>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10%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15%</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20%</w:t>
            </w:r>
          </w:p>
        </w:tc>
        <w:tc>
          <w:tcPr>
            <w:tcW w:w="1234"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30%</w:t>
            </w:r>
          </w:p>
        </w:tc>
      </w:tr>
      <w:tr w:rsidR="00215B20">
        <w:tblPrEx>
          <w:tblCellMar>
            <w:top w:w="0" w:type="dxa"/>
            <w:bottom w:w="0" w:type="dxa"/>
          </w:tblCellMar>
        </w:tblPrEx>
        <w:trPr>
          <w:trHeight w:hRule="exact" w:val="408"/>
          <w:jc w:val="center"/>
        </w:trPr>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99,00 % &gt;</w:t>
            </w:r>
          </w:p>
        </w:tc>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&gt; 98,00 %</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jc w:val="both"/>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10%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20%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25%</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30%</w:t>
            </w:r>
          </w:p>
        </w:tc>
        <w:tc>
          <w:tcPr>
            <w:tcW w:w="1234"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40%</w:t>
            </w:r>
          </w:p>
        </w:tc>
      </w:tr>
      <w:tr w:rsidR="00215B20">
        <w:tblPrEx>
          <w:tblCellMar>
            <w:top w:w="0" w:type="dxa"/>
            <w:bottom w:w="0" w:type="dxa"/>
          </w:tblCellMar>
        </w:tblPrEx>
        <w:trPr>
          <w:trHeight w:hRule="exact" w:val="413"/>
          <w:jc w:val="center"/>
        </w:trPr>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98,00 % &gt;</w:t>
            </w:r>
          </w:p>
        </w:tc>
        <w:tc>
          <w:tcPr>
            <w:tcW w:w="114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&gt; 95,00 %</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jc w:val="both"/>
              <w:rPr>
                <w:sz w:val="14"/>
                <w:szCs w:val="14"/>
              </w:rPr>
            </w:pPr>
            <w:r>
              <w:rPr>
                <w:b/>
                <w:bCs/>
                <w:sz w:val="14"/>
                <w:szCs w:val="14"/>
              </w:rPr>
              <w:t>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20%</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30%</w:t>
            </w:r>
          </w:p>
        </w:tc>
        <w:tc>
          <w:tcPr>
            <w:tcW w:w="121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35%</w:t>
            </w:r>
          </w:p>
        </w:tc>
        <w:tc>
          <w:tcPr>
            <w:tcW w:w="1224"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40%</w:t>
            </w:r>
          </w:p>
        </w:tc>
        <w:tc>
          <w:tcPr>
            <w:tcW w:w="1234"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50%</w:t>
            </w:r>
          </w:p>
        </w:tc>
      </w:tr>
      <w:tr w:rsidR="00215B20">
        <w:tblPrEx>
          <w:tblCellMar>
            <w:top w:w="0" w:type="dxa"/>
            <w:bottom w:w="0" w:type="dxa"/>
          </w:tblCellMar>
        </w:tblPrEx>
        <w:trPr>
          <w:trHeight w:hRule="exact" w:val="422"/>
          <w:jc w:val="center"/>
        </w:trPr>
        <w:tc>
          <w:tcPr>
            <w:tcW w:w="1147" w:type="dxa"/>
            <w:tcBorders>
              <w:top w:val="single" w:sz="4" w:space="0" w:color="auto"/>
              <w:left w:val="single" w:sz="4" w:space="0" w:color="auto"/>
              <w:bottom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95,00 % &gt;</w:t>
            </w:r>
          </w:p>
        </w:tc>
        <w:tc>
          <w:tcPr>
            <w:tcW w:w="1147" w:type="dxa"/>
            <w:tcBorders>
              <w:top w:val="single" w:sz="4" w:space="0" w:color="auto"/>
              <w:left w:val="single" w:sz="4" w:space="0" w:color="auto"/>
              <w:bottom w:val="single" w:sz="4" w:space="0" w:color="auto"/>
            </w:tcBorders>
            <w:shd w:val="clear" w:color="auto" w:fill="D3D5D7"/>
          </w:tcPr>
          <w:p w:rsidR="00215B20" w:rsidRDefault="00215B20">
            <w:pPr>
              <w:rPr>
                <w:sz w:val="10"/>
                <w:szCs w:val="10"/>
              </w:rPr>
            </w:pPr>
          </w:p>
        </w:tc>
        <w:tc>
          <w:tcPr>
            <w:tcW w:w="1219"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10%</w:t>
            </w:r>
          </w:p>
        </w:tc>
        <w:tc>
          <w:tcPr>
            <w:tcW w:w="1219"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20%</w:t>
            </w:r>
          </w:p>
        </w:tc>
        <w:tc>
          <w:tcPr>
            <w:tcW w:w="1224"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firstLine="460"/>
              <w:rPr>
                <w:sz w:val="14"/>
                <w:szCs w:val="14"/>
              </w:rPr>
            </w:pPr>
            <w:r>
              <w:rPr>
                <w:b/>
                <w:bCs/>
                <w:sz w:val="14"/>
                <w:szCs w:val="14"/>
              </w:rPr>
              <w:t>30%</w:t>
            </w:r>
          </w:p>
        </w:tc>
        <w:tc>
          <w:tcPr>
            <w:tcW w:w="1219"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35%</w:t>
            </w:r>
          </w:p>
        </w:tc>
        <w:tc>
          <w:tcPr>
            <w:tcW w:w="1224"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40%</w:t>
            </w: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50%</w:t>
            </w:r>
          </w:p>
        </w:tc>
      </w:tr>
    </w:tbl>
    <w:p w:rsidR="00215B20" w:rsidRDefault="00215B20">
      <w:pPr>
        <w:spacing w:after="419" w:line="1" w:lineRule="exact"/>
      </w:pPr>
    </w:p>
    <w:p w:rsidR="00215B20" w:rsidRDefault="00FD0AA3">
      <w:pPr>
        <w:pStyle w:val="Nadpis60"/>
        <w:keepNext/>
        <w:keepLines/>
        <w:numPr>
          <w:ilvl w:val="0"/>
          <w:numId w:val="4"/>
        </w:numPr>
        <w:shd w:val="clear" w:color="auto" w:fill="auto"/>
        <w:tabs>
          <w:tab w:val="left" w:pos="442"/>
        </w:tabs>
        <w:spacing w:after="80" w:line="257" w:lineRule="auto"/>
      </w:pPr>
      <w:bookmarkStart w:id="84" w:name="bookmark84"/>
      <w:bookmarkStart w:id="85" w:name="bookmark85"/>
      <w:r>
        <w:t>Specifické podmínky parametru SLA a doplňkové parametry SLA u vybraných Služeb</w:t>
      </w:r>
      <w:bookmarkEnd w:id="84"/>
      <w:bookmarkEnd w:id="85"/>
    </w:p>
    <w:p w:rsidR="00215B20" w:rsidRDefault="00FD0AA3">
      <w:pPr>
        <w:pStyle w:val="Zkladntext1"/>
        <w:shd w:val="clear" w:color="auto" w:fill="auto"/>
        <w:spacing w:after="300"/>
        <w:jc w:val="both"/>
      </w:pPr>
      <w:r>
        <w:t xml:space="preserve">Následující ustanovení tohoto článku 5 upravují specifické podmínky SLA pro vybrané Služby a mají v případě rozporu přednost před </w:t>
      </w:r>
      <w:r>
        <w:t>podmínkami SLA uvedenými v předchozích článcích tohoto Popisu služby SLA. Další specifické podmínky SLA (včetně dalších doplňkových parametrů SLA a případných výluk z odpovědnosti TMCZ) pro vybrané Služby mohou být upraveny v příslušném Popisu služby konkr</w:t>
      </w:r>
      <w:r>
        <w:t>étní Služby, přičemž takové specifické podmínky SLA uvedené v příslušném Popisu služby konkrétní Služby mají pro danou konkrétní Službu přednost před podmínkami SLA uvedenými v tomto Popisu služby SLA.</w:t>
      </w:r>
    </w:p>
    <w:p w:rsidR="00215B20" w:rsidRDefault="00FD0AA3">
      <w:pPr>
        <w:pStyle w:val="Nadpis60"/>
        <w:keepNext/>
        <w:keepLines/>
        <w:numPr>
          <w:ilvl w:val="1"/>
          <w:numId w:val="4"/>
        </w:numPr>
        <w:shd w:val="clear" w:color="auto" w:fill="auto"/>
        <w:tabs>
          <w:tab w:val="left" w:pos="442"/>
        </w:tabs>
        <w:spacing w:after="220" w:line="240" w:lineRule="auto"/>
      </w:pPr>
      <w:bookmarkStart w:id="86" w:name="bookmark86"/>
      <w:bookmarkStart w:id="87" w:name="bookmark87"/>
      <w:r>
        <w:t>Doplňkové (výkonnostní) parametry Služby Pronajatý okr</w:t>
      </w:r>
      <w:r>
        <w:t>uh</w:t>
      </w:r>
      <w:bookmarkEnd w:id="86"/>
      <w:bookmarkEnd w:id="87"/>
    </w:p>
    <w:p w:rsidR="00215B20" w:rsidRDefault="00FD0AA3">
      <w:pPr>
        <w:pStyle w:val="Zkladntext1"/>
        <w:shd w:val="clear" w:color="auto" w:fill="auto"/>
        <w:spacing w:after="160" w:line="254" w:lineRule="auto"/>
        <w:jc w:val="both"/>
      </w:pPr>
      <w:r>
        <w:t>V rámci Služby Pronajatý okruh jsou pro všechny nabízené úrovně Služby SLA - 99,0%, 99,5% a 99,99% garantovány tyto doplňkové (výkonnostní) parametry:</w:t>
      </w:r>
    </w:p>
    <w:p w:rsidR="00215B20" w:rsidRDefault="00FD0AA3">
      <w:pPr>
        <w:pStyle w:val="Zkladntext1"/>
        <w:shd w:val="clear" w:color="auto" w:fill="auto"/>
        <w:spacing w:after="160" w:line="262" w:lineRule="auto"/>
      </w:pPr>
      <w:r w:rsidRPr="00920265">
        <w:rPr>
          <w:b/>
          <w:bCs/>
          <w:lang w:eastAsia="en-US" w:bidi="en-US"/>
        </w:rPr>
        <w:t xml:space="preserve">Bit Error Rate </w:t>
      </w:r>
      <w:r>
        <w:rPr>
          <w:b/>
          <w:bCs/>
        </w:rPr>
        <w:t xml:space="preserve">(BER) - </w:t>
      </w:r>
      <w:r>
        <w:t xml:space="preserve">Bitová chybovost je definována poměrem chybně přijatých bitů bE k celkovému </w:t>
      </w:r>
      <w:r>
        <w:t>počtu přijatých bitů za definovanou dobu měření.</w:t>
      </w:r>
    </w:p>
    <w:p w:rsidR="00215B20" w:rsidRDefault="00FD0AA3">
      <w:pPr>
        <w:pStyle w:val="Zkladntext1"/>
        <w:shd w:val="clear" w:color="auto" w:fill="auto"/>
        <w:spacing w:after="160" w:line="262" w:lineRule="auto"/>
      </w:pPr>
      <w:r>
        <w:t xml:space="preserve">Služba Pronajatý okruh bude považována za Službu nesplňující doplňkový (výkonnostní) parametr BER, pokud hodnoty doplňkového (výkonnostního) parametru </w:t>
      </w:r>
      <w:proofErr w:type="gramStart"/>
      <w:r>
        <w:t>BER překročí</w:t>
      </w:r>
      <w:proofErr w:type="gramEnd"/>
      <w:r>
        <w:t xml:space="preserve"> limity uvedené v následující tabulce: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97"/>
        <w:gridCol w:w="6557"/>
      </w:tblGrid>
      <w:tr w:rsidR="00215B20">
        <w:tblPrEx>
          <w:tblCellMar>
            <w:top w:w="0" w:type="dxa"/>
            <w:bottom w:w="0" w:type="dxa"/>
          </w:tblCellMar>
        </w:tblPrEx>
        <w:trPr>
          <w:trHeight w:hRule="exact" w:val="298"/>
          <w:jc w:val="center"/>
        </w:trPr>
        <w:tc>
          <w:tcPr>
            <w:tcW w:w="3197" w:type="dxa"/>
            <w:tcBorders>
              <w:top w:val="single" w:sz="4" w:space="0" w:color="auto"/>
              <w:left w:val="single" w:sz="4" w:space="0" w:color="auto"/>
            </w:tcBorders>
            <w:shd w:val="clear" w:color="auto" w:fill="D3D5D7"/>
            <w:vAlign w:val="bottom"/>
          </w:tcPr>
          <w:p w:rsidR="00215B20" w:rsidRDefault="00FD0AA3">
            <w:pPr>
              <w:pStyle w:val="Jin0"/>
              <w:shd w:val="clear" w:color="auto" w:fill="auto"/>
              <w:spacing w:after="0" w:line="240" w:lineRule="auto"/>
              <w:jc w:val="center"/>
            </w:pPr>
            <w:r>
              <w:rPr>
                <w:b/>
                <w:bCs/>
              </w:rPr>
              <w:t>Přeno</w:t>
            </w:r>
            <w:r>
              <w:rPr>
                <w:b/>
                <w:bCs/>
              </w:rPr>
              <w:t>sová rychlost</w:t>
            </w:r>
          </w:p>
        </w:tc>
        <w:tc>
          <w:tcPr>
            <w:tcW w:w="6557" w:type="dxa"/>
            <w:tcBorders>
              <w:top w:val="single" w:sz="4" w:space="0" w:color="auto"/>
              <w:left w:val="single" w:sz="4" w:space="0" w:color="auto"/>
              <w:right w:val="single" w:sz="4" w:space="0" w:color="auto"/>
            </w:tcBorders>
            <w:shd w:val="clear" w:color="auto" w:fill="D3D5D7"/>
            <w:vAlign w:val="bottom"/>
          </w:tcPr>
          <w:p w:rsidR="00215B20" w:rsidRDefault="00FD0AA3">
            <w:pPr>
              <w:pStyle w:val="Jin0"/>
              <w:shd w:val="clear" w:color="auto" w:fill="auto"/>
              <w:spacing w:after="0" w:line="240" w:lineRule="auto"/>
              <w:jc w:val="center"/>
            </w:pPr>
            <w:r>
              <w:rPr>
                <w:b/>
                <w:bCs/>
              </w:rPr>
              <w:t xml:space="preserve">Garantovaná hodnota </w:t>
            </w:r>
            <w:proofErr w:type="gramStart"/>
            <w:r>
              <w:rPr>
                <w:b/>
                <w:bCs/>
              </w:rPr>
              <w:t>BER</w:t>
            </w:r>
            <w:proofErr w:type="gramEnd"/>
          </w:p>
        </w:tc>
      </w:tr>
      <w:tr w:rsidR="00215B20">
        <w:tblPrEx>
          <w:tblCellMar>
            <w:top w:w="0" w:type="dxa"/>
            <w:bottom w:w="0" w:type="dxa"/>
          </w:tblCellMar>
        </w:tblPrEx>
        <w:trPr>
          <w:trHeight w:hRule="exact" w:val="293"/>
          <w:jc w:val="center"/>
        </w:trPr>
        <w:tc>
          <w:tcPr>
            <w:tcW w:w="319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pPr>
            <w:r>
              <w:rPr>
                <w:b/>
                <w:bCs/>
              </w:rPr>
              <w:t>&lt; 2 Mbit/s</w:t>
            </w:r>
          </w:p>
        </w:tc>
        <w:tc>
          <w:tcPr>
            <w:tcW w:w="655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pPr>
            <w:r>
              <w:t>1.75 x 10e-7</w:t>
            </w:r>
          </w:p>
        </w:tc>
      </w:tr>
      <w:tr w:rsidR="00215B20">
        <w:tblPrEx>
          <w:tblCellMar>
            <w:top w:w="0" w:type="dxa"/>
            <w:bottom w:w="0" w:type="dxa"/>
          </w:tblCellMar>
        </w:tblPrEx>
        <w:trPr>
          <w:trHeight w:hRule="exact" w:val="293"/>
          <w:jc w:val="center"/>
        </w:trPr>
        <w:tc>
          <w:tcPr>
            <w:tcW w:w="319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pPr>
            <w:r>
              <w:rPr>
                <w:b/>
                <w:bCs/>
              </w:rPr>
              <w:t>2 Mbit/s</w:t>
            </w:r>
          </w:p>
        </w:tc>
        <w:tc>
          <w:tcPr>
            <w:tcW w:w="655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pPr>
            <w:r>
              <w:t>3.56 x 10e-8</w:t>
            </w:r>
          </w:p>
        </w:tc>
      </w:tr>
      <w:tr w:rsidR="00215B20">
        <w:tblPrEx>
          <w:tblCellMar>
            <w:top w:w="0" w:type="dxa"/>
            <w:bottom w:w="0" w:type="dxa"/>
          </w:tblCellMar>
        </w:tblPrEx>
        <w:trPr>
          <w:trHeight w:hRule="exact" w:val="293"/>
          <w:jc w:val="center"/>
        </w:trPr>
        <w:tc>
          <w:tcPr>
            <w:tcW w:w="319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pPr>
            <w:r>
              <w:rPr>
                <w:b/>
                <w:bCs/>
              </w:rPr>
              <w:t>34 Mbit/s</w:t>
            </w:r>
          </w:p>
        </w:tc>
        <w:tc>
          <w:tcPr>
            <w:tcW w:w="655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pPr>
            <w:r>
              <w:t>1.17x 10e-8</w:t>
            </w:r>
          </w:p>
        </w:tc>
      </w:tr>
      <w:tr w:rsidR="00215B20">
        <w:tblPrEx>
          <w:tblCellMar>
            <w:top w:w="0" w:type="dxa"/>
            <w:bottom w:w="0" w:type="dxa"/>
          </w:tblCellMar>
        </w:tblPrEx>
        <w:trPr>
          <w:trHeight w:hRule="exact" w:val="302"/>
          <w:jc w:val="center"/>
        </w:trPr>
        <w:tc>
          <w:tcPr>
            <w:tcW w:w="3197"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pPr>
            <w:r>
              <w:rPr>
                <w:b/>
                <w:bCs/>
              </w:rPr>
              <w:t>155 Mbit/s</w:t>
            </w:r>
          </w:p>
        </w:tc>
        <w:tc>
          <w:tcPr>
            <w:tcW w:w="6557"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pPr>
            <w:r>
              <w:t>1.16x 10e-8</w:t>
            </w:r>
          </w:p>
        </w:tc>
      </w:tr>
    </w:tbl>
    <w:p w:rsidR="00215B20" w:rsidRDefault="00215B20">
      <w:pPr>
        <w:spacing w:after="159" w:line="1" w:lineRule="exact"/>
      </w:pPr>
    </w:p>
    <w:p w:rsidR="00215B20" w:rsidRDefault="00FD0AA3">
      <w:pPr>
        <w:pStyle w:val="Zkladntext1"/>
        <w:shd w:val="clear" w:color="auto" w:fill="auto"/>
        <w:spacing w:after="160" w:line="262" w:lineRule="auto"/>
        <w:sectPr w:rsidR="00215B20">
          <w:headerReference w:type="even" r:id="rId43"/>
          <w:headerReference w:type="default" r:id="rId44"/>
          <w:footerReference w:type="even" r:id="rId45"/>
          <w:footerReference w:type="default" r:id="rId46"/>
          <w:pgSz w:w="11900" w:h="16840"/>
          <w:pgMar w:top="428" w:right="901" w:bottom="1553" w:left="1073" w:header="0" w:footer="3" w:gutter="0"/>
          <w:pgNumType w:start="1"/>
          <w:cols w:space="720"/>
          <w:noEndnote/>
          <w:docGrid w:linePitch="360"/>
        </w:sectPr>
      </w:pPr>
      <w:r>
        <w:t>Pro posouzení garantovaných hodnot se akceptuje pouze 24 hodinový test, provedený TMCZ, a to podle měřící metody popsané níže a s kalibrovanými přístroji s platn</w:t>
      </w:r>
      <w:r>
        <w:t>ou certifikací.</w:t>
      </w:r>
    </w:p>
    <w:p w:rsidR="00215B20" w:rsidRDefault="00FD0AA3">
      <w:pPr>
        <w:pStyle w:val="Nadpis50"/>
        <w:keepNext/>
        <w:keepLines/>
        <w:shd w:val="clear" w:color="auto" w:fill="auto"/>
        <w:spacing w:after="60"/>
        <w:jc w:val="both"/>
      </w:pPr>
      <w:bookmarkStart w:id="88" w:name="bookmark88"/>
      <w:bookmarkStart w:id="89" w:name="bookmark89"/>
      <w:r>
        <w:lastRenderedPageBreak/>
        <w:t>Platnost od 01. 09. 2021</w:t>
      </w:r>
      <w:bookmarkEnd w:id="88"/>
      <w:bookmarkEnd w:id="89"/>
    </w:p>
    <w:p w:rsidR="00215B20" w:rsidRDefault="00FD0AA3">
      <w:pPr>
        <w:pStyle w:val="Zkladntext1"/>
        <w:shd w:val="clear" w:color="auto" w:fill="auto"/>
        <w:spacing w:after="180"/>
        <w:jc w:val="both"/>
      </w:pPr>
      <w:r>
        <w:t>Služba Pronajatý okruh bude považována za službu nesplňující doplňkový (výkonnostní) parametr Služby až od okamžiku, kdy je Smluvním partnerem nahlášeno jeho nedodržení a toto nedodržení je následně potvrzeno ze str</w:t>
      </w:r>
      <w:r>
        <w:t>any TMCZ. TMCZ poté zahajuje proces ověřování v souladu se svými interními procesy.</w:t>
      </w:r>
    </w:p>
    <w:p w:rsidR="00215B20" w:rsidRDefault="00FD0AA3">
      <w:pPr>
        <w:pStyle w:val="Zkladntext1"/>
        <w:shd w:val="clear" w:color="auto" w:fill="auto"/>
        <w:spacing w:line="262" w:lineRule="auto"/>
        <w:jc w:val="both"/>
      </w:pPr>
      <w:r>
        <w:t>V případě, že je Služba Pronajatý okruh považována za dostupnou, ale nesplňuje výše uvedený doplňkový (výkonnostní) parametr BER z důvodu zavinění na straně TMCZ, je Smluvn</w:t>
      </w:r>
      <w:r>
        <w:t>í partner oprávněn po TMCZ požadovat dále sjednaným způsobem smluvní pokutu. Smluvní pokuta za nedodržení výkonnostního parametru BER je 10 % z pravidelné měsíční (měsíční paušální) ceny sjednané pro konkrétní Službu Pronajatý okruh po uplatnění všech sjed</w:t>
      </w:r>
      <w:r>
        <w:t>naných slev, a to za veškerá nedodržení doplňkového (výkonnostního) parametru BER v jednom kalendářním měsíci (za účelem vyloučení jakýchkoliv pochybností je stanoveno, že je pouze jedna zde uvedená smluvní sankce za veškerá nedodržení zde uvedeného doplňk</w:t>
      </w:r>
      <w:r>
        <w:t>ového (výkonnostního) parametru BER u dané Služby v jednom kalendářním měsíci). Je-li pravidelná (měsíční paušální) cena sjednána za jiné, než měsíční poskytování Služby, nebo není-li pravidelná (měsíční paušální) cena u dané Služby sjednána, pak se pro úč</w:t>
      </w:r>
      <w:r>
        <w:t>ely výpočtu smluvní pokuty aplikuje způsob stanovený u smluvní pokuty za nedodržení SLA (článek 4).</w:t>
      </w:r>
    </w:p>
    <w:p w:rsidR="00215B20" w:rsidRDefault="00FD0AA3">
      <w:pPr>
        <w:pStyle w:val="Nadpis60"/>
        <w:keepNext/>
        <w:keepLines/>
        <w:shd w:val="clear" w:color="auto" w:fill="auto"/>
        <w:spacing w:line="262" w:lineRule="auto"/>
      </w:pPr>
      <w:bookmarkStart w:id="90" w:name="bookmark90"/>
      <w:bookmarkStart w:id="91" w:name="bookmark91"/>
      <w:r>
        <w:rPr>
          <w:color w:val="231F20"/>
        </w:rPr>
        <w:t>Měřici metoda</w:t>
      </w:r>
      <w:bookmarkEnd w:id="90"/>
      <w:bookmarkEnd w:id="91"/>
    </w:p>
    <w:p w:rsidR="00215B20" w:rsidRDefault="00FD0AA3">
      <w:pPr>
        <w:pStyle w:val="Zkladntext1"/>
        <w:shd w:val="clear" w:color="auto" w:fill="auto"/>
        <w:spacing w:after="300" w:line="254" w:lineRule="auto"/>
        <w:jc w:val="both"/>
      </w:pPr>
      <w:r>
        <w:t xml:space="preserve">Pro měření jsou použity dva datové analyzátory, každý na jednom konci okruhu. Analyzátor je nastaven v souladu s </w:t>
      </w:r>
      <w:proofErr w:type="gramStart"/>
      <w:r>
        <w:rPr>
          <w:lang w:val="en-US" w:eastAsia="en-US" w:bidi="en-US"/>
        </w:rPr>
        <w:t xml:space="preserve">ITU </w:t>
      </w:r>
      <w:r>
        <w:t>G.821</w:t>
      </w:r>
      <w:proofErr w:type="gramEnd"/>
      <w:r>
        <w:t xml:space="preserve"> pro rychlosti 64 -1024 </w:t>
      </w:r>
      <w:r>
        <w:rPr>
          <w:lang w:val="en-US" w:eastAsia="en-US" w:bidi="en-US"/>
        </w:rPr>
        <w:t xml:space="preserve">kbit/s a </w:t>
      </w:r>
      <w:r>
        <w:t>G.826 pro rychlosti 2048kbit/s-155 Mbit/s.</w:t>
      </w:r>
    </w:p>
    <w:p w:rsidR="00215B20" w:rsidRDefault="00FD0AA3">
      <w:pPr>
        <w:pStyle w:val="Nadpis60"/>
        <w:keepNext/>
        <w:keepLines/>
        <w:numPr>
          <w:ilvl w:val="1"/>
          <w:numId w:val="4"/>
        </w:numPr>
        <w:shd w:val="clear" w:color="auto" w:fill="auto"/>
        <w:tabs>
          <w:tab w:val="left" w:pos="456"/>
        </w:tabs>
        <w:spacing w:line="257" w:lineRule="auto"/>
        <w:jc w:val="both"/>
      </w:pPr>
      <w:bookmarkStart w:id="92" w:name="bookmark92"/>
      <w:bookmarkStart w:id="93" w:name="bookmark93"/>
      <w:r>
        <w:t>Doplňkové (výkonnostní) parametry Služby Ethernet Line a Ethernet VPN</w:t>
      </w:r>
      <w:bookmarkEnd w:id="92"/>
      <w:bookmarkEnd w:id="93"/>
    </w:p>
    <w:p w:rsidR="00215B20" w:rsidRDefault="00FD0AA3">
      <w:pPr>
        <w:pStyle w:val="Zkladntext1"/>
        <w:shd w:val="clear" w:color="auto" w:fill="auto"/>
        <w:spacing w:after="180" w:line="254" w:lineRule="auto"/>
        <w:jc w:val="both"/>
      </w:pPr>
      <w:r>
        <w:t xml:space="preserve">V rámci Služby Ethernet </w:t>
      </w:r>
      <w:proofErr w:type="gramStart"/>
      <w:r>
        <w:t>Line</w:t>
      </w:r>
      <w:proofErr w:type="gramEnd"/>
      <w:r>
        <w:t xml:space="preserve"> a Ethernet VPN jsou pro všechny nabízené úrovně Služby SLA - 99,0%, 99,5% a </w:t>
      </w:r>
      <w:r>
        <w:t>99,99% garantovány tyto doplňkové (výkonnostní) parametry dle definovaných tříd Služby (CoS):</w:t>
      </w:r>
    </w:p>
    <w:p w:rsidR="00215B20" w:rsidRDefault="00FD0AA3">
      <w:pPr>
        <w:pStyle w:val="Zkladntext1"/>
        <w:numPr>
          <w:ilvl w:val="0"/>
          <w:numId w:val="5"/>
        </w:numPr>
        <w:shd w:val="clear" w:color="auto" w:fill="auto"/>
        <w:tabs>
          <w:tab w:val="left" w:pos="766"/>
        </w:tabs>
        <w:spacing w:after="0"/>
        <w:ind w:left="760" w:hanging="360"/>
        <w:jc w:val="both"/>
      </w:pPr>
      <w:r w:rsidRPr="00920265">
        <w:rPr>
          <w:b/>
          <w:bCs/>
          <w:lang w:eastAsia="en-US" w:bidi="en-US"/>
        </w:rPr>
        <w:t xml:space="preserve">Mean Frame Delay (MFD) </w:t>
      </w:r>
      <w:r w:rsidRPr="00920265">
        <w:rPr>
          <w:lang w:eastAsia="en-US" w:bidi="en-US"/>
        </w:rPr>
        <w:t xml:space="preserve">- </w:t>
      </w:r>
      <w:r>
        <w:t xml:space="preserve">je definováno jako aritmetický průměr jednosměrných </w:t>
      </w:r>
      <w:r w:rsidRPr="00920265">
        <w:rPr>
          <w:lang w:eastAsia="en-US" w:bidi="en-US"/>
        </w:rPr>
        <w:t xml:space="preserve">(one-way) </w:t>
      </w:r>
      <w:r>
        <w:t xml:space="preserve">zpoždění za určitý časový interval (T= kalendářní měsíc). Jednosměrné </w:t>
      </w:r>
      <w:r w:rsidRPr="00920265">
        <w:rPr>
          <w:lang w:eastAsia="en-US" w:bidi="en-US"/>
        </w:rPr>
        <w:t>(one-</w:t>
      </w:r>
      <w:r w:rsidRPr="00920265">
        <w:rPr>
          <w:lang w:eastAsia="en-US" w:bidi="en-US"/>
        </w:rPr>
        <w:t xml:space="preserve">way) </w:t>
      </w:r>
      <w:r>
        <w:t xml:space="preserve">zpoždění je časový úsek od okamžiku vyslání ethernetového rámce ze zdrojového </w:t>
      </w:r>
      <w:r w:rsidRPr="00920265">
        <w:rPr>
          <w:lang w:eastAsia="en-US" w:bidi="en-US"/>
        </w:rPr>
        <w:t xml:space="preserve">UNI (user </w:t>
      </w:r>
      <w:r>
        <w:t xml:space="preserve">interface network) do okamžiku, kdy ethernetový rámec dorazí k cílovému </w:t>
      </w:r>
      <w:r w:rsidRPr="00920265">
        <w:rPr>
          <w:lang w:eastAsia="en-US" w:bidi="en-US"/>
        </w:rPr>
        <w:t xml:space="preserve">UNI (user </w:t>
      </w:r>
      <w:r>
        <w:t xml:space="preserve">interface network). Jednosměrné </w:t>
      </w:r>
      <w:r w:rsidRPr="00920265">
        <w:rPr>
          <w:lang w:eastAsia="en-US" w:bidi="en-US"/>
        </w:rPr>
        <w:t xml:space="preserve">(one-way) </w:t>
      </w:r>
      <w:r>
        <w:t xml:space="preserve">zpoždění je někdy obtížné měřit, proto </w:t>
      </w:r>
      <w:r>
        <w:t>může být hodnota aproximována z obousměrného měření.</w:t>
      </w:r>
    </w:p>
    <w:p w:rsidR="00215B20" w:rsidRDefault="00FD0AA3">
      <w:pPr>
        <w:pStyle w:val="Zkladntext1"/>
        <w:numPr>
          <w:ilvl w:val="0"/>
          <w:numId w:val="5"/>
        </w:numPr>
        <w:shd w:val="clear" w:color="auto" w:fill="auto"/>
        <w:tabs>
          <w:tab w:val="left" w:pos="766"/>
        </w:tabs>
        <w:spacing w:after="0"/>
        <w:ind w:left="760" w:hanging="360"/>
        <w:jc w:val="both"/>
      </w:pPr>
      <w:r w:rsidRPr="00920265">
        <w:rPr>
          <w:b/>
          <w:bCs/>
          <w:lang w:eastAsia="en-US" w:bidi="en-US"/>
        </w:rPr>
        <w:t xml:space="preserve">Inter-Frame Delay Variation </w:t>
      </w:r>
      <w:r>
        <w:rPr>
          <w:b/>
          <w:bCs/>
        </w:rPr>
        <w:t xml:space="preserve">(IFDV) - </w:t>
      </w:r>
      <w:r>
        <w:t xml:space="preserve">je definováno jako Percentil Pv (pro třídu </w:t>
      </w:r>
      <w:r w:rsidRPr="00920265">
        <w:rPr>
          <w:lang w:eastAsia="en-US" w:bidi="en-US"/>
        </w:rPr>
        <w:t xml:space="preserve">Real time </w:t>
      </w:r>
      <w:r>
        <w:t xml:space="preserve">Pv= 99,9%, pro třídu Business 99,0%) z absolutních hodnot rozdílů ve zpoždění ethernetových rámců mezi zdrojovým </w:t>
      </w:r>
      <w:r>
        <w:t xml:space="preserve">a cílovým </w:t>
      </w:r>
      <w:r w:rsidRPr="00920265">
        <w:rPr>
          <w:lang w:eastAsia="en-US" w:bidi="en-US"/>
        </w:rPr>
        <w:t xml:space="preserve">UNI (user </w:t>
      </w:r>
      <w:r>
        <w:t>interface network) dle určitých podmínek, které zahrnují parametry delta t (t=1sec) a T (T= kalendářním měsíc). Podrobné informace jsou uvedeny v Technických specifikacích MEF 26.1.</w:t>
      </w:r>
    </w:p>
    <w:p w:rsidR="00215B20" w:rsidRDefault="00FD0AA3">
      <w:pPr>
        <w:pStyle w:val="Zkladntext1"/>
        <w:numPr>
          <w:ilvl w:val="0"/>
          <w:numId w:val="5"/>
        </w:numPr>
        <w:shd w:val="clear" w:color="auto" w:fill="auto"/>
        <w:tabs>
          <w:tab w:val="left" w:pos="766"/>
        </w:tabs>
        <w:spacing w:after="180"/>
        <w:ind w:left="760" w:hanging="360"/>
        <w:jc w:val="both"/>
      </w:pPr>
      <w:r w:rsidRPr="00920265">
        <w:rPr>
          <w:b/>
          <w:bCs/>
          <w:lang w:eastAsia="en-US" w:bidi="en-US"/>
        </w:rPr>
        <w:t xml:space="preserve">Frame Loss Ratio </w:t>
      </w:r>
      <w:r>
        <w:rPr>
          <w:b/>
          <w:bCs/>
        </w:rPr>
        <w:t xml:space="preserve">(FLR) - </w:t>
      </w:r>
      <w:r>
        <w:t>je definováno jako poměr ztra</w:t>
      </w:r>
      <w:r>
        <w:t xml:space="preserve">cených ethernetových rámců, které nedorazí od zdrojového </w:t>
      </w:r>
      <w:r w:rsidRPr="00920265">
        <w:rPr>
          <w:lang w:eastAsia="en-US" w:bidi="en-US"/>
        </w:rPr>
        <w:t xml:space="preserve">UNI (user </w:t>
      </w:r>
      <w:r>
        <w:t xml:space="preserve">interface network) k cílovému </w:t>
      </w:r>
      <w:r w:rsidRPr="00920265">
        <w:rPr>
          <w:lang w:eastAsia="en-US" w:bidi="en-US"/>
        </w:rPr>
        <w:t xml:space="preserve">UNI (user </w:t>
      </w:r>
      <w:r>
        <w:t>interface network) nebo jím nejsou potvrzeny, k celkovému počtu zaslaných ethernetových rámců za určitý časový interval (T= kalendářní měsíc). Hodnot</w:t>
      </w:r>
      <w:r>
        <w:t>a je udávána v procentech (%) jako průměr za kalendářní měsíc.</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92"/>
        <w:gridCol w:w="2582"/>
        <w:gridCol w:w="2587"/>
        <w:gridCol w:w="2597"/>
      </w:tblGrid>
      <w:tr w:rsidR="00215B20">
        <w:tblPrEx>
          <w:tblCellMar>
            <w:top w:w="0" w:type="dxa"/>
            <w:bottom w:w="0" w:type="dxa"/>
          </w:tblCellMar>
        </w:tblPrEx>
        <w:trPr>
          <w:trHeight w:hRule="exact" w:val="571"/>
          <w:jc w:val="center"/>
        </w:trPr>
        <w:tc>
          <w:tcPr>
            <w:tcW w:w="1992"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Třídy služby (CoS)</w:t>
            </w:r>
          </w:p>
        </w:tc>
        <w:tc>
          <w:tcPr>
            <w:tcW w:w="2582"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Výkonnostní parametry</w:t>
            </w:r>
          </w:p>
        </w:tc>
        <w:tc>
          <w:tcPr>
            <w:tcW w:w="258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 xml:space="preserve">Měřeno v národní síti </w:t>
            </w:r>
            <w:proofErr w:type="gramStart"/>
            <w:r>
              <w:rPr>
                <w:b/>
                <w:bCs/>
                <w:sz w:val="14"/>
                <w:szCs w:val="14"/>
              </w:rPr>
              <w:t>T-Mobile</w:t>
            </w:r>
            <w:proofErr w:type="gramEnd"/>
            <w:r>
              <w:rPr>
                <w:b/>
                <w:bCs/>
                <w:sz w:val="14"/>
                <w:szCs w:val="14"/>
              </w:rPr>
              <w:t xml:space="preserve"> </w:t>
            </w:r>
            <w:r>
              <w:rPr>
                <w:b/>
                <w:bCs/>
                <w:sz w:val="14"/>
                <w:szCs w:val="14"/>
                <w:lang w:val="en-US" w:eastAsia="en-US" w:bidi="en-US"/>
              </w:rPr>
              <w:t>Czech Republic</w:t>
            </w:r>
          </w:p>
        </w:tc>
        <w:tc>
          <w:tcPr>
            <w:tcW w:w="2597"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Měřeno v těchto zemích Česká republika, Polsko, Maďarsko, Rumunsko</w:t>
            </w:r>
          </w:p>
        </w:tc>
      </w:tr>
      <w:tr w:rsidR="00215B20">
        <w:tblPrEx>
          <w:tblCellMar>
            <w:top w:w="0" w:type="dxa"/>
            <w:bottom w:w="0" w:type="dxa"/>
          </w:tblCellMar>
        </w:tblPrEx>
        <w:trPr>
          <w:trHeight w:hRule="exact" w:val="293"/>
          <w:jc w:val="center"/>
        </w:trPr>
        <w:tc>
          <w:tcPr>
            <w:tcW w:w="1992" w:type="dxa"/>
            <w:vMerge w:val="restart"/>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REAL-TIME</w:t>
            </w:r>
          </w:p>
        </w:tc>
        <w:tc>
          <w:tcPr>
            <w:tcW w:w="258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FLR</w:t>
            </w:r>
          </w:p>
        </w:tc>
        <w:tc>
          <w:tcPr>
            <w:tcW w:w="258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&lt; 0,025%</w:t>
            </w:r>
          </w:p>
        </w:tc>
        <w:tc>
          <w:tcPr>
            <w:tcW w:w="259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&lt; 0,025%</w:t>
            </w:r>
          </w:p>
        </w:tc>
      </w:tr>
      <w:tr w:rsidR="00215B20">
        <w:tblPrEx>
          <w:tblCellMar>
            <w:top w:w="0" w:type="dxa"/>
            <w:bottom w:w="0" w:type="dxa"/>
          </w:tblCellMar>
        </w:tblPrEx>
        <w:trPr>
          <w:trHeight w:hRule="exact" w:val="293"/>
          <w:jc w:val="center"/>
        </w:trPr>
        <w:tc>
          <w:tcPr>
            <w:tcW w:w="1992" w:type="dxa"/>
            <w:vMerge/>
            <w:tcBorders>
              <w:left w:val="single" w:sz="4" w:space="0" w:color="auto"/>
            </w:tcBorders>
            <w:shd w:val="clear" w:color="auto" w:fill="D3D5D7"/>
            <w:vAlign w:val="center"/>
          </w:tcPr>
          <w:p w:rsidR="00215B20" w:rsidRDefault="00215B20"/>
        </w:tc>
        <w:tc>
          <w:tcPr>
            <w:tcW w:w="258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IFDV</w:t>
            </w:r>
          </w:p>
        </w:tc>
        <w:tc>
          <w:tcPr>
            <w:tcW w:w="258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 xml:space="preserve">&lt; </w:t>
            </w:r>
            <w:r>
              <w:rPr>
                <w:sz w:val="13"/>
                <w:szCs w:val="13"/>
                <w:lang w:val="en-US" w:eastAsia="en-US" w:bidi="en-US"/>
              </w:rPr>
              <w:t>10ms</w:t>
            </w:r>
          </w:p>
        </w:tc>
        <w:tc>
          <w:tcPr>
            <w:tcW w:w="259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&lt; 10ms</w:t>
            </w:r>
          </w:p>
        </w:tc>
      </w:tr>
      <w:tr w:rsidR="00215B20">
        <w:tblPrEx>
          <w:tblCellMar>
            <w:top w:w="0" w:type="dxa"/>
            <w:bottom w:w="0" w:type="dxa"/>
          </w:tblCellMar>
        </w:tblPrEx>
        <w:trPr>
          <w:trHeight w:hRule="exact" w:val="293"/>
          <w:jc w:val="center"/>
        </w:trPr>
        <w:tc>
          <w:tcPr>
            <w:tcW w:w="1992" w:type="dxa"/>
            <w:vMerge/>
            <w:tcBorders>
              <w:left w:val="single" w:sz="4" w:space="0" w:color="auto"/>
            </w:tcBorders>
            <w:shd w:val="clear" w:color="auto" w:fill="D3D5D7"/>
            <w:vAlign w:val="center"/>
          </w:tcPr>
          <w:p w:rsidR="00215B20" w:rsidRDefault="00215B20"/>
        </w:tc>
        <w:tc>
          <w:tcPr>
            <w:tcW w:w="258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MFD</w:t>
            </w:r>
          </w:p>
        </w:tc>
        <w:tc>
          <w:tcPr>
            <w:tcW w:w="258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 xml:space="preserve">&lt; </w:t>
            </w:r>
            <w:r>
              <w:rPr>
                <w:sz w:val="13"/>
                <w:szCs w:val="13"/>
                <w:lang w:val="en-US" w:eastAsia="en-US" w:bidi="en-US"/>
              </w:rPr>
              <w:t>40ms</w:t>
            </w:r>
          </w:p>
        </w:tc>
        <w:tc>
          <w:tcPr>
            <w:tcW w:w="259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&lt; 50ms</w:t>
            </w:r>
          </w:p>
        </w:tc>
      </w:tr>
      <w:tr w:rsidR="00215B20">
        <w:tblPrEx>
          <w:tblCellMar>
            <w:top w:w="0" w:type="dxa"/>
            <w:bottom w:w="0" w:type="dxa"/>
          </w:tblCellMar>
        </w:tblPrEx>
        <w:trPr>
          <w:trHeight w:hRule="exact" w:val="293"/>
          <w:jc w:val="center"/>
        </w:trPr>
        <w:tc>
          <w:tcPr>
            <w:tcW w:w="1992" w:type="dxa"/>
            <w:vMerge w:val="restart"/>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3"/>
                <w:szCs w:val="13"/>
              </w:rPr>
            </w:pPr>
            <w:r>
              <w:rPr>
                <w:sz w:val="13"/>
                <w:szCs w:val="13"/>
              </w:rPr>
              <w:t>BUSINESS</w:t>
            </w:r>
          </w:p>
        </w:tc>
        <w:tc>
          <w:tcPr>
            <w:tcW w:w="258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FLR</w:t>
            </w:r>
          </w:p>
        </w:tc>
        <w:tc>
          <w:tcPr>
            <w:tcW w:w="258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&lt; 0,025%</w:t>
            </w:r>
          </w:p>
        </w:tc>
        <w:tc>
          <w:tcPr>
            <w:tcW w:w="259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&lt; 0,025%</w:t>
            </w:r>
          </w:p>
        </w:tc>
      </w:tr>
      <w:tr w:rsidR="00215B20">
        <w:tblPrEx>
          <w:tblCellMar>
            <w:top w:w="0" w:type="dxa"/>
            <w:bottom w:w="0" w:type="dxa"/>
          </w:tblCellMar>
        </w:tblPrEx>
        <w:trPr>
          <w:trHeight w:hRule="exact" w:val="293"/>
          <w:jc w:val="center"/>
        </w:trPr>
        <w:tc>
          <w:tcPr>
            <w:tcW w:w="1992" w:type="dxa"/>
            <w:vMerge/>
            <w:tcBorders>
              <w:left w:val="single" w:sz="4" w:space="0" w:color="auto"/>
            </w:tcBorders>
            <w:shd w:val="clear" w:color="auto" w:fill="D3D5D7"/>
            <w:vAlign w:val="center"/>
          </w:tcPr>
          <w:p w:rsidR="00215B20" w:rsidRDefault="00215B20"/>
        </w:tc>
        <w:tc>
          <w:tcPr>
            <w:tcW w:w="258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IFDV</w:t>
            </w:r>
          </w:p>
        </w:tc>
        <w:tc>
          <w:tcPr>
            <w:tcW w:w="258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&lt; 20ms</w:t>
            </w:r>
          </w:p>
        </w:tc>
        <w:tc>
          <w:tcPr>
            <w:tcW w:w="259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&lt; 20ms</w:t>
            </w:r>
          </w:p>
        </w:tc>
      </w:tr>
      <w:tr w:rsidR="00215B20">
        <w:tblPrEx>
          <w:tblCellMar>
            <w:top w:w="0" w:type="dxa"/>
            <w:bottom w:w="0" w:type="dxa"/>
          </w:tblCellMar>
        </w:tblPrEx>
        <w:trPr>
          <w:trHeight w:hRule="exact" w:val="293"/>
          <w:jc w:val="center"/>
        </w:trPr>
        <w:tc>
          <w:tcPr>
            <w:tcW w:w="1992" w:type="dxa"/>
            <w:vMerge/>
            <w:tcBorders>
              <w:left w:val="single" w:sz="4" w:space="0" w:color="auto"/>
            </w:tcBorders>
            <w:shd w:val="clear" w:color="auto" w:fill="D3D5D7"/>
            <w:vAlign w:val="center"/>
          </w:tcPr>
          <w:p w:rsidR="00215B20" w:rsidRDefault="00215B20"/>
        </w:tc>
        <w:tc>
          <w:tcPr>
            <w:tcW w:w="258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MFD</w:t>
            </w:r>
          </w:p>
        </w:tc>
        <w:tc>
          <w:tcPr>
            <w:tcW w:w="258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&lt; 40ms</w:t>
            </w:r>
          </w:p>
        </w:tc>
        <w:tc>
          <w:tcPr>
            <w:tcW w:w="259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&lt; 50ms</w:t>
            </w:r>
          </w:p>
        </w:tc>
      </w:tr>
      <w:tr w:rsidR="00215B20">
        <w:tblPrEx>
          <w:tblCellMar>
            <w:top w:w="0" w:type="dxa"/>
            <w:bottom w:w="0" w:type="dxa"/>
          </w:tblCellMar>
        </w:tblPrEx>
        <w:trPr>
          <w:trHeight w:hRule="exact" w:val="293"/>
          <w:jc w:val="center"/>
        </w:trPr>
        <w:tc>
          <w:tcPr>
            <w:tcW w:w="1992" w:type="dxa"/>
            <w:vMerge w:val="restart"/>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3"/>
                <w:szCs w:val="13"/>
              </w:rPr>
            </w:pPr>
            <w:r>
              <w:rPr>
                <w:sz w:val="13"/>
                <w:szCs w:val="13"/>
              </w:rPr>
              <w:t>STANDARD</w:t>
            </w:r>
          </w:p>
        </w:tc>
        <w:tc>
          <w:tcPr>
            <w:tcW w:w="258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FLR</w:t>
            </w:r>
          </w:p>
        </w:tc>
        <w:tc>
          <w:tcPr>
            <w:tcW w:w="258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&lt;0,1%</w:t>
            </w:r>
          </w:p>
        </w:tc>
        <w:tc>
          <w:tcPr>
            <w:tcW w:w="259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&lt;0,1%</w:t>
            </w:r>
          </w:p>
        </w:tc>
      </w:tr>
      <w:tr w:rsidR="00215B20">
        <w:tblPrEx>
          <w:tblCellMar>
            <w:top w:w="0" w:type="dxa"/>
            <w:bottom w:w="0" w:type="dxa"/>
          </w:tblCellMar>
        </w:tblPrEx>
        <w:trPr>
          <w:trHeight w:hRule="exact" w:val="298"/>
          <w:jc w:val="center"/>
        </w:trPr>
        <w:tc>
          <w:tcPr>
            <w:tcW w:w="1992" w:type="dxa"/>
            <w:vMerge/>
            <w:tcBorders>
              <w:left w:val="single" w:sz="4" w:space="0" w:color="auto"/>
            </w:tcBorders>
            <w:shd w:val="clear" w:color="auto" w:fill="D3D5D7"/>
            <w:vAlign w:val="center"/>
          </w:tcPr>
          <w:p w:rsidR="00215B20" w:rsidRDefault="00215B20"/>
        </w:tc>
        <w:tc>
          <w:tcPr>
            <w:tcW w:w="258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IFDV</w:t>
            </w:r>
          </w:p>
        </w:tc>
        <w:tc>
          <w:tcPr>
            <w:tcW w:w="258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w:t>
            </w:r>
          </w:p>
        </w:tc>
        <w:tc>
          <w:tcPr>
            <w:tcW w:w="2597"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w:t>
            </w:r>
          </w:p>
        </w:tc>
      </w:tr>
      <w:tr w:rsidR="00215B20">
        <w:tblPrEx>
          <w:tblCellMar>
            <w:top w:w="0" w:type="dxa"/>
            <w:bottom w:w="0" w:type="dxa"/>
          </w:tblCellMar>
        </w:tblPrEx>
        <w:trPr>
          <w:trHeight w:hRule="exact" w:val="302"/>
          <w:jc w:val="center"/>
        </w:trPr>
        <w:tc>
          <w:tcPr>
            <w:tcW w:w="1992" w:type="dxa"/>
            <w:vMerge/>
            <w:tcBorders>
              <w:left w:val="single" w:sz="4" w:space="0" w:color="auto"/>
              <w:bottom w:val="single" w:sz="4" w:space="0" w:color="auto"/>
            </w:tcBorders>
            <w:shd w:val="clear" w:color="auto" w:fill="D3D5D7"/>
            <w:vAlign w:val="center"/>
          </w:tcPr>
          <w:p w:rsidR="00215B20" w:rsidRDefault="00215B20"/>
        </w:tc>
        <w:tc>
          <w:tcPr>
            <w:tcW w:w="2582"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MFD</w:t>
            </w:r>
          </w:p>
        </w:tc>
        <w:tc>
          <w:tcPr>
            <w:tcW w:w="2587"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&lt;50ms</w:t>
            </w:r>
          </w:p>
        </w:tc>
        <w:tc>
          <w:tcPr>
            <w:tcW w:w="2597"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&lt;60ms</w:t>
            </w:r>
          </w:p>
        </w:tc>
      </w:tr>
    </w:tbl>
    <w:p w:rsidR="00215B20" w:rsidRDefault="00215B20">
      <w:pPr>
        <w:spacing w:after="359" w:line="1" w:lineRule="exact"/>
      </w:pPr>
    </w:p>
    <w:p w:rsidR="00215B20" w:rsidRDefault="00FD0AA3">
      <w:pPr>
        <w:pStyle w:val="Zkladntext1"/>
        <w:shd w:val="clear" w:color="auto" w:fill="auto"/>
        <w:spacing w:after="180" w:line="254" w:lineRule="auto"/>
        <w:jc w:val="both"/>
      </w:pPr>
      <w:r>
        <w:t xml:space="preserve">Všechny výkonnostní parametry Služby Ethernet Line a Ethernet VPN </w:t>
      </w:r>
      <w:proofErr w:type="gramStart"/>
      <w:r>
        <w:t>Line jsou</w:t>
      </w:r>
      <w:proofErr w:type="gramEnd"/>
      <w:r>
        <w:t xml:space="preserve"> jednosměrné a „End-to-End“ </w:t>
      </w:r>
      <w:r w:rsidRPr="00920265">
        <w:rPr>
          <w:lang w:eastAsia="en-US" w:bidi="en-US"/>
        </w:rPr>
        <w:t xml:space="preserve">(UNI-UNI, </w:t>
      </w:r>
      <w:r>
        <w:t>UNI-NNI nebo NNI-NNI).</w:t>
      </w:r>
    </w:p>
    <w:p w:rsidR="00215B20" w:rsidRDefault="00FD0AA3">
      <w:pPr>
        <w:pStyle w:val="Zkladntext1"/>
        <w:numPr>
          <w:ilvl w:val="0"/>
          <w:numId w:val="3"/>
        </w:numPr>
        <w:shd w:val="clear" w:color="auto" w:fill="auto"/>
        <w:tabs>
          <w:tab w:val="left" w:pos="241"/>
        </w:tabs>
        <w:spacing w:after="180" w:line="254" w:lineRule="auto"/>
        <w:jc w:val="both"/>
      </w:pPr>
      <w:proofErr w:type="gramStart"/>
      <w:r>
        <w:t>případě</w:t>
      </w:r>
      <w:proofErr w:type="gramEnd"/>
      <w:r>
        <w:t>, že Smluvní partner nevyužívá doplňkovou službu QoS, tak jsou mu u doplňkových (výkonnostních) parametrů FLR, IF</w:t>
      </w:r>
      <w:r>
        <w:t>DV, MFD u Služeb Ethernet Line a Ethernet VPN Line garantovány hodnoty pro třídu Business.</w:t>
      </w:r>
    </w:p>
    <w:p w:rsidR="00215B20" w:rsidRDefault="00FD0AA3">
      <w:pPr>
        <w:pStyle w:val="Zkladntext1"/>
        <w:shd w:val="clear" w:color="auto" w:fill="auto"/>
        <w:spacing w:after="180" w:line="254" w:lineRule="auto"/>
        <w:jc w:val="both"/>
      </w:pPr>
      <w:proofErr w:type="gramStart"/>
      <w:r>
        <w:t>Služba Ethernet</w:t>
      </w:r>
      <w:proofErr w:type="gramEnd"/>
      <w:r>
        <w:t xml:space="preserve"> Line či Ethernet VPN bude považována za Službu nesplňující doplňkové (výkonnostní) parametry Služby až od okamžiku, kdy je Smluvním partnerem nahláše</w:t>
      </w:r>
      <w:r>
        <w:t>no jejich nedodržení a toto nedodržení je následně potvrzeno ze strany TMCZ. TMCZ poté zahajuje proces ověřování v souladu se svými interními procesy.</w:t>
      </w:r>
    </w:p>
    <w:p w:rsidR="00215B20" w:rsidRDefault="00FD0AA3">
      <w:pPr>
        <w:pStyle w:val="Zkladntext1"/>
        <w:numPr>
          <w:ilvl w:val="0"/>
          <w:numId w:val="3"/>
        </w:numPr>
        <w:shd w:val="clear" w:color="auto" w:fill="auto"/>
        <w:tabs>
          <w:tab w:val="left" w:pos="250"/>
        </w:tabs>
        <w:spacing w:after="180"/>
        <w:jc w:val="both"/>
      </w:pPr>
      <w:proofErr w:type="gramStart"/>
      <w:r>
        <w:t>případě</w:t>
      </w:r>
      <w:proofErr w:type="gramEnd"/>
      <w:r>
        <w:t>, že je Služba Ethernet Line nebo Ethernet VPN považována za dostupnou, ale nesplňuje výše uvedené</w:t>
      </w:r>
      <w:r>
        <w:t xml:space="preserve"> doplňkové (výkonnostní) parametry z důvodu zavinění na straně TMCZ, je Smluvní partner oprávněn po TMCZ požadovat dále sjednaným způsobem smluvní pokutu. Smluvní pokuta za nedodržení doplňkových (výkonnostních) parametrů (jednoho a/nebo více najednou nebo</w:t>
      </w:r>
      <w:r>
        <w:t xml:space="preserve"> postupně) je 10 % z pravidelné měsíční (měsíční paušální) ceny sjednané pro konkrétní Službu Ethernet Line nebo Ethernet VPN po uplatnění všech sjednaných slev, a to za veškerá nedodržení doplňkových (výkonnostních) parametrů v jednom kalendářním měsíci (</w:t>
      </w:r>
      <w:r>
        <w:t>za účelem vyloučení jakýchkoliv pochybností je stanoveno, že je pouze jedna zde uvedená smluvní pokuta za veškerá nedodržení jakýchkoliv zde uvedených doplňkových (výkonnostních) parametrů u dané Služby v jednom kalendářní měsíc). Je-li pravidelná (měsíční</w:t>
      </w:r>
      <w:r>
        <w:t xml:space="preserve"> paušální) cena sjednána</w:t>
      </w:r>
    </w:p>
    <w:p w:rsidR="00215B20" w:rsidRDefault="00FD0AA3">
      <w:pPr>
        <w:pStyle w:val="Zkladntext1"/>
        <w:shd w:val="clear" w:color="auto" w:fill="auto"/>
      </w:pPr>
      <w:r>
        <w:t>Platnost od 01. 09. 2021</w:t>
      </w:r>
    </w:p>
    <w:p w:rsidR="00215B20" w:rsidRDefault="00FD0AA3">
      <w:pPr>
        <w:pStyle w:val="Zkladntext1"/>
        <w:shd w:val="clear" w:color="auto" w:fill="auto"/>
        <w:spacing w:after="180" w:line="254" w:lineRule="auto"/>
        <w:jc w:val="both"/>
      </w:pPr>
      <w:r>
        <w:t xml:space="preserve">za jiné, než měsíční poskytování Služby, nebo není-li pravidelná (měsíční paušální) cena u dané Služby sjednána, pak se pro účely výpočtu smluvní </w:t>
      </w:r>
      <w:r>
        <w:lastRenderedPageBreak/>
        <w:t xml:space="preserve">pokuty aplikuje způsob stanovený u smluvní pokuty za </w:t>
      </w:r>
      <w:r>
        <w:t>nedodržení SLA (článek 4).</w:t>
      </w:r>
    </w:p>
    <w:p w:rsidR="00215B20" w:rsidRDefault="00FD0AA3">
      <w:pPr>
        <w:pStyle w:val="Zkladntext1"/>
        <w:shd w:val="clear" w:color="auto" w:fill="auto"/>
        <w:spacing w:after="180" w:line="254" w:lineRule="auto"/>
        <w:jc w:val="both"/>
      </w:pPr>
      <w:r>
        <w:t>Smluvní pokuta za nedodržení doplňkových (výkonnostních) parametrů Služby Ethernet Line nebo Ethernet VPN může být aplikována, pouze pokud jsou dodrženy tyto podmínky:</w:t>
      </w:r>
    </w:p>
    <w:p w:rsidR="00215B20" w:rsidRDefault="00FD0AA3">
      <w:pPr>
        <w:pStyle w:val="Zkladntext1"/>
        <w:numPr>
          <w:ilvl w:val="0"/>
          <w:numId w:val="5"/>
        </w:numPr>
        <w:shd w:val="clear" w:color="auto" w:fill="auto"/>
        <w:tabs>
          <w:tab w:val="left" w:pos="779"/>
        </w:tabs>
        <w:spacing w:after="0"/>
        <w:ind w:left="760" w:hanging="360"/>
        <w:jc w:val="both"/>
      </w:pPr>
      <w:r>
        <w:t>Oba PE routery/switche (cílový i zdrojový PE router/switch) j</w:t>
      </w:r>
      <w:r>
        <w:t>sou umístěny v těchto zemích - Česká republika, Polsko, Maďarsko, Rumunsko, Německo (pouze v datovém centru Equinix/Ancotel ve Frankfurtu nad Mohanem) nebo Rakousko (pouze v datovém centru Interxion ve Vídni),</w:t>
      </w:r>
    </w:p>
    <w:p w:rsidR="00215B20" w:rsidRDefault="00FD0AA3">
      <w:pPr>
        <w:pStyle w:val="Zkladntext1"/>
        <w:numPr>
          <w:ilvl w:val="0"/>
          <w:numId w:val="5"/>
        </w:numPr>
        <w:shd w:val="clear" w:color="auto" w:fill="auto"/>
        <w:tabs>
          <w:tab w:val="left" w:pos="779"/>
        </w:tabs>
        <w:spacing w:after="0"/>
        <w:ind w:firstLine="400"/>
      </w:pPr>
      <w:r>
        <w:t xml:space="preserve">Využití přístupové linky nepřesahuje hodnotu </w:t>
      </w:r>
      <w:r>
        <w:rPr>
          <w:b/>
          <w:bCs/>
        </w:rPr>
        <w:t>9</w:t>
      </w:r>
      <w:r>
        <w:rPr>
          <w:b/>
          <w:bCs/>
        </w:rPr>
        <w:t>5 %</w:t>
      </w:r>
      <w:r>
        <w:t>,</w:t>
      </w:r>
    </w:p>
    <w:p w:rsidR="00215B20" w:rsidRDefault="00FD0AA3">
      <w:pPr>
        <w:pStyle w:val="Zkladntext1"/>
        <w:numPr>
          <w:ilvl w:val="0"/>
          <w:numId w:val="5"/>
        </w:numPr>
        <w:shd w:val="clear" w:color="auto" w:fill="auto"/>
        <w:tabs>
          <w:tab w:val="left" w:pos="779"/>
        </w:tabs>
        <w:spacing w:after="0"/>
        <w:ind w:left="760" w:hanging="360"/>
        <w:jc w:val="both"/>
      </w:pPr>
      <w:r>
        <w:t>Pro potřeby výpočtu doplňkových (výkonnostních) parametrů FLR, IFDV a MFD se používá řada OAM ethernetových rámců s konstantním odstupem a časovými známkami,</w:t>
      </w:r>
    </w:p>
    <w:p w:rsidR="00215B20" w:rsidRDefault="00FD0AA3">
      <w:pPr>
        <w:pStyle w:val="Zkladntext1"/>
        <w:numPr>
          <w:ilvl w:val="0"/>
          <w:numId w:val="5"/>
        </w:numPr>
        <w:shd w:val="clear" w:color="auto" w:fill="auto"/>
        <w:tabs>
          <w:tab w:val="left" w:pos="779"/>
        </w:tabs>
        <w:spacing w:after="0"/>
        <w:ind w:firstLine="400"/>
      </w:pPr>
      <w:r>
        <w:t>Měření probíhá každou minutu zasláním ethernetových rámců o velikosti 512 byte,</w:t>
      </w:r>
    </w:p>
    <w:p w:rsidR="00215B20" w:rsidRDefault="00FD0AA3">
      <w:pPr>
        <w:pStyle w:val="Zkladntext1"/>
        <w:numPr>
          <w:ilvl w:val="0"/>
          <w:numId w:val="5"/>
        </w:numPr>
        <w:shd w:val="clear" w:color="auto" w:fill="auto"/>
        <w:tabs>
          <w:tab w:val="left" w:pos="779"/>
        </w:tabs>
        <w:spacing w:after="0"/>
        <w:ind w:left="760" w:hanging="360"/>
        <w:jc w:val="both"/>
      </w:pPr>
      <w:r>
        <w:t>Časový interv</w:t>
      </w:r>
      <w:r>
        <w:t>al pro každé měření je 60 minut, během něj systém sbírá zkušební vzorky, které se použijí pro výpočet hodnot doplňkových (výkonnostních) parametrů,</w:t>
      </w:r>
    </w:p>
    <w:p w:rsidR="00215B20" w:rsidRDefault="00FD0AA3">
      <w:pPr>
        <w:pStyle w:val="Zkladntext1"/>
        <w:numPr>
          <w:ilvl w:val="0"/>
          <w:numId w:val="5"/>
        </w:numPr>
        <w:shd w:val="clear" w:color="auto" w:fill="auto"/>
        <w:tabs>
          <w:tab w:val="left" w:pos="779"/>
        </w:tabs>
        <w:spacing w:after="300"/>
        <w:ind w:firstLine="400"/>
        <w:jc w:val="both"/>
      </w:pPr>
      <w:r>
        <w:t>Pro výpočet hodnot doplňkových (výkonnostních) parametrů ze zkušebních vzorků se použije metoda 95% Percenti</w:t>
      </w:r>
      <w:r>
        <w:t>lu.</w:t>
      </w:r>
    </w:p>
    <w:p w:rsidR="00215B20" w:rsidRDefault="00FD0AA3">
      <w:pPr>
        <w:pStyle w:val="Nadpis60"/>
        <w:keepNext/>
        <w:keepLines/>
        <w:numPr>
          <w:ilvl w:val="1"/>
          <w:numId w:val="4"/>
        </w:numPr>
        <w:shd w:val="clear" w:color="auto" w:fill="auto"/>
        <w:tabs>
          <w:tab w:val="left" w:pos="779"/>
        </w:tabs>
        <w:ind w:firstLine="400"/>
      </w:pPr>
      <w:bookmarkStart w:id="94" w:name="bookmark94"/>
      <w:bookmarkStart w:id="95" w:name="bookmark95"/>
      <w:r>
        <w:t>Doplňkové (výkonnostní) parametry Služby IP VPN a IP komplet</w:t>
      </w:r>
      <w:bookmarkEnd w:id="94"/>
      <w:bookmarkEnd w:id="95"/>
    </w:p>
    <w:p w:rsidR="00215B20" w:rsidRDefault="00FD0AA3">
      <w:pPr>
        <w:pStyle w:val="Zkladntext1"/>
        <w:shd w:val="clear" w:color="auto" w:fill="auto"/>
        <w:spacing w:after="180" w:line="254" w:lineRule="auto"/>
        <w:jc w:val="both"/>
      </w:pPr>
      <w:r>
        <w:t xml:space="preserve">V rámci Služby IP VPN (případně Služby IP komplet, kde je Služba IP VPN jako volitelná komponenta) jsou garantovány pro všechny úrovně služby SLA - 99,0%, 99,5% a 99,99% tyto doplňkové </w:t>
      </w:r>
      <w:r>
        <w:t>(výkonnostní) parametry dle definovaných servisních tříd Služby (CoS):</w:t>
      </w:r>
    </w:p>
    <w:p w:rsidR="00215B20" w:rsidRDefault="00FD0AA3">
      <w:pPr>
        <w:pStyle w:val="Zkladntext1"/>
        <w:numPr>
          <w:ilvl w:val="0"/>
          <w:numId w:val="5"/>
        </w:numPr>
        <w:shd w:val="clear" w:color="auto" w:fill="auto"/>
        <w:tabs>
          <w:tab w:val="left" w:pos="363"/>
        </w:tabs>
        <w:spacing w:after="0" w:line="254" w:lineRule="auto"/>
        <w:ind w:left="400" w:hanging="400"/>
        <w:jc w:val="both"/>
      </w:pPr>
      <w:r w:rsidRPr="00920265">
        <w:rPr>
          <w:b/>
          <w:bCs/>
          <w:lang w:eastAsia="en-US" w:bidi="en-US"/>
        </w:rPr>
        <w:t xml:space="preserve">Packet loss </w:t>
      </w:r>
      <w:r>
        <w:t>- udává procento ztracených IP paketů, které nedorazí od zdrojového koncového zařízení (CE routeru) k cílovému koncovému zařízení (ČE routeru) nebo jím nejsou potvrzeny. Hod</w:t>
      </w:r>
      <w:r>
        <w:t>nota se udává v procentech (%) jako průměr za kalendářní měsíc.</w:t>
      </w:r>
    </w:p>
    <w:p w:rsidR="00215B20" w:rsidRDefault="00FD0AA3">
      <w:pPr>
        <w:pStyle w:val="Zkladntext1"/>
        <w:numPr>
          <w:ilvl w:val="0"/>
          <w:numId w:val="5"/>
        </w:numPr>
        <w:shd w:val="clear" w:color="auto" w:fill="auto"/>
        <w:tabs>
          <w:tab w:val="left" w:pos="363"/>
        </w:tabs>
        <w:spacing w:after="0" w:line="254" w:lineRule="auto"/>
        <w:ind w:left="400" w:hanging="400"/>
        <w:jc w:val="both"/>
      </w:pPr>
      <w:r w:rsidRPr="00920265">
        <w:rPr>
          <w:b/>
          <w:bCs/>
          <w:lang w:eastAsia="en-US" w:bidi="en-US"/>
        </w:rPr>
        <w:t xml:space="preserve">Jitter </w:t>
      </w:r>
      <w:r>
        <w:t xml:space="preserve">- kolísání velikosti zpoždění paketů při jednosměrném průchodu sítí (vzniká např. na koncových zařízeních (CE routerech) jako důsledek změn routování, chování interních front routeru </w:t>
      </w:r>
      <w:r>
        <w:t>atd.). Hodnota se udává v milisekundách (ms) jako průměr za kalendářní měsíc.</w:t>
      </w:r>
    </w:p>
    <w:p w:rsidR="00215B20" w:rsidRDefault="00FD0AA3">
      <w:pPr>
        <w:pStyle w:val="Zkladntext1"/>
        <w:numPr>
          <w:ilvl w:val="0"/>
          <w:numId w:val="5"/>
        </w:numPr>
        <w:shd w:val="clear" w:color="auto" w:fill="auto"/>
        <w:tabs>
          <w:tab w:val="left" w:pos="363"/>
        </w:tabs>
        <w:spacing w:after="180" w:line="254" w:lineRule="auto"/>
        <w:ind w:left="400" w:hanging="400"/>
        <w:jc w:val="both"/>
      </w:pPr>
      <w:r w:rsidRPr="00920265">
        <w:rPr>
          <w:b/>
          <w:bCs/>
          <w:lang w:eastAsia="en-US" w:bidi="en-US"/>
        </w:rPr>
        <w:t xml:space="preserve">Latency </w:t>
      </w:r>
      <w:r>
        <w:t>- jednosměrné zpoždění IP paketu. Časový úsek od okamžiku vyslání IP paketu od zdrojového koncového zařízení (CE routeru) do okamžiku, kdy IP paket dorazí k cílovému konc</w:t>
      </w:r>
      <w:r>
        <w:t>ovému zařízení (CE routeru). Hodnota se udává v milisekundách (ms) jako průměr za kalendářní měsíc.</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2"/>
        <w:gridCol w:w="2352"/>
        <w:gridCol w:w="2357"/>
        <w:gridCol w:w="2366"/>
      </w:tblGrid>
      <w:tr w:rsidR="00215B20">
        <w:tblPrEx>
          <w:tblCellMar>
            <w:top w:w="0" w:type="dxa"/>
            <w:bottom w:w="0" w:type="dxa"/>
          </w:tblCellMar>
        </w:tblPrEx>
        <w:trPr>
          <w:trHeight w:hRule="exact" w:val="336"/>
          <w:jc w:val="center"/>
        </w:trPr>
        <w:tc>
          <w:tcPr>
            <w:tcW w:w="2702" w:type="dxa"/>
            <w:vMerge w:val="restart"/>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Třída služby (CoS)</w:t>
            </w:r>
          </w:p>
        </w:tc>
        <w:tc>
          <w:tcPr>
            <w:tcW w:w="7075" w:type="dxa"/>
            <w:gridSpan w:val="3"/>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 xml:space="preserve">Měřeno mezi dvěma CE routery v národní sítí </w:t>
            </w:r>
            <w:proofErr w:type="gramStart"/>
            <w:r>
              <w:rPr>
                <w:b/>
                <w:bCs/>
                <w:sz w:val="14"/>
                <w:szCs w:val="14"/>
              </w:rPr>
              <w:t>T-Mobile</w:t>
            </w:r>
            <w:proofErr w:type="gramEnd"/>
            <w:r>
              <w:rPr>
                <w:b/>
                <w:bCs/>
                <w:sz w:val="14"/>
                <w:szCs w:val="14"/>
              </w:rPr>
              <w:t xml:space="preserve"> </w:t>
            </w:r>
            <w:r>
              <w:rPr>
                <w:b/>
                <w:bCs/>
                <w:sz w:val="14"/>
                <w:szCs w:val="14"/>
                <w:lang w:val="en-US" w:eastAsia="en-US" w:bidi="en-US"/>
              </w:rPr>
              <w:t>Czech Republic</w:t>
            </w:r>
          </w:p>
        </w:tc>
      </w:tr>
      <w:tr w:rsidR="00215B20">
        <w:tblPrEx>
          <w:tblCellMar>
            <w:top w:w="0" w:type="dxa"/>
            <w:bottom w:w="0" w:type="dxa"/>
          </w:tblCellMar>
        </w:tblPrEx>
        <w:trPr>
          <w:trHeight w:hRule="exact" w:val="293"/>
          <w:jc w:val="center"/>
        </w:trPr>
        <w:tc>
          <w:tcPr>
            <w:tcW w:w="2702" w:type="dxa"/>
            <w:vMerge/>
            <w:tcBorders>
              <w:left w:val="single" w:sz="4" w:space="0" w:color="auto"/>
            </w:tcBorders>
            <w:shd w:val="clear" w:color="auto" w:fill="D3D5D7"/>
            <w:vAlign w:val="center"/>
          </w:tcPr>
          <w:p w:rsidR="00215B20" w:rsidRDefault="00215B20"/>
        </w:tc>
        <w:tc>
          <w:tcPr>
            <w:tcW w:w="2352"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Packet loss</w:t>
            </w:r>
          </w:p>
        </w:tc>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Jitter</w:t>
            </w:r>
          </w:p>
        </w:tc>
        <w:tc>
          <w:tcPr>
            <w:tcW w:w="2366"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Latency</w:t>
            </w:r>
          </w:p>
        </w:tc>
      </w:tr>
      <w:tr w:rsidR="00215B20">
        <w:tblPrEx>
          <w:tblCellMar>
            <w:top w:w="0" w:type="dxa"/>
            <w:bottom w:w="0" w:type="dxa"/>
          </w:tblCellMar>
        </w:tblPrEx>
        <w:trPr>
          <w:trHeight w:hRule="exact" w:val="293"/>
          <w:jc w:val="center"/>
        </w:trPr>
        <w:tc>
          <w:tcPr>
            <w:tcW w:w="2702"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Diamond</w:t>
            </w:r>
          </w:p>
        </w:tc>
        <w:tc>
          <w:tcPr>
            <w:tcW w:w="235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&lt;0,05% (0,1%)</w:t>
            </w:r>
            <w:r>
              <w:rPr>
                <w:b/>
                <w:bCs/>
                <w:sz w:val="14"/>
                <w:szCs w:val="14"/>
                <w:vertAlign w:val="superscript"/>
                <w:lang w:val="en-US" w:eastAsia="en-US" w:bidi="en-US"/>
              </w:rPr>
              <w:t>1</w:t>
            </w:r>
            <w:r>
              <w:rPr>
                <w:b/>
                <w:bCs/>
                <w:sz w:val="14"/>
                <w:szCs w:val="14"/>
                <w:lang w:val="en-US" w:eastAsia="en-US" w:bidi="en-US"/>
              </w:rPr>
              <w:t>&gt;</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 12ms</w:t>
            </w:r>
          </w:p>
        </w:tc>
        <w:tc>
          <w:tcPr>
            <w:tcW w:w="2366"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 20ms</w:t>
            </w:r>
          </w:p>
        </w:tc>
      </w:tr>
      <w:tr w:rsidR="00215B20">
        <w:tblPrEx>
          <w:tblCellMar>
            <w:top w:w="0" w:type="dxa"/>
            <w:bottom w:w="0" w:type="dxa"/>
          </w:tblCellMar>
        </w:tblPrEx>
        <w:trPr>
          <w:trHeight w:hRule="exact" w:val="293"/>
          <w:jc w:val="center"/>
        </w:trPr>
        <w:tc>
          <w:tcPr>
            <w:tcW w:w="2702"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Platinum</w:t>
            </w:r>
          </w:p>
        </w:tc>
        <w:tc>
          <w:tcPr>
            <w:tcW w:w="235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&lt;0,05% (0,1%)</w:t>
            </w:r>
            <w:r>
              <w:rPr>
                <w:b/>
                <w:bCs/>
                <w:sz w:val="14"/>
                <w:szCs w:val="14"/>
                <w:vertAlign w:val="superscript"/>
                <w:lang w:val="en-US" w:eastAsia="en-US" w:bidi="en-US"/>
              </w:rPr>
              <w:t>1</w:t>
            </w:r>
            <w:r>
              <w:rPr>
                <w:b/>
                <w:bCs/>
                <w:sz w:val="14"/>
                <w:szCs w:val="14"/>
                <w:lang w:val="en-US" w:eastAsia="en-US" w:bidi="en-US"/>
              </w:rPr>
              <w:t>&gt;</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w:t>
            </w:r>
          </w:p>
        </w:tc>
        <w:tc>
          <w:tcPr>
            <w:tcW w:w="2366"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 40ms</w:t>
            </w:r>
          </w:p>
        </w:tc>
      </w:tr>
      <w:tr w:rsidR="00215B20">
        <w:tblPrEx>
          <w:tblCellMar>
            <w:top w:w="0" w:type="dxa"/>
            <w:bottom w:w="0" w:type="dxa"/>
          </w:tblCellMar>
        </w:tblPrEx>
        <w:trPr>
          <w:trHeight w:hRule="exact" w:val="293"/>
          <w:jc w:val="center"/>
        </w:trPr>
        <w:tc>
          <w:tcPr>
            <w:tcW w:w="2702"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Gold</w:t>
            </w:r>
          </w:p>
        </w:tc>
        <w:tc>
          <w:tcPr>
            <w:tcW w:w="235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&lt;0,05% (0,1%)</w:t>
            </w:r>
            <w:r>
              <w:rPr>
                <w:b/>
                <w:bCs/>
                <w:sz w:val="14"/>
                <w:szCs w:val="14"/>
                <w:vertAlign w:val="superscript"/>
                <w:lang w:val="en-US" w:eastAsia="en-US" w:bidi="en-US"/>
              </w:rPr>
              <w:t>1</w:t>
            </w:r>
            <w:r>
              <w:rPr>
                <w:b/>
                <w:bCs/>
                <w:sz w:val="14"/>
                <w:szCs w:val="14"/>
                <w:lang w:val="en-US" w:eastAsia="en-US" w:bidi="en-US"/>
              </w:rPr>
              <w:t>&gt;</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w:t>
            </w:r>
          </w:p>
        </w:tc>
        <w:tc>
          <w:tcPr>
            <w:tcW w:w="2366"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 40ms</w:t>
            </w:r>
          </w:p>
        </w:tc>
      </w:tr>
      <w:tr w:rsidR="00215B20">
        <w:tblPrEx>
          <w:tblCellMar>
            <w:top w:w="0" w:type="dxa"/>
            <w:bottom w:w="0" w:type="dxa"/>
          </w:tblCellMar>
        </w:tblPrEx>
        <w:trPr>
          <w:trHeight w:hRule="exact" w:val="293"/>
          <w:jc w:val="center"/>
        </w:trPr>
        <w:tc>
          <w:tcPr>
            <w:tcW w:w="2702"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Silver</w:t>
            </w:r>
          </w:p>
        </w:tc>
        <w:tc>
          <w:tcPr>
            <w:tcW w:w="235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&lt;0,05% (0,1%)</w:t>
            </w:r>
            <w:r>
              <w:rPr>
                <w:b/>
                <w:bCs/>
                <w:sz w:val="14"/>
                <w:szCs w:val="14"/>
                <w:vertAlign w:val="superscript"/>
                <w:lang w:val="en-US" w:eastAsia="en-US" w:bidi="en-US"/>
              </w:rPr>
              <w:t>1</w:t>
            </w:r>
            <w:r>
              <w:rPr>
                <w:b/>
                <w:bCs/>
                <w:sz w:val="14"/>
                <w:szCs w:val="14"/>
                <w:lang w:val="en-US" w:eastAsia="en-US" w:bidi="en-US"/>
              </w:rPr>
              <w:t>&gt;</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w:t>
            </w:r>
          </w:p>
        </w:tc>
        <w:tc>
          <w:tcPr>
            <w:tcW w:w="2366"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 40ms</w:t>
            </w:r>
          </w:p>
        </w:tc>
      </w:tr>
      <w:tr w:rsidR="00215B20">
        <w:tblPrEx>
          <w:tblCellMar>
            <w:top w:w="0" w:type="dxa"/>
            <w:bottom w:w="0" w:type="dxa"/>
          </w:tblCellMar>
        </w:tblPrEx>
        <w:trPr>
          <w:trHeight w:hRule="exact" w:val="302"/>
          <w:jc w:val="center"/>
        </w:trPr>
        <w:tc>
          <w:tcPr>
            <w:tcW w:w="2702" w:type="dxa"/>
            <w:tcBorders>
              <w:top w:val="single" w:sz="4" w:space="0" w:color="auto"/>
              <w:left w:val="single" w:sz="4" w:space="0" w:color="auto"/>
              <w:bottom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Bronze</w:t>
            </w:r>
          </w:p>
        </w:tc>
        <w:tc>
          <w:tcPr>
            <w:tcW w:w="2352"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 0,2% (0,5%)</w:t>
            </w:r>
            <w:r>
              <w:rPr>
                <w:b/>
                <w:bCs/>
                <w:sz w:val="14"/>
                <w:szCs w:val="14"/>
                <w:vertAlign w:val="superscript"/>
                <w:lang w:val="en-US" w:eastAsia="en-US" w:bidi="en-US"/>
              </w:rPr>
              <w:t>1</w:t>
            </w:r>
            <w:r>
              <w:rPr>
                <w:b/>
                <w:bCs/>
                <w:sz w:val="14"/>
                <w:szCs w:val="14"/>
                <w:lang w:val="en-US" w:eastAsia="en-US" w:bidi="en-US"/>
              </w:rPr>
              <w:t>&gt;</w:t>
            </w:r>
          </w:p>
        </w:tc>
        <w:tc>
          <w:tcPr>
            <w:tcW w:w="2357"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w:t>
            </w: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&lt; 50ms</w:t>
            </w:r>
          </w:p>
        </w:tc>
      </w:tr>
    </w:tbl>
    <w:p w:rsidR="00215B20" w:rsidRDefault="00215B20">
      <w:pPr>
        <w:spacing w:after="29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98"/>
        <w:gridCol w:w="2357"/>
        <w:gridCol w:w="2357"/>
        <w:gridCol w:w="2362"/>
      </w:tblGrid>
      <w:tr w:rsidR="00215B20">
        <w:tblPrEx>
          <w:tblCellMar>
            <w:top w:w="0" w:type="dxa"/>
            <w:bottom w:w="0" w:type="dxa"/>
          </w:tblCellMar>
        </w:tblPrEx>
        <w:trPr>
          <w:trHeight w:hRule="exact" w:val="437"/>
          <w:jc w:val="center"/>
        </w:trPr>
        <w:tc>
          <w:tcPr>
            <w:tcW w:w="2698" w:type="dxa"/>
            <w:vMerge w:val="restart"/>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 xml:space="preserve">Třída služby </w:t>
            </w:r>
            <w:r>
              <w:rPr>
                <w:b/>
                <w:bCs/>
                <w:sz w:val="14"/>
                <w:szCs w:val="14"/>
                <w:lang w:val="en-US" w:eastAsia="en-US" w:bidi="en-US"/>
              </w:rPr>
              <w:t>(CoS)</w:t>
            </w:r>
          </w:p>
        </w:tc>
        <w:tc>
          <w:tcPr>
            <w:tcW w:w="7076" w:type="dxa"/>
            <w:gridSpan w:val="3"/>
            <w:tcBorders>
              <w:top w:val="single" w:sz="4" w:space="0" w:color="auto"/>
              <w:left w:val="single" w:sz="4" w:space="0" w:color="auto"/>
              <w:right w:val="single" w:sz="4" w:space="0" w:color="auto"/>
            </w:tcBorders>
            <w:shd w:val="clear" w:color="auto" w:fill="D3D5D7"/>
            <w:vAlign w:val="bottom"/>
          </w:tcPr>
          <w:p w:rsidR="00215B20" w:rsidRDefault="00FD0AA3">
            <w:pPr>
              <w:pStyle w:val="Jin0"/>
              <w:shd w:val="clear" w:color="auto" w:fill="auto"/>
              <w:spacing w:after="0" w:line="240" w:lineRule="auto"/>
              <w:jc w:val="center"/>
              <w:rPr>
                <w:sz w:val="14"/>
                <w:szCs w:val="14"/>
              </w:rPr>
            </w:pPr>
            <w:r>
              <w:rPr>
                <w:b/>
                <w:bCs/>
                <w:sz w:val="14"/>
                <w:szCs w:val="14"/>
              </w:rPr>
              <w:t xml:space="preserve">Měřeno mezi dvěma </w:t>
            </w:r>
            <w:r w:rsidRPr="00920265">
              <w:rPr>
                <w:b/>
                <w:bCs/>
                <w:sz w:val="14"/>
                <w:szCs w:val="14"/>
                <w:lang w:eastAsia="en-US" w:bidi="en-US"/>
              </w:rPr>
              <w:t xml:space="preserve">CE routery </w:t>
            </w:r>
            <w:r>
              <w:rPr>
                <w:b/>
                <w:bCs/>
                <w:sz w:val="14"/>
                <w:szCs w:val="14"/>
              </w:rPr>
              <w:t xml:space="preserve">umístěnými v těchto různých zemích Česká republika, Polsko, Maďarsko, </w:t>
            </w:r>
            <w:r>
              <w:rPr>
                <w:b/>
                <w:bCs/>
                <w:sz w:val="14"/>
                <w:szCs w:val="14"/>
              </w:rPr>
              <w:t>Rumunsko</w:t>
            </w:r>
          </w:p>
        </w:tc>
      </w:tr>
      <w:tr w:rsidR="00215B20">
        <w:tblPrEx>
          <w:tblCellMar>
            <w:top w:w="0" w:type="dxa"/>
            <w:bottom w:w="0" w:type="dxa"/>
          </w:tblCellMar>
        </w:tblPrEx>
        <w:trPr>
          <w:trHeight w:hRule="exact" w:val="293"/>
          <w:jc w:val="center"/>
        </w:trPr>
        <w:tc>
          <w:tcPr>
            <w:tcW w:w="2698" w:type="dxa"/>
            <w:vMerge/>
            <w:tcBorders>
              <w:left w:val="single" w:sz="4" w:space="0" w:color="auto"/>
            </w:tcBorders>
            <w:shd w:val="clear" w:color="auto" w:fill="D3D5D7"/>
            <w:vAlign w:val="center"/>
          </w:tcPr>
          <w:p w:rsidR="00215B20" w:rsidRDefault="00215B20"/>
        </w:tc>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Packet loss</w:t>
            </w:r>
          </w:p>
        </w:tc>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Jitter</w:t>
            </w:r>
          </w:p>
        </w:tc>
        <w:tc>
          <w:tcPr>
            <w:tcW w:w="2362"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Latency</w:t>
            </w:r>
          </w:p>
        </w:tc>
      </w:tr>
      <w:tr w:rsidR="00215B20">
        <w:tblPrEx>
          <w:tblCellMar>
            <w:top w:w="0" w:type="dxa"/>
            <w:bottom w:w="0" w:type="dxa"/>
          </w:tblCellMar>
        </w:tblPrEx>
        <w:trPr>
          <w:trHeight w:hRule="exact" w:val="293"/>
          <w:jc w:val="center"/>
        </w:trPr>
        <w:tc>
          <w:tcPr>
            <w:tcW w:w="269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Diamond</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&lt;0,05% (0,1%)</w:t>
            </w:r>
            <w:r>
              <w:rPr>
                <w:b/>
                <w:bCs/>
                <w:sz w:val="14"/>
                <w:szCs w:val="14"/>
                <w:vertAlign w:val="superscript"/>
              </w:rPr>
              <w:t>1</w:t>
            </w:r>
            <w:r>
              <w:rPr>
                <w:b/>
                <w:bCs/>
                <w:sz w:val="14"/>
                <w:szCs w:val="14"/>
              </w:rPr>
              <w:t>&gt;</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 12ms</w:t>
            </w:r>
          </w:p>
        </w:tc>
        <w:tc>
          <w:tcPr>
            <w:tcW w:w="2362"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 50ms</w:t>
            </w:r>
          </w:p>
        </w:tc>
      </w:tr>
      <w:tr w:rsidR="00215B20">
        <w:tblPrEx>
          <w:tblCellMar>
            <w:top w:w="0" w:type="dxa"/>
            <w:bottom w:w="0" w:type="dxa"/>
          </w:tblCellMar>
        </w:tblPrEx>
        <w:trPr>
          <w:trHeight w:hRule="exact" w:val="293"/>
          <w:jc w:val="center"/>
        </w:trPr>
        <w:tc>
          <w:tcPr>
            <w:tcW w:w="269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Platinum</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&lt;0,05% (0,1%)</w:t>
            </w:r>
            <w:r>
              <w:rPr>
                <w:b/>
                <w:bCs/>
                <w:sz w:val="14"/>
                <w:szCs w:val="14"/>
                <w:vertAlign w:val="superscript"/>
              </w:rPr>
              <w:t>1</w:t>
            </w:r>
            <w:r>
              <w:rPr>
                <w:b/>
                <w:bCs/>
                <w:sz w:val="14"/>
                <w:szCs w:val="14"/>
              </w:rPr>
              <w:t>&gt;</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w:t>
            </w:r>
          </w:p>
        </w:tc>
        <w:tc>
          <w:tcPr>
            <w:tcW w:w="2362"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 50ms</w:t>
            </w:r>
          </w:p>
        </w:tc>
      </w:tr>
      <w:tr w:rsidR="00215B20">
        <w:tblPrEx>
          <w:tblCellMar>
            <w:top w:w="0" w:type="dxa"/>
            <w:bottom w:w="0" w:type="dxa"/>
          </w:tblCellMar>
        </w:tblPrEx>
        <w:trPr>
          <w:trHeight w:hRule="exact" w:val="293"/>
          <w:jc w:val="center"/>
        </w:trPr>
        <w:tc>
          <w:tcPr>
            <w:tcW w:w="269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Gold</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&lt;0,05% (0,1%)</w:t>
            </w:r>
            <w:r>
              <w:rPr>
                <w:b/>
                <w:bCs/>
                <w:sz w:val="14"/>
                <w:szCs w:val="14"/>
                <w:vertAlign w:val="superscript"/>
              </w:rPr>
              <w:t>1</w:t>
            </w:r>
            <w:r>
              <w:rPr>
                <w:b/>
                <w:bCs/>
                <w:sz w:val="14"/>
                <w:szCs w:val="14"/>
              </w:rPr>
              <w:t>&gt;</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w:t>
            </w:r>
          </w:p>
        </w:tc>
        <w:tc>
          <w:tcPr>
            <w:tcW w:w="2362"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 50ms</w:t>
            </w:r>
          </w:p>
        </w:tc>
      </w:tr>
      <w:tr w:rsidR="00215B20">
        <w:tblPrEx>
          <w:tblCellMar>
            <w:top w:w="0" w:type="dxa"/>
            <w:bottom w:w="0" w:type="dxa"/>
          </w:tblCellMar>
        </w:tblPrEx>
        <w:trPr>
          <w:trHeight w:hRule="exact" w:val="293"/>
          <w:jc w:val="center"/>
        </w:trPr>
        <w:tc>
          <w:tcPr>
            <w:tcW w:w="269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Silver</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&lt;0,05% (0,1%)</w:t>
            </w:r>
            <w:r>
              <w:rPr>
                <w:b/>
                <w:bCs/>
                <w:sz w:val="14"/>
                <w:szCs w:val="14"/>
                <w:vertAlign w:val="superscript"/>
              </w:rPr>
              <w:t>1</w:t>
            </w:r>
            <w:r>
              <w:rPr>
                <w:b/>
                <w:bCs/>
                <w:sz w:val="14"/>
                <w:szCs w:val="14"/>
              </w:rPr>
              <w:t>&gt;</w:t>
            </w:r>
          </w:p>
        </w:tc>
        <w:tc>
          <w:tcPr>
            <w:tcW w:w="2357"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w:t>
            </w:r>
          </w:p>
        </w:tc>
        <w:tc>
          <w:tcPr>
            <w:tcW w:w="2362"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 50ms</w:t>
            </w:r>
          </w:p>
        </w:tc>
      </w:tr>
      <w:tr w:rsidR="00215B20">
        <w:tblPrEx>
          <w:tblCellMar>
            <w:top w:w="0" w:type="dxa"/>
            <w:bottom w:w="0" w:type="dxa"/>
          </w:tblCellMar>
        </w:tblPrEx>
        <w:trPr>
          <w:trHeight w:hRule="exact" w:val="302"/>
          <w:jc w:val="center"/>
        </w:trPr>
        <w:tc>
          <w:tcPr>
            <w:tcW w:w="2698" w:type="dxa"/>
            <w:tcBorders>
              <w:top w:val="single" w:sz="4" w:space="0" w:color="auto"/>
              <w:left w:val="single" w:sz="4" w:space="0" w:color="auto"/>
              <w:bottom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Bronze</w:t>
            </w:r>
          </w:p>
        </w:tc>
        <w:tc>
          <w:tcPr>
            <w:tcW w:w="2357"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 0,2% (0,5%)</w:t>
            </w:r>
            <w:r>
              <w:rPr>
                <w:b/>
                <w:bCs/>
                <w:sz w:val="14"/>
                <w:szCs w:val="14"/>
                <w:vertAlign w:val="superscript"/>
              </w:rPr>
              <w:t>1</w:t>
            </w:r>
            <w:r>
              <w:rPr>
                <w:b/>
                <w:bCs/>
                <w:sz w:val="14"/>
                <w:szCs w:val="14"/>
              </w:rPr>
              <w:t>&gt;</w:t>
            </w:r>
          </w:p>
        </w:tc>
        <w:tc>
          <w:tcPr>
            <w:tcW w:w="2357"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w:t>
            </w:r>
          </w:p>
        </w:tc>
        <w:tc>
          <w:tcPr>
            <w:tcW w:w="2362"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&lt; 60ms</w:t>
            </w:r>
          </w:p>
        </w:tc>
      </w:tr>
    </w:tbl>
    <w:p w:rsidR="00215B20" w:rsidRDefault="00FD0AA3">
      <w:pPr>
        <w:pStyle w:val="Titulektabulky0"/>
        <w:shd w:val="clear" w:color="auto" w:fill="auto"/>
        <w:rPr>
          <w:sz w:val="13"/>
          <w:szCs w:val="13"/>
        </w:rPr>
      </w:pPr>
      <w:r>
        <w:rPr>
          <w:rFonts w:ascii="Times New Roman" w:eastAsia="Times New Roman" w:hAnsi="Times New Roman" w:cs="Times New Roman"/>
          <w:sz w:val="13"/>
          <w:szCs w:val="13"/>
        </w:rPr>
        <w:t xml:space="preserve">1) Hodnoty definované v závorce jsou určeny pro přístupové technologie typu </w:t>
      </w:r>
      <w:r w:rsidRPr="00920265">
        <w:rPr>
          <w:rFonts w:ascii="Times New Roman" w:eastAsia="Times New Roman" w:hAnsi="Times New Roman" w:cs="Times New Roman"/>
          <w:sz w:val="13"/>
          <w:szCs w:val="13"/>
          <w:lang w:eastAsia="en-US" w:bidi="en-US"/>
        </w:rPr>
        <w:t>xDSL</w:t>
      </w:r>
    </w:p>
    <w:p w:rsidR="00215B20" w:rsidRDefault="00215B20">
      <w:pPr>
        <w:spacing w:after="179" w:line="1" w:lineRule="exact"/>
      </w:pPr>
    </w:p>
    <w:p w:rsidR="00215B20" w:rsidRDefault="00FD0AA3">
      <w:pPr>
        <w:pStyle w:val="Zkladntext1"/>
        <w:shd w:val="clear" w:color="auto" w:fill="auto"/>
        <w:spacing w:after="180" w:line="254" w:lineRule="auto"/>
        <w:jc w:val="both"/>
      </w:pPr>
      <w:r>
        <w:t>Uvedené výkonnostní parametry Služby IP VPN (respektive IP komplet) nejsou garantovány pro mobilní nebo satelitní přístupové technologie.</w:t>
      </w:r>
    </w:p>
    <w:p w:rsidR="00215B20" w:rsidRDefault="00FD0AA3">
      <w:pPr>
        <w:pStyle w:val="Zkladntext1"/>
        <w:numPr>
          <w:ilvl w:val="0"/>
          <w:numId w:val="3"/>
        </w:numPr>
        <w:shd w:val="clear" w:color="auto" w:fill="auto"/>
        <w:tabs>
          <w:tab w:val="left" w:pos="241"/>
        </w:tabs>
        <w:spacing w:after="180" w:line="254" w:lineRule="auto"/>
        <w:jc w:val="both"/>
      </w:pPr>
      <w:proofErr w:type="gramStart"/>
      <w:r>
        <w:t>případě</w:t>
      </w:r>
      <w:proofErr w:type="gramEnd"/>
      <w:r>
        <w:t xml:space="preserve">, že Smluvní partner nevyužívá doplňkovou službu QoS, tak jsou mu u doplňkových (výkonnostních) parametrů </w:t>
      </w:r>
      <w:r w:rsidRPr="00920265">
        <w:rPr>
          <w:lang w:eastAsia="en-US" w:bidi="en-US"/>
        </w:rPr>
        <w:t xml:space="preserve">Packet loss, Jitter a Latency u </w:t>
      </w:r>
      <w:r>
        <w:t xml:space="preserve">služby </w:t>
      </w:r>
      <w:r w:rsidRPr="00920265">
        <w:rPr>
          <w:lang w:eastAsia="en-US" w:bidi="en-US"/>
        </w:rPr>
        <w:t xml:space="preserve">IP VPN </w:t>
      </w:r>
      <w:r>
        <w:t xml:space="preserve">(respektive </w:t>
      </w:r>
      <w:r w:rsidRPr="00920265">
        <w:rPr>
          <w:lang w:eastAsia="en-US" w:bidi="en-US"/>
        </w:rPr>
        <w:t xml:space="preserve">IP </w:t>
      </w:r>
      <w:r>
        <w:t xml:space="preserve">komplet) garantovány hodnoty </w:t>
      </w:r>
      <w:r w:rsidRPr="00920265">
        <w:rPr>
          <w:lang w:eastAsia="en-US" w:bidi="en-US"/>
        </w:rPr>
        <w:t xml:space="preserve">pro </w:t>
      </w:r>
      <w:r>
        <w:t xml:space="preserve">třídu </w:t>
      </w:r>
      <w:r w:rsidRPr="00920265">
        <w:rPr>
          <w:lang w:eastAsia="en-US" w:bidi="en-US"/>
        </w:rPr>
        <w:t>Bronze.</w:t>
      </w:r>
    </w:p>
    <w:p w:rsidR="00215B20" w:rsidRDefault="00FD0AA3">
      <w:pPr>
        <w:pStyle w:val="Zkladntext1"/>
        <w:shd w:val="clear" w:color="auto" w:fill="auto"/>
        <w:spacing w:after="180" w:line="254" w:lineRule="auto"/>
        <w:jc w:val="both"/>
      </w:pPr>
      <w:r>
        <w:t xml:space="preserve">Služba </w:t>
      </w:r>
      <w:r w:rsidRPr="00920265">
        <w:rPr>
          <w:lang w:eastAsia="en-US" w:bidi="en-US"/>
        </w:rPr>
        <w:t xml:space="preserve">IP VPN </w:t>
      </w:r>
      <w:r>
        <w:t xml:space="preserve">(respektive </w:t>
      </w:r>
      <w:r w:rsidRPr="00920265">
        <w:rPr>
          <w:lang w:eastAsia="en-US" w:bidi="en-US"/>
        </w:rPr>
        <w:t xml:space="preserve">IP </w:t>
      </w:r>
      <w:r>
        <w:t>komple</w:t>
      </w:r>
      <w:r>
        <w:t>t) bude považována za Službu nesplňující doplňkové (výkonnostní) parametry Služby až od okamžiku, kdy je Smluvním partnerem nahlášeno jejich nedodržení a toto nedodržení je následně potvrzeno ze strany TMCZ. TMCZ poté zahajuje proces ověřování parametrů Sl</w:t>
      </w:r>
      <w:r>
        <w:t>užby v souladu se svými interními procesy.</w:t>
      </w:r>
    </w:p>
    <w:p w:rsidR="00215B20" w:rsidRDefault="00FD0AA3">
      <w:pPr>
        <w:pStyle w:val="Zkladntext1"/>
        <w:numPr>
          <w:ilvl w:val="0"/>
          <w:numId w:val="3"/>
        </w:numPr>
        <w:shd w:val="clear" w:color="auto" w:fill="auto"/>
        <w:tabs>
          <w:tab w:val="left" w:pos="241"/>
        </w:tabs>
        <w:spacing w:after="180" w:line="254" w:lineRule="auto"/>
        <w:jc w:val="both"/>
      </w:pPr>
      <w:proofErr w:type="gramStart"/>
      <w:r>
        <w:t>případě</w:t>
      </w:r>
      <w:proofErr w:type="gramEnd"/>
      <w:r>
        <w:t>, že je Služba IP VPN (respektive IP komplet) považována za dostupnou, ale nesplňuje výše uvedené doplňkové (výkonnostní) parametry z důvodu zavinění na straně TMCZ, je Smluvní partner oprávněn po TMCZ poža</w:t>
      </w:r>
      <w:r>
        <w:t>dovat dále sjednaným způsobem smluvní pokutu. Smluvní pokuta za nedodržení doplňkových (výkonnostních) parametrů (jednoho a/nebo více najednou nebo postupně) je 10 %</w:t>
      </w:r>
    </w:p>
    <w:p w:rsidR="00215B20" w:rsidRDefault="00FD0AA3">
      <w:pPr>
        <w:pStyle w:val="Nadpis50"/>
        <w:keepNext/>
        <w:keepLines/>
        <w:shd w:val="clear" w:color="auto" w:fill="auto"/>
      </w:pPr>
      <w:bookmarkStart w:id="96" w:name="bookmark96"/>
      <w:bookmarkStart w:id="97" w:name="bookmark97"/>
      <w:r>
        <w:t>Platnost od 01. 09. 2021</w:t>
      </w:r>
      <w:bookmarkEnd w:id="96"/>
      <w:bookmarkEnd w:id="97"/>
    </w:p>
    <w:p w:rsidR="00215B20" w:rsidRDefault="00FD0AA3">
      <w:pPr>
        <w:pStyle w:val="Zkladntext1"/>
        <w:shd w:val="clear" w:color="auto" w:fill="auto"/>
        <w:spacing w:after="180"/>
        <w:jc w:val="both"/>
      </w:pPr>
      <w:r>
        <w:t xml:space="preserve">z pravidelné měsíční (měsíční paušální) ceny sjednané pro </w:t>
      </w:r>
      <w:r>
        <w:t>konkrétní Službu IP VPN (respektive IP komplet) po uplatnění všech sjednaných slev, a to za veškerá nedodržení doplňkových (výkonnostních) parametrů v jednom kalendářním měsíci (za účelem vyloučení jakýchkoliv pochybností je stanoveno, že je pouze jedna zd</w:t>
      </w:r>
      <w:r>
        <w:t>e uvedená smluvní pokuta za veškerá nedodržení jakýchkoliv zde uvedených doplňkových (výkonnostních) parametrů u dané Služby v jednom kalendářním měsíci). Je-li pravidelná (měsíční paušální) cena sjednána za jiné, než měsíční poskytování Služby, nebo není-</w:t>
      </w:r>
      <w:r>
        <w:lastRenderedPageBreak/>
        <w:t>li pravidelná (měsíční paušální) cena u dané Služby sjednána, pak se pro účely výpočtu smluvní pokuty aplikuje způsob stanovený u smluvní pokuty za nedodržení SLA (článek 4).</w:t>
      </w:r>
    </w:p>
    <w:p w:rsidR="00215B20" w:rsidRDefault="00FD0AA3">
      <w:pPr>
        <w:pStyle w:val="Zkladntext1"/>
        <w:shd w:val="clear" w:color="auto" w:fill="auto"/>
        <w:spacing w:after="180" w:line="262" w:lineRule="auto"/>
        <w:jc w:val="both"/>
      </w:pPr>
      <w:r>
        <w:t xml:space="preserve">Smluvní pokuta za nedodržení doplňkových (výkonnostních) parametrů Služby IP VPN </w:t>
      </w:r>
      <w:r>
        <w:t>(respektive IP komplet) může být aplikována, pouze pokud jsou dodrženy tyto podmínky:</w:t>
      </w:r>
    </w:p>
    <w:p w:rsidR="00215B20" w:rsidRDefault="00FD0AA3">
      <w:pPr>
        <w:pStyle w:val="Zkladntext1"/>
        <w:numPr>
          <w:ilvl w:val="0"/>
          <w:numId w:val="5"/>
        </w:numPr>
        <w:shd w:val="clear" w:color="auto" w:fill="auto"/>
        <w:tabs>
          <w:tab w:val="left" w:pos="724"/>
        </w:tabs>
        <w:spacing w:after="0"/>
        <w:ind w:firstLine="360"/>
        <w:jc w:val="both"/>
      </w:pPr>
      <w:r>
        <w:t xml:space="preserve">Oba CE routery (cílový i zdrojový CE </w:t>
      </w:r>
      <w:r w:rsidRPr="00920265">
        <w:rPr>
          <w:lang w:eastAsia="en-US" w:bidi="en-US"/>
        </w:rPr>
        <w:t xml:space="preserve">router) </w:t>
      </w:r>
      <w:r>
        <w:t>jsou umístěny v těchto zemích - Česká republika, Polsko, Maďarsko, Rumunsko</w:t>
      </w:r>
    </w:p>
    <w:p w:rsidR="00215B20" w:rsidRDefault="00FD0AA3">
      <w:pPr>
        <w:pStyle w:val="Zkladntext1"/>
        <w:numPr>
          <w:ilvl w:val="0"/>
          <w:numId w:val="5"/>
        </w:numPr>
        <w:shd w:val="clear" w:color="auto" w:fill="auto"/>
        <w:tabs>
          <w:tab w:val="left" w:pos="724"/>
        </w:tabs>
        <w:spacing w:after="0"/>
        <w:ind w:left="720" w:hanging="360"/>
        <w:jc w:val="both"/>
      </w:pPr>
      <w:r>
        <w:t xml:space="preserve">Pro potřeby výpočtu </w:t>
      </w:r>
      <w:r w:rsidRPr="00920265">
        <w:rPr>
          <w:lang w:eastAsia="en-US" w:bidi="en-US"/>
        </w:rPr>
        <w:t>Packet loss, Latency a Jitter</w:t>
      </w:r>
      <w:r w:rsidRPr="00920265">
        <w:rPr>
          <w:lang w:eastAsia="en-US" w:bidi="en-US"/>
        </w:rPr>
        <w:t xml:space="preserve"> </w:t>
      </w:r>
      <w:r>
        <w:t xml:space="preserve">a musí být vyslána série UDP paketů s konstantním odstupem a časovými známkami. Po obdržení těchto UDP paketů cílovým koncovým zařízením sesbírá cílové koncové zařízení "zaslanou časovou známku" a odešle odpovídací UDP paket. Zdrojové koncové zařízení po </w:t>
      </w:r>
      <w:r>
        <w:t>přijetí UDP paketu sesbírá "vyslané časové známky", specifikaci počtu a četnosti UDP paketů a specifikaci výkonnostních IP SLA parametrů,</w:t>
      </w:r>
    </w:p>
    <w:p w:rsidR="00215B20" w:rsidRDefault="00FD0AA3">
      <w:pPr>
        <w:pStyle w:val="Zkladntext1"/>
        <w:numPr>
          <w:ilvl w:val="0"/>
          <w:numId w:val="5"/>
        </w:numPr>
        <w:shd w:val="clear" w:color="auto" w:fill="auto"/>
        <w:tabs>
          <w:tab w:val="left" w:pos="724"/>
        </w:tabs>
        <w:spacing w:after="0"/>
        <w:ind w:firstLine="360"/>
      </w:pPr>
      <w:r>
        <w:t>Měření ve třídě Diamond se provádí každou minutu zasláním 1000 paketů o velikosti 56 Bajtů s 20 ms časovou prodlevou,</w:t>
      </w:r>
    </w:p>
    <w:p w:rsidR="00215B20" w:rsidRDefault="00FD0AA3">
      <w:pPr>
        <w:pStyle w:val="Zkladntext1"/>
        <w:numPr>
          <w:ilvl w:val="0"/>
          <w:numId w:val="5"/>
        </w:numPr>
        <w:shd w:val="clear" w:color="auto" w:fill="auto"/>
        <w:tabs>
          <w:tab w:val="left" w:pos="724"/>
        </w:tabs>
        <w:spacing w:after="0"/>
        <w:ind w:firstLine="360"/>
      </w:pPr>
      <w:r>
        <w:t xml:space="preserve">Měření ve třídách </w:t>
      </w:r>
      <w:r w:rsidRPr="00920265">
        <w:rPr>
          <w:lang w:eastAsia="en-US" w:bidi="en-US"/>
        </w:rPr>
        <w:t xml:space="preserve">Platinum, Gold a Silver </w:t>
      </w:r>
      <w:r>
        <w:t>se provádí zasláním paketu o velikosti 740 Bajtů každou sekundu,</w:t>
      </w:r>
    </w:p>
    <w:p w:rsidR="00215B20" w:rsidRDefault="00FD0AA3">
      <w:pPr>
        <w:pStyle w:val="Zkladntext1"/>
        <w:numPr>
          <w:ilvl w:val="0"/>
          <w:numId w:val="5"/>
        </w:numPr>
        <w:shd w:val="clear" w:color="auto" w:fill="auto"/>
        <w:tabs>
          <w:tab w:val="left" w:pos="724"/>
        </w:tabs>
        <w:spacing w:after="40"/>
        <w:ind w:firstLine="360"/>
        <w:sectPr w:rsidR="00215B20">
          <w:headerReference w:type="even" r:id="rId47"/>
          <w:headerReference w:type="default" r:id="rId48"/>
          <w:footerReference w:type="even" r:id="rId49"/>
          <w:footerReference w:type="default" r:id="rId50"/>
          <w:pgSz w:w="11900" w:h="16840"/>
          <w:pgMar w:top="1777" w:right="1013" w:bottom="1359" w:left="1047" w:header="0" w:footer="3" w:gutter="0"/>
          <w:cols w:space="720"/>
          <w:noEndnote/>
          <w:docGrid w:linePitch="360"/>
        </w:sectPr>
      </w:pPr>
      <w:r>
        <w:t>Využití přístupové linky nepřesahuje hodnotu 95 %.</w:t>
      </w:r>
    </w:p>
    <w:p w:rsidR="00215B20" w:rsidRDefault="00FD0AA3">
      <w:pPr>
        <w:pStyle w:val="Nadpis50"/>
        <w:keepNext/>
        <w:keepLines/>
        <w:shd w:val="clear" w:color="auto" w:fill="auto"/>
        <w:spacing w:after="60"/>
      </w:pPr>
      <w:bookmarkStart w:id="98" w:name="bookmark98"/>
      <w:bookmarkStart w:id="99" w:name="bookmark99"/>
      <w:r>
        <w:lastRenderedPageBreak/>
        <w:t>Platnost od 01. 09. 2021</w:t>
      </w:r>
      <w:bookmarkEnd w:id="98"/>
      <w:bookmarkEnd w:id="99"/>
    </w:p>
    <w:p w:rsidR="00215B20" w:rsidRDefault="00FD0AA3">
      <w:pPr>
        <w:pStyle w:val="Nadpis60"/>
        <w:keepNext/>
        <w:keepLines/>
        <w:numPr>
          <w:ilvl w:val="1"/>
          <w:numId w:val="4"/>
        </w:numPr>
        <w:shd w:val="clear" w:color="auto" w:fill="auto"/>
        <w:tabs>
          <w:tab w:val="left" w:pos="441"/>
        </w:tabs>
        <w:ind w:left="460" w:hanging="460"/>
      </w:pPr>
      <w:bookmarkStart w:id="100" w:name="bookmark100"/>
      <w:bookmarkStart w:id="101" w:name="bookmark101"/>
      <w:r>
        <w:t xml:space="preserve">Specifické podmínky parametru SLA - Dostupnost Služby a Doba </w:t>
      </w:r>
      <w:r>
        <w:t>odstraněni Poruchy u Služby Telefonní připojeni a IP komplet (hlasová služba)</w:t>
      </w:r>
      <w:bookmarkEnd w:id="100"/>
      <w:bookmarkEnd w:id="101"/>
    </w:p>
    <w:p w:rsidR="00215B20" w:rsidRDefault="00FD0AA3">
      <w:pPr>
        <w:pStyle w:val="Zkladntext1"/>
        <w:shd w:val="clear" w:color="auto" w:fill="auto"/>
        <w:spacing w:after="120"/>
        <w:jc w:val="both"/>
      </w:pPr>
      <w:r>
        <w:t>Garantované parametry dostupnosti hlasových služeb Telefonní připojení a IP komplet se z pohledu parametru SLA - Dostupnost Služby a Doba odstranění Poruchy vztahují k funkčnosti</w:t>
      </w:r>
      <w:r>
        <w:t xml:space="preserve"> propojení mezi koncovým bodem Služby v lokalitě Smluvního partnera a telefonní sítí TMCZ.</w:t>
      </w:r>
    </w:p>
    <w:p w:rsidR="00215B20" w:rsidRDefault="00FD0AA3">
      <w:pPr>
        <w:pStyle w:val="Nadpis60"/>
        <w:keepNext/>
        <w:keepLines/>
        <w:numPr>
          <w:ilvl w:val="1"/>
          <w:numId w:val="4"/>
        </w:numPr>
        <w:shd w:val="clear" w:color="auto" w:fill="auto"/>
        <w:tabs>
          <w:tab w:val="left" w:pos="441"/>
        </w:tabs>
        <w:spacing w:line="257" w:lineRule="auto"/>
        <w:jc w:val="both"/>
      </w:pPr>
      <w:bookmarkStart w:id="102" w:name="bookmark102"/>
      <w:bookmarkStart w:id="103" w:name="bookmark103"/>
      <w:r>
        <w:t>Specifické podmínky parametru SLA - Dostupnost Služby u Služby Datová centra</w:t>
      </w:r>
      <w:bookmarkEnd w:id="102"/>
      <w:bookmarkEnd w:id="103"/>
    </w:p>
    <w:p w:rsidR="00215B20" w:rsidRDefault="00FD0AA3">
      <w:pPr>
        <w:pStyle w:val="Zkladntext1"/>
        <w:shd w:val="clear" w:color="auto" w:fill="auto"/>
        <w:spacing w:after="120"/>
        <w:jc w:val="both"/>
      </w:pPr>
      <w:r>
        <w:t>Parametr SLA - Dostupnost Služby se u Služby Datová centra vztahuje k dostupnosti napáje</w:t>
      </w:r>
      <w:r>
        <w:t>ní (zajištění spotřeby elektrické energie) a dostupnosti internetového připojení IP infrastruktury Smluvního partnera k síti Internet. Základní parametr SLA - Dostupnost Služby se nevztahuje na funkčnost a provoz umístěného zařízení Smluvního partnera nebo</w:t>
      </w:r>
      <w:r>
        <w:t xml:space="preserve"> na funkčnost a provoz infrastruktury instalované Smluvním partnerem do technologických prostor racku (stojanu).</w:t>
      </w:r>
    </w:p>
    <w:p w:rsidR="00215B20" w:rsidRDefault="00FD0AA3">
      <w:pPr>
        <w:pStyle w:val="Nadpis60"/>
        <w:keepNext/>
        <w:keepLines/>
        <w:numPr>
          <w:ilvl w:val="2"/>
          <w:numId w:val="4"/>
        </w:numPr>
        <w:shd w:val="clear" w:color="auto" w:fill="auto"/>
        <w:tabs>
          <w:tab w:val="left" w:pos="471"/>
        </w:tabs>
        <w:spacing w:line="257" w:lineRule="auto"/>
        <w:jc w:val="both"/>
      </w:pPr>
      <w:bookmarkStart w:id="104" w:name="bookmark104"/>
      <w:bookmarkStart w:id="105" w:name="bookmark105"/>
      <w:r>
        <w:rPr>
          <w:color w:val="231F20"/>
        </w:rPr>
        <w:t>Parametr SLA - Dostupnost napájení</w:t>
      </w:r>
      <w:bookmarkEnd w:id="104"/>
      <w:bookmarkEnd w:id="105"/>
    </w:p>
    <w:p w:rsidR="00215B20" w:rsidRDefault="00FD0AA3">
      <w:pPr>
        <w:pStyle w:val="Zkladntext1"/>
        <w:shd w:val="clear" w:color="auto" w:fill="auto"/>
        <w:spacing w:after="180"/>
        <w:jc w:val="both"/>
      </w:pPr>
      <w:r>
        <w:t xml:space="preserve">Součástí Služby jsou dva elektrické přívody do </w:t>
      </w:r>
      <w:proofErr w:type="gramStart"/>
      <w:r>
        <w:t>racku</w:t>
      </w:r>
      <w:proofErr w:type="gramEnd"/>
      <w:r>
        <w:t xml:space="preserve"> (stojanu). Oba elektrické přívody jsou napájeny zálohov</w:t>
      </w:r>
      <w:r>
        <w:t>aným zdrojem elektrické energie (UPS), přičemž jeden z přívodů vždy slouží jako záložní. Dodávka elektrické energie pro oba zálohované zdroje elektrické energie (UPS) je zajištěna prostřednictvím dodávek ze sítě dodavatele elektrické energie. Oba zálohovan</w:t>
      </w:r>
      <w:r>
        <w:t>é zdroje elektrické energie (UPS) jsou navíc zálohovány diesel generátory.</w:t>
      </w:r>
    </w:p>
    <w:p w:rsidR="00215B20" w:rsidRDefault="00FD0AA3">
      <w:pPr>
        <w:pStyle w:val="Zkladntext1"/>
        <w:shd w:val="clear" w:color="auto" w:fill="auto"/>
        <w:spacing w:after="280"/>
        <w:jc w:val="both"/>
      </w:pPr>
      <w:r>
        <w:t>Napájení se považuje za nedostupné pouze v případě, kdy není zajištěna dodávka elektrické energie ani jedním z obou elektrických přívodů (tzn. kdy je výpadek elektrické energie na o</w:t>
      </w:r>
      <w:r>
        <w:t>bou elektrických přívodech současně). TMCZ neodpovídá za nedostupnost napájení v případě existence vyšší moci, v případě překročení maximálního využitelného elektrického příkonu Smluvním partnerem a dále také v případě nedostupnosti napájení, které je způs</w:t>
      </w:r>
      <w:r>
        <w:t>obeno Smluvním partnerem (a to i jen částečně). Za předávací bod napájení se u Služby považují zásuvky A+B větví (elektrických přívodů).</w:t>
      </w:r>
    </w:p>
    <w:p w:rsidR="00215B20" w:rsidRDefault="00FD0AA3">
      <w:pPr>
        <w:pStyle w:val="Nadpis60"/>
        <w:keepNext/>
        <w:keepLines/>
        <w:numPr>
          <w:ilvl w:val="2"/>
          <w:numId w:val="4"/>
        </w:numPr>
        <w:shd w:val="clear" w:color="auto" w:fill="auto"/>
        <w:tabs>
          <w:tab w:val="left" w:pos="481"/>
        </w:tabs>
        <w:spacing w:line="257" w:lineRule="auto"/>
        <w:jc w:val="both"/>
      </w:pPr>
      <w:bookmarkStart w:id="106" w:name="bookmark106"/>
      <w:bookmarkStart w:id="107" w:name="bookmark107"/>
      <w:r>
        <w:rPr>
          <w:color w:val="231F20"/>
        </w:rPr>
        <w:t>Parametr SLA - Dostupnost internetového připojeni</w:t>
      </w:r>
      <w:bookmarkEnd w:id="106"/>
      <w:bookmarkEnd w:id="107"/>
    </w:p>
    <w:p w:rsidR="00215B20" w:rsidRDefault="00FD0AA3">
      <w:pPr>
        <w:pStyle w:val="Zkladntext1"/>
        <w:shd w:val="clear" w:color="auto" w:fill="auto"/>
        <w:spacing w:after="280" w:line="254" w:lineRule="auto"/>
        <w:jc w:val="both"/>
      </w:pPr>
      <w:r>
        <w:t xml:space="preserve">Součástí Služby je mimo jiné i připojení k celosvětové síti Internet </w:t>
      </w:r>
      <w:r>
        <w:t>prostřednictvím celoevropské vysokokapacitní páteřní sítě TMCZ. Za nedostupnost internetového připojení se považují pouze případy, kdy dojde k trvalému a nepřetržitému omezení přenosu dat Smluvního partnera přes IP síť. Za předávací bod internetového připo</w:t>
      </w:r>
      <w:r>
        <w:t>jení se u Služby považuje Ethernetový port v daném stojanu (racku).</w:t>
      </w:r>
    </w:p>
    <w:p w:rsidR="00215B20" w:rsidRDefault="00FD0AA3">
      <w:pPr>
        <w:pStyle w:val="Nadpis60"/>
        <w:keepNext/>
        <w:keepLines/>
        <w:numPr>
          <w:ilvl w:val="1"/>
          <w:numId w:val="4"/>
        </w:numPr>
        <w:shd w:val="clear" w:color="auto" w:fill="auto"/>
        <w:tabs>
          <w:tab w:val="left" w:pos="441"/>
        </w:tabs>
        <w:spacing w:line="257" w:lineRule="auto"/>
        <w:jc w:val="both"/>
      </w:pPr>
      <w:bookmarkStart w:id="108" w:name="bookmark108"/>
      <w:bookmarkStart w:id="109" w:name="bookmark109"/>
      <w:r>
        <w:t>Specifické podmínky parametru SLA - Dostupnost Služby u Služby Datová centra - SDC</w:t>
      </w:r>
      <w:bookmarkEnd w:id="108"/>
      <w:bookmarkEnd w:id="109"/>
    </w:p>
    <w:p w:rsidR="00215B20" w:rsidRDefault="00FD0AA3">
      <w:pPr>
        <w:pStyle w:val="Zkladntext1"/>
        <w:shd w:val="clear" w:color="auto" w:fill="auto"/>
        <w:spacing w:after="460" w:line="262" w:lineRule="auto"/>
        <w:jc w:val="both"/>
      </w:pPr>
      <w:r>
        <w:t xml:space="preserve">Specifické podmínky parametru SLA - Dostupnost Služby u Služby Datová centra - SDC jsou definované v </w:t>
      </w:r>
      <w:r>
        <w:t>platném Popisu Služby Datová centra a v Obchodních podmínkách a podmínkách SLA u služby Datacentrum - SDC, popř. v Provozním řádu - SDC.</w:t>
      </w:r>
    </w:p>
    <w:p w:rsidR="00215B20" w:rsidRDefault="00FD0AA3">
      <w:pPr>
        <w:pStyle w:val="Nadpis60"/>
        <w:keepNext/>
        <w:keepLines/>
        <w:numPr>
          <w:ilvl w:val="1"/>
          <w:numId w:val="4"/>
        </w:numPr>
        <w:shd w:val="clear" w:color="auto" w:fill="auto"/>
        <w:tabs>
          <w:tab w:val="left" w:pos="441"/>
        </w:tabs>
        <w:ind w:left="460" w:hanging="460"/>
      </w:pPr>
      <w:bookmarkStart w:id="110" w:name="bookmark110"/>
      <w:bookmarkStart w:id="111" w:name="bookmark111"/>
      <w:r>
        <w:t>Specifické podmínky vyhodnocovaných parametrů SLA u Služeb Virtuální datová centra, Virtuální úložiště a Virtuální zálo</w:t>
      </w:r>
      <w:r>
        <w:t>ha (BaaS)</w:t>
      </w:r>
      <w:bookmarkEnd w:id="110"/>
      <w:bookmarkEnd w:id="111"/>
    </w:p>
    <w:p w:rsidR="00215B20" w:rsidRDefault="00FD0AA3">
      <w:pPr>
        <w:pStyle w:val="Zkladntext1"/>
        <w:shd w:val="clear" w:color="auto" w:fill="auto"/>
        <w:spacing w:after="280"/>
        <w:jc w:val="both"/>
      </w:pPr>
      <w:r>
        <w:t>Garantované parametry dostupnosti služeb Virtuální datová centra, Virtuální úložiště a Virtuální záloha (BaaS) se z pohledu parametru SLA - Dostupnost Služby vztahují k funkčnosti Serveru (virtuální datové centrum) a/nebo datovému úložišti, a/neb</w:t>
      </w:r>
      <w:r>
        <w:t>o backupovací serveru a připojení k síti Internet nebo datové síti.</w:t>
      </w:r>
    </w:p>
    <w:p w:rsidR="00215B20" w:rsidRDefault="00FD0AA3">
      <w:pPr>
        <w:pStyle w:val="Nadpis60"/>
        <w:keepNext/>
        <w:keepLines/>
        <w:numPr>
          <w:ilvl w:val="1"/>
          <w:numId w:val="4"/>
        </w:numPr>
        <w:shd w:val="clear" w:color="auto" w:fill="auto"/>
        <w:tabs>
          <w:tab w:val="left" w:pos="441"/>
        </w:tabs>
        <w:spacing w:line="257" w:lineRule="auto"/>
        <w:jc w:val="both"/>
      </w:pPr>
      <w:bookmarkStart w:id="112" w:name="bookmark112"/>
      <w:bookmarkStart w:id="113" w:name="bookmark113"/>
      <w:r>
        <w:t>Specifické podmínky vyhodnocovaných parametrů SLA u Služeb Virtuální datové centrum (N)</w:t>
      </w:r>
      <w:bookmarkEnd w:id="112"/>
      <w:bookmarkEnd w:id="113"/>
    </w:p>
    <w:p w:rsidR="00215B20" w:rsidRDefault="00FD0AA3">
      <w:pPr>
        <w:pStyle w:val="Zkladntext1"/>
        <w:shd w:val="clear" w:color="auto" w:fill="auto"/>
        <w:spacing w:after="280" w:line="262" w:lineRule="auto"/>
        <w:jc w:val="both"/>
      </w:pPr>
      <w:r>
        <w:t>Garantované parametry dostupnosti služeb Virtuální datová centra (N) se z pohledu parametru SLA - Do</w:t>
      </w:r>
      <w:r>
        <w:t>stupnost Služby vztahují k funkčnosti Serveru (virtuální datové centrum) a připojení k síti Internet nebo datové síti.</w:t>
      </w:r>
    </w:p>
    <w:p w:rsidR="00215B20" w:rsidRDefault="00FD0AA3">
      <w:pPr>
        <w:pStyle w:val="Nadpis60"/>
        <w:keepNext/>
        <w:keepLines/>
        <w:numPr>
          <w:ilvl w:val="2"/>
          <w:numId w:val="4"/>
        </w:numPr>
        <w:shd w:val="clear" w:color="auto" w:fill="auto"/>
        <w:tabs>
          <w:tab w:val="left" w:pos="471"/>
        </w:tabs>
        <w:spacing w:line="257" w:lineRule="auto"/>
        <w:jc w:val="both"/>
      </w:pPr>
      <w:bookmarkStart w:id="114" w:name="bookmark114"/>
      <w:bookmarkStart w:id="115" w:name="bookmark115"/>
      <w:r>
        <w:t>Doplňkové parametr HDD</w:t>
      </w:r>
      <w:bookmarkEnd w:id="114"/>
      <w:bookmarkEnd w:id="115"/>
    </w:p>
    <w:p w:rsidR="00215B20" w:rsidRDefault="00FD0AA3">
      <w:pPr>
        <w:pStyle w:val="Zkladntext1"/>
        <w:shd w:val="clear" w:color="auto" w:fill="auto"/>
        <w:spacing w:after="0"/>
        <w:jc w:val="both"/>
      </w:pPr>
      <w:r>
        <w:t xml:space="preserve">HDD je definována parametrem IOPS, který je sjednaný ve Specifikaci služby. Parametr IOPS je vyhodnocován v </w:t>
      </w:r>
      <w:r>
        <w:t>pětiminutových intervalech. Splnění parametru IOPS je vyhodnocováno vždy za kalendářní měsíc. Relevantním požadavkem se rozumí stav, kdy daný virtuální server Smluvního partnera požaduje větší počet diskových transakcí než je 90% hodnoty sjednaného paramet</w:t>
      </w:r>
      <w:r>
        <w:t>ru IOPS. Za porušení sjednaného parametru HDD v kalendářním měsíci se považuje pokles procentuální hodnoty parametru IOPS pod 95 % v daném kalendářním měsíci. Procentuální hodnota parametru HDD se vypočítá podle následujícího vzorce:</w:t>
      </w:r>
    </w:p>
    <w:p w:rsidR="00215B20" w:rsidRDefault="00FD0AA3">
      <w:pPr>
        <w:pStyle w:val="Zkladntext1"/>
        <w:shd w:val="clear" w:color="auto" w:fill="auto"/>
        <w:spacing w:after="0"/>
        <w:ind w:firstLine="760"/>
        <w:jc w:val="both"/>
      </w:pPr>
      <w:r>
        <w:t xml:space="preserve">Hodnota parametru HDD </w:t>
      </w:r>
      <w:r>
        <w:t>v % = (PRP - PNP) / (PRP) * 100%</w:t>
      </w:r>
    </w:p>
    <w:p w:rsidR="00215B20" w:rsidRDefault="00FD0AA3">
      <w:pPr>
        <w:pStyle w:val="Zkladntext1"/>
        <w:shd w:val="clear" w:color="auto" w:fill="auto"/>
        <w:spacing w:after="0"/>
        <w:ind w:left="1480"/>
        <w:jc w:val="both"/>
      </w:pPr>
      <w:r>
        <w:t>Kde:</w:t>
      </w:r>
    </w:p>
    <w:p w:rsidR="00215B20" w:rsidRDefault="00FD0AA3">
      <w:pPr>
        <w:pStyle w:val="Zkladntext1"/>
        <w:shd w:val="clear" w:color="auto" w:fill="auto"/>
        <w:spacing w:after="0"/>
        <w:ind w:left="1480"/>
        <w:jc w:val="both"/>
      </w:pPr>
      <w:r>
        <w:t xml:space="preserve">PRP = počet intervalů s naměřeným Relevantním požadavkem v </w:t>
      </w:r>
      <w:proofErr w:type="gramStart"/>
      <w:r>
        <w:t>kal.m</w:t>
      </w:r>
      <w:proofErr w:type="gramEnd"/>
    </w:p>
    <w:p w:rsidR="00215B20" w:rsidRDefault="00FD0AA3">
      <w:pPr>
        <w:pStyle w:val="Zkladntext1"/>
        <w:shd w:val="clear" w:color="auto" w:fill="auto"/>
        <w:spacing w:after="180"/>
        <w:ind w:left="1480"/>
        <w:jc w:val="both"/>
      </w:pPr>
      <w:r>
        <w:t xml:space="preserve">PNP = počet intervalů s naměřeným Relevantním požadavkem v </w:t>
      </w:r>
      <w:proofErr w:type="gramStart"/>
      <w:r>
        <w:t>kal</w:t>
      </w:r>
      <w:proofErr w:type="gramEnd"/>
      <w:r>
        <w:t>.</w:t>
      </w:r>
      <w:proofErr w:type="gramStart"/>
      <w:r>
        <w:t>m.</w:t>
      </w:r>
      <w:proofErr w:type="gramEnd"/>
      <w:r>
        <w:t xml:space="preserve"> kdy IOPS nedosáhl 90 % sjednané hodnoty</w:t>
      </w:r>
    </w:p>
    <w:p w:rsidR="00215B20" w:rsidRDefault="00FD0AA3">
      <w:pPr>
        <w:pStyle w:val="Zkladntext1"/>
        <w:shd w:val="clear" w:color="auto" w:fill="auto"/>
        <w:spacing w:after="80"/>
        <w:jc w:val="both"/>
        <w:sectPr w:rsidR="00215B20">
          <w:pgSz w:w="11900" w:h="16840"/>
          <w:pgMar w:top="1791" w:right="1107" w:bottom="1791" w:left="1078" w:header="0" w:footer="3" w:gutter="0"/>
          <w:cols w:space="720"/>
          <w:noEndnote/>
          <w:docGrid w:linePitch="360"/>
        </w:sectPr>
      </w:pPr>
      <w:r>
        <w:t xml:space="preserve">V případě, že je Služba </w:t>
      </w:r>
      <w:r>
        <w:t>VDC (N) považována za dostupnou, ale nesplňuje výše uvedené doplňkový parametr z důvodu zavinění na straně TMCZ, je Smluvní partner oprávněn po TMCZ požadovat dále sjednaným způsobem smluvní pokutu. Smluvní pokuta za dodržení doplňkového parametru IOPS v h</w:t>
      </w:r>
      <w:r>
        <w:t>odnotě i) 90%-95% je 10 % z pravidelné měsíční (měsíční paušální) ceny sjednané pro konkrétní Kategorii HDD, ii) 50%-90% je 30 % z pravidelné měsíční (měsíční paušální) ceny sjednané pro konkrétní Kategorii HDD, iii) nižší než 50% je 50 % z pravidelné měsí</w:t>
      </w:r>
      <w:r>
        <w:t>ční (měsíční paušální) ceny sjednané pro konkrétní Kategorii HDD. Všechny tyto Smluvní pokuty jsou po uplatnění všech sjednaných slev, a to za veškerá nedodržení doplňkového parametru v jednom kalendářním měsíci (za účelem vyloučení jakýchkoliv pochybností</w:t>
      </w:r>
      <w:r>
        <w:t xml:space="preserve"> je stanoveno, že je pouze jedna zde uvedená smluvní pokuta za veškerá nedodržení jakýchkoliv zde uvedených doplňkových (výkonnostních) parametrů u dané Služby v jednom kalendářní měsíc). Je-li pravidelná (měsíční paušální) cena sjednána za jiné, než měsíč</w:t>
      </w:r>
      <w:r>
        <w:t>ní poskytování Služby, nebo není-li pravidelná (měsíční paušální) cena u dané Služby sjednána, pak se pro účely výpočtu smluvní pokuty aplikuje způsob stanovený u smluvní pokuty za nedodržení SLA (článek 4).</w:t>
      </w:r>
    </w:p>
    <w:p w:rsidR="00215B20" w:rsidRDefault="00FD0AA3">
      <w:pPr>
        <w:rPr>
          <w:sz w:val="2"/>
          <w:szCs w:val="2"/>
        </w:rPr>
      </w:pPr>
      <w:r>
        <w:rPr>
          <w:noProof/>
          <w:lang w:bidi="ar-SA"/>
        </w:rPr>
        <w:lastRenderedPageBreak/>
        <w:drawing>
          <wp:inline distT="0" distB="0" distL="0" distR="0">
            <wp:extent cx="871855" cy="43307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2"/>
                    <a:stretch/>
                  </pic:blipFill>
                  <pic:spPr>
                    <a:xfrm>
                      <a:off x="0" y="0"/>
                      <a:ext cx="871855" cy="433070"/>
                    </a:xfrm>
                    <a:prstGeom prst="rect">
                      <a:avLst/>
                    </a:prstGeom>
                  </pic:spPr>
                </pic:pic>
              </a:graphicData>
            </a:graphic>
          </wp:inline>
        </w:drawing>
      </w:r>
    </w:p>
    <w:p w:rsidR="00215B20" w:rsidRDefault="00215B20">
      <w:pPr>
        <w:spacing w:after="99" w:line="1" w:lineRule="exact"/>
      </w:pPr>
    </w:p>
    <w:p w:rsidR="00215B20" w:rsidRDefault="00FD0AA3">
      <w:pPr>
        <w:pStyle w:val="Nadpis30"/>
        <w:keepNext/>
        <w:keepLines/>
        <w:shd w:val="clear" w:color="auto" w:fill="auto"/>
        <w:spacing w:after="180"/>
      </w:pPr>
      <w:bookmarkStart w:id="116" w:name="bookmark116"/>
      <w:bookmarkStart w:id="117" w:name="bookmark117"/>
      <w:r>
        <w:t>Popis služby SLA</w:t>
      </w:r>
      <w:bookmarkEnd w:id="116"/>
      <w:bookmarkEnd w:id="117"/>
    </w:p>
    <w:p w:rsidR="00215B20" w:rsidRDefault="00FD0AA3">
      <w:pPr>
        <w:pStyle w:val="Nadpis50"/>
        <w:keepNext/>
        <w:keepLines/>
        <w:shd w:val="clear" w:color="auto" w:fill="auto"/>
        <w:spacing w:after="100"/>
      </w:pPr>
      <w:bookmarkStart w:id="118" w:name="bookmark118"/>
      <w:bookmarkStart w:id="119" w:name="bookmark119"/>
      <w:r>
        <w:t>Platnost od 01. 09. 2021</w:t>
      </w:r>
      <w:bookmarkEnd w:id="118"/>
      <w:bookmarkEnd w:id="119"/>
    </w:p>
    <w:p w:rsidR="00215B20" w:rsidRDefault="00FD0AA3">
      <w:pPr>
        <w:pStyle w:val="Nadpis60"/>
        <w:keepNext/>
        <w:keepLines/>
        <w:numPr>
          <w:ilvl w:val="1"/>
          <w:numId w:val="4"/>
        </w:numPr>
        <w:shd w:val="clear" w:color="auto" w:fill="auto"/>
        <w:tabs>
          <w:tab w:val="left" w:pos="439"/>
        </w:tabs>
        <w:spacing w:after="180" w:line="240" w:lineRule="auto"/>
      </w:pPr>
      <w:bookmarkStart w:id="120" w:name="bookmark120"/>
      <w:bookmarkStart w:id="121" w:name="bookmark121"/>
      <w:r>
        <w:t>Specifické podmínky vyhodnocovaných parametrů SLA u Služby Tiskové řešeni</w:t>
      </w:r>
      <w:bookmarkEnd w:id="120"/>
      <w:bookmarkEnd w:id="121"/>
    </w:p>
    <w:p w:rsidR="00215B20" w:rsidRDefault="00FD0AA3">
      <w:pPr>
        <w:pStyle w:val="Titulektabulky0"/>
        <w:shd w:val="clear" w:color="auto" w:fill="auto"/>
        <w:ind w:left="43"/>
      </w:pPr>
      <w:r>
        <w:t>Garantované parametry SLA u Služby Tiskové řešeni jsou definovány tyto:</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57"/>
        <w:gridCol w:w="2395"/>
        <w:gridCol w:w="2405"/>
        <w:gridCol w:w="2410"/>
      </w:tblGrid>
      <w:tr w:rsidR="00215B20">
        <w:tblPrEx>
          <w:tblCellMar>
            <w:top w:w="0" w:type="dxa"/>
            <w:bottom w:w="0" w:type="dxa"/>
          </w:tblCellMar>
        </w:tblPrEx>
        <w:trPr>
          <w:trHeight w:hRule="exact" w:val="331"/>
          <w:jc w:val="center"/>
        </w:trPr>
        <w:tc>
          <w:tcPr>
            <w:tcW w:w="2357" w:type="dxa"/>
            <w:shd w:val="clear" w:color="auto" w:fill="FFFFFF"/>
          </w:tcPr>
          <w:p w:rsidR="00215B20" w:rsidRDefault="00215B20">
            <w:pPr>
              <w:rPr>
                <w:sz w:val="10"/>
                <w:szCs w:val="10"/>
              </w:rPr>
            </w:pPr>
          </w:p>
        </w:tc>
        <w:tc>
          <w:tcPr>
            <w:tcW w:w="7210" w:type="dxa"/>
            <w:gridSpan w:val="3"/>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Označeni úrovně - SLA a garantované hodnoty příslušné úrovně - SLA u služby Tiskové řešeni</w:t>
            </w:r>
          </w:p>
        </w:tc>
      </w:tr>
      <w:tr w:rsidR="00215B20">
        <w:tblPrEx>
          <w:tblCellMar>
            <w:top w:w="0" w:type="dxa"/>
            <w:bottom w:w="0" w:type="dxa"/>
          </w:tblCellMar>
        </w:tblPrEx>
        <w:trPr>
          <w:trHeight w:hRule="exact" w:val="326"/>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Parametry SLA</w:t>
            </w:r>
          </w:p>
        </w:tc>
        <w:tc>
          <w:tcPr>
            <w:tcW w:w="2395"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3"/>
                <w:szCs w:val="13"/>
              </w:rPr>
            </w:pPr>
            <w:r>
              <w:rPr>
                <w:sz w:val="13"/>
                <w:szCs w:val="13"/>
              </w:rPr>
              <w:t>A</w:t>
            </w:r>
          </w:p>
        </w:tc>
        <w:tc>
          <w:tcPr>
            <w:tcW w:w="2405"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3"/>
                <w:szCs w:val="13"/>
              </w:rPr>
            </w:pPr>
            <w:r>
              <w:rPr>
                <w:sz w:val="13"/>
                <w:szCs w:val="13"/>
              </w:rPr>
              <w:t>B</w:t>
            </w:r>
          </w:p>
        </w:tc>
        <w:tc>
          <w:tcPr>
            <w:tcW w:w="2410"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22"/>
                <w:szCs w:val="22"/>
              </w:rPr>
            </w:pPr>
            <w:r>
              <w:rPr>
                <w:rFonts w:ascii="Calibri" w:eastAsia="Calibri" w:hAnsi="Calibri" w:cs="Calibri"/>
                <w:sz w:val="22"/>
                <w:szCs w:val="22"/>
              </w:rPr>
              <w:t>c</w:t>
            </w:r>
          </w:p>
        </w:tc>
      </w:tr>
      <w:tr w:rsidR="00215B20">
        <w:tblPrEx>
          <w:tblCellMar>
            <w:top w:w="0" w:type="dxa"/>
            <w:bottom w:w="0" w:type="dxa"/>
          </w:tblCellMar>
        </w:tblPrEx>
        <w:trPr>
          <w:trHeight w:hRule="exact" w:val="322"/>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Doba reakce u Poruchy 1</w:t>
            </w:r>
          </w:p>
        </w:tc>
        <w:tc>
          <w:tcPr>
            <w:tcW w:w="239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4 hodiny</w:t>
            </w:r>
          </w:p>
        </w:tc>
        <w:tc>
          <w:tcPr>
            <w:tcW w:w="240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90 minut</w:t>
            </w:r>
          </w:p>
        </w:tc>
        <w:tc>
          <w:tcPr>
            <w:tcW w:w="241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60 minut</w:t>
            </w:r>
          </w:p>
        </w:tc>
      </w:tr>
      <w:tr w:rsidR="00215B20">
        <w:tblPrEx>
          <w:tblCellMar>
            <w:top w:w="0" w:type="dxa"/>
            <w:bottom w:w="0" w:type="dxa"/>
          </w:tblCellMar>
        </w:tblPrEx>
        <w:trPr>
          <w:trHeight w:hRule="exact" w:val="326"/>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Doba reakce u Poruchy 2</w:t>
            </w:r>
          </w:p>
        </w:tc>
        <w:tc>
          <w:tcPr>
            <w:tcW w:w="239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6 hodin</w:t>
            </w:r>
          </w:p>
        </w:tc>
        <w:tc>
          <w:tcPr>
            <w:tcW w:w="240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3 hodiny</w:t>
            </w:r>
          </w:p>
        </w:tc>
        <w:tc>
          <w:tcPr>
            <w:tcW w:w="241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90 minut</w:t>
            </w:r>
          </w:p>
        </w:tc>
      </w:tr>
      <w:tr w:rsidR="00215B20">
        <w:tblPrEx>
          <w:tblCellMar>
            <w:top w:w="0" w:type="dxa"/>
            <w:bottom w:w="0" w:type="dxa"/>
          </w:tblCellMar>
        </w:tblPrEx>
        <w:trPr>
          <w:trHeight w:hRule="exact" w:val="326"/>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Doba reakce u Poruchy 3</w:t>
            </w:r>
          </w:p>
        </w:tc>
        <w:tc>
          <w:tcPr>
            <w:tcW w:w="239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8 hodin</w:t>
            </w:r>
          </w:p>
        </w:tc>
        <w:tc>
          <w:tcPr>
            <w:tcW w:w="240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6 hodin</w:t>
            </w:r>
          </w:p>
        </w:tc>
        <w:tc>
          <w:tcPr>
            <w:tcW w:w="241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4 hodiny</w:t>
            </w:r>
          </w:p>
        </w:tc>
      </w:tr>
      <w:tr w:rsidR="00215B20">
        <w:tblPrEx>
          <w:tblCellMar>
            <w:top w:w="0" w:type="dxa"/>
            <w:bottom w:w="0" w:type="dxa"/>
          </w:tblCellMar>
        </w:tblPrEx>
        <w:trPr>
          <w:trHeight w:hRule="exact" w:val="326"/>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ind w:firstLine="220"/>
              <w:rPr>
                <w:sz w:val="14"/>
                <w:szCs w:val="14"/>
              </w:rPr>
            </w:pPr>
            <w:r>
              <w:rPr>
                <w:b/>
                <w:bCs/>
                <w:sz w:val="14"/>
                <w:szCs w:val="14"/>
              </w:rPr>
              <w:t>Doba neutralizace Poruchy 1</w:t>
            </w:r>
          </w:p>
        </w:tc>
        <w:tc>
          <w:tcPr>
            <w:tcW w:w="239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72 hodin</w:t>
            </w:r>
          </w:p>
        </w:tc>
        <w:tc>
          <w:tcPr>
            <w:tcW w:w="240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36 hodin</w:t>
            </w:r>
          </w:p>
        </w:tc>
        <w:tc>
          <w:tcPr>
            <w:tcW w:w="241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8 hodin</w:t>
            </w:r>
          </w:p>
        </w:tc>
      </w:tr>
      <w:tr w:rsidR="00215B20">
        <w:tblPrEx>
          <w:tblCellMar>
            <w:top w:w="0" w:type="dxa"/>
            <w:bottom w:w="0" w:type="dxa"/>
          </w:tblCellMar>
        </w:tblPrEx>
        <w:trPr>
          <w:trHeight w:hRule="exact" w:val="322"/>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Doba neutralizace Poruchy 2</w:t>
            </w:r>
          </w:p>
        </w:tc>
        <w:tc>
          <w:tcPr>
            <w:tcW w:w="239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5 dní</w:t>
            </w:r>
          </w:p>
        </w:tc>
        <w:tc>
          <w:tcPr>
            <w:tcW w:w="240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48 hodin</w:t>
            </w:r>
          </w:p>
        </w:tc>
        <w:tc>
          <w:tcPr>
            <w:tcW w:w="241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16 hodin</w:t>
            </w:r>
          </w:p>
        </w:tc>
      </w:tr>
      <w:tr w:rsidR="00215B20">
        <w:tblPrEx>
          <w:tblCellMar>
            <w:top w:w="0" w:type="dxa"/>
            <w:bottom w:w="0" w:type="dxa"/>
          </w:tblCellMar>
        </w:tblPrEx>
        <w:trPr>
          <w:trHeight w:hRule="exact" w:val="326"/>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Doba neutralizace Poruchy 3</w:t>
            </w:r>
          </w:p>
        </w:tc>
        <w:tc>
          <w:tcPr>
            <w:tcW w:w="239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5 dní</w:t>
            </w:r>
          </w:p>
        </w:tc>
        <w:tc>
          <w:tcPr>
            <w:tcW w:w="240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5 dní</w:t>
            </w:r>
          </w:p>
        </w:tc>
        <w:tc>
          <w:tcPr>
            <w:tcW w:w="241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48 hodin</w:t>
            </w:r>
          </w:p>
        </w:tc>
      </w:tr>
      <w:tr w:rsidR="00215B20">
        <w:tblPrEx>
          <w:tblCellMar>
            <w:top w:w="0" w:type="dxa"/>
            <w:bottom w:w="0" w:type="dxa"/>
          </w:tblCellMar>
        </w:tblPrEx>
        <w:trPr>
          <w:trHeight w:hRule="exact" w:val="326"/>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ind w:firstLine="260"/>
              <w:rPr>
                <w:sz w:val="14"/>
                <w:szCs w:val="14"/>
              </w:rPr>
            </w:pPr>
            <w:r>
              <w:rPr>
                <w:b/>
                <w:bCs/>
                <w:sz w:val="14"/>
                <w:szCs w:val="14"/>
              </w:rPr>
              <w:t>Doba odstranění Poruchy 1</w:t>
            </w:r>
          </w:p>
        </w:tc>
        <w:tc>
          <w:tcPr>
            <w:tcW w:w="239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3 týdny</w:t>
            </w:r>
          </w:p>
        </w:tc>
        <w:tc>
          <w:tcPr>
            <w:tcW w:w="240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3 týdny</w:t>
            </w:r>
          </w:p>
        </w:tc>
        <w:tc>
          <w:tcPr>
            <w:tcW w:w="241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2 týdny</w:t>
            </w:r>
          </w:p>
        </w:tc>
      </w:tr>
      <w:tr w:rsidR="00215B20">
        <w:tblPrEx>
          <w:tblCellMar>
            <w:top w:w="0" w:type="dxa"/>
            <w:bottom w:w="0" w:type="dxa"/>
          </w:tblCellMar>
        </w:tblPrEx>
        <w:trPr>
          <w:trHeight w:hRule="exact" w:val="322"/>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Doba odstraněni Poruchy 2</w:t>
            </w:r>
          </w:p>
        </w:tc>
        <w:tc>
          <w:tcPr>
            <w:tcW w:w="239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6 týdnů</w:t>
            </w:r>
          </w:p>
        </w:tc>
        <w:tc>
          <w:tcPr>
            <w:tcW w:w="240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5 týdnů</w:t>
            </w:r>
          </w:p>
        </w:tc>
        <w:tc>
          <w:tcPr>
            <w:tcW w:w="241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3 týdny</w:t>
            </w:r>
          </w:p>
        </w:tc>
      </w:tr>
      <w:tr w:rsidR="00215B20">
        <w:tblPrEx>
          <w:tblCellMar>
            <w:top w:w="0" w:type="dxa"/>
            <w:bottom w:w="0" w:type="dxa"/>
          </w:tblCellMar>
        </w:tblPrEx>
        <w:trPr>
          <w:trHeight w:hRule="exact" w:val="336"/>
          <w:jc w:val="center"/>
        </w:trPr>
        <w:tc>
          <w:tcPr>
            <w:tcW w:w="2357" w:type="dxa"/>
            <w:tcBorders>
              <w:top w:val="single" w:sz="4" w:space="0" w:color="auto"/>
              <w:left w:val="single" w:sz="4" w:space="0" w:color="auto"/>
              <w:bottom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Doba odstraněni Poruchy 3</w:t>
            </w:r>
          </w:p>
        </w:tc>
        <w:tc>
          <w:tcPr>
            <w:tcW w:w="2395"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5 týdnů</w:t>
            </w:r>
          </w:p>
        </w:tc>
        <w:tc>
          <w:tcPr>
            <w:tcW w:w="2405"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5 týdnů</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3 týdny</w:t>
            </w:r>
          </w:p>
        </w:tc>
      </w:tr>
    </w:tbl>
    <w:p w:rsidR="00215B20" w:rsidRDefault="00215B20">
      <w:pPr>
        <w:spacing w:after="179" w:line="1" w:lineRule="exact"/>
      </w:pPr>
    </w:p>
    <w:p w:rsidR="00215B20" w:rsidRDefault="00FD0AA3">
      <w:pPr>
        <w:pStyle w:val="Zkladntext1"/>
        <w:shd w:val="clear" w:color="auto" w:fill="auto"/>
        <w:spacing w:after="180" w:line="254" w:lineRule="auto"/>
        <w:jc w:val="both"/>
      </w:pPr>
      <w:r>
        <w:t xml:space="preserve">Veškeré zde uvedené lhůty počínají běžet </w:t>
      </w:r>
      <w:r>
        <w:t xml:space="preserve">okamžikem doručení příslušného požadavku Smluvního partnera na </w:t>
      </w:r>
      <w:proofErr w:type="gramStart"/>
      <w:r>
        <w:t>odstraněni</w:t>
      </w:r>
      <w:proofErr w:type="gramEnd"/>
      <w:r>
        <w:t xml:space="preserve"> existující Poruchy sjednaným způsobem TMCZ.</w:t>
      </w:r>
    </w:p>
    <w:p w:rsidR="00215B20" w:rsidRDefault="00FD0AA3">
      <w:pPr>
        <w:pStyle w:val="Zkladntext1"/>
        <w:shd w:val="clear" w:color="auto" w:fill="auto"/>
        <w:spacing w:after="0"/>
        <w:jc w:val="both"/>
      </w:pPr>
      <w:r>
        <w:rPr>
          <w:b/>
          <w:bCs/>
        </w:rPr>
        <w:t xml:space="preserve">„Doba reakce” </w:t>
      </w:r>
      <w:r>
        <w:t xml:space="preserve">je maximální doba měřená od nahlášeni požadavku Smluvního partnera na </w:t>
      </w:r>
      <w:proofErr w:type="gramStart"/>
      <w:r>
        <w:t>řešeni</w:t>
      </w:r>
      <w:proofErr w:type="gramEnd"/>
      <w:r>
        <w:t xml:space="preserve"> Poruchy sjednaným způsobem do okamžiku zahájeni</w:t>
      </w:r>
      <w:r>
        <w:t xml:space="preserve"> řešeni odstraněni výpadku Služby ze strany TMCZ, jejíž doba je stanovená výše, pokud Smluvní partner sám prokazatelně neodsouhlasil prodlouženi této doby.</w:t>
      </w:r>
    </w:p>
    <w:p w:rsidR="00215B20" w:rsidRDefault="00FD0AA3">
      <w:pPr>
        <w:pStyle w:val="Zkladntext1"/>
        <w:shd w:val="clear" w:color="auto" w:fill="auto"/>
        <w:spacing w:after="180"/>
        <w:jc w:val="both"/>
      </w:pPr>
      <w:r>
        <w:rPr>
          <w:b/>
          <w:bCs/>
        </w:rPr>
        <w:t xml:space="preserve">„Čas neutralizace” </w:t>
      </w:r>
      <w:r>
        <w:t>je maximální doba měřená od nahlášeni požadavku Smluvního partnera na řešeni Poru</w:t>
      </w:r>
      <w:r>
        <w:t xml:space="preserve">chy sjednaným způsobem, do okamžiku, kdy dojde za strany TMCZ ke </w:t>
      </w:r>
      <w:proofErr w:type="gramStart"/>
      <w:r>
        <w:t>sníženi</w:t>
      </w:r>
      <w:proofErr w:type="gramEnd"/>
      <w:r>
        <w:t xml:space="preserve"> kategorie (závažnosti) Poruchy, nebo do okamžiku, kdy lze považovat Poruchu za dočasně odstraněnou, resp. kdy je Porucha vyřešena jiným náhradním způsobem.</w:t>
      </w:r>
    </w:p>
    <w:p w:rsidR="00215B20" w:rsidRDefault="00FD0AA3">
      <w:pPr>
        <w:pStyle w:val="Zkladntext1"/>
        <w:shd w:val="clear" w:color="auto" w:fill="auto"/>
        <w:spacing w:after="0" w:line="254" w:lineRule="auto"/>
        <w:ind w:firstLine="160"/>
      </w:pPr>
      <w:r>
        <w:rPr>
          <w:b/>
          <w:bCs/>
        </w:rPr>
        <w:t>Specifikace Poruch Služby T</w:t>
      </w:r>
      <w:r>
        <w:rPr>
          <w:b/>
          <w:bCs/>
        </w:rPr>
        <w:t>iskové řešeni</w:t>
      </w:r>
    </w:p>
    <w:p w:rsidR="00215B20" w:rsidRDefault="00FD0AA3">
      <w:pPr>
        <w:pStyle w:val="Zkladntext1"/>
        <w:shd w:val="clear" w:color="auto" w:fill="auto"/>
        <w:tabs>
          <w:tab w:val="left" w:pos="3690"/>
        </w:tabs>
        <w:spacing w:after="0" w:line="254" w:lineRule="auto"/>
        <w:ind w:firstLine="160"/>
      </w:pPr>
      <w:r>
        <w:rPr>
          <w:b/>
          <w:bCs/>
        </w:rPr>
        <w:t>Kategorie (závažnost) Poruchy</w:t>
      </w:r>
      <w:r>
        <w:rPr>
          <w:b/>
          <w:bCs/>
        </w:rPr>
        <w:tab/>
        <w:t>Popis</w:t>
      </w:r>
    </w:p>
    <w:p w:rsidR="00215B20" w:rsidRDefault="00FD0AA3">
      <w:pPr>
        <w:pStyle w:val="Zkladntext1"/>
        <w:shd w:val="clear" w:color="auto" w:fill="auto"/>
        <w:tabs>
          <w:tab w:val="left" w:pos="3690"/>
        </w:tabs>
        <w:spacing w:after="0" w:line="254" w:lineRule="auto"/>
        <w:ind w:firstLine="160"/>
      </w:pPr>
      <w:r>
        <w:t>Porucha 1</w:t>
      </w:r>
      <w:r>
        <w:tab/>
        <w:t>• Výpadek celého tiskového systému</w:t>
      </w:r>
    </w:p>
    <w:p w:rsidR="00215B20" w:rsidRDefault="00FD0AA3">
      <w:pPr>
        <w:pStyle w:val="Zkladntext1"/>
        <w:numPr>
          <w:ilvl w:val="0"/>
          <w:numId w:val="5"/>
        </w:numPr>
        <w:shd w:val="clear" w:color="auto" w:fill="auto"/>
        <w:tabs>
          <w:tab w:val="left" w:pos="4062"/>
        </w:tabs>
        <w:spacing w:after="180" w:line="254" w:lineRule="auto"/>
        <w:ind w:left="4040" w:hanging="340"/>
      </w:pPr>
      <w:r>
        <w:t xml:space="preserve">Nefunguje jedna nebo více z </w:t>
      </w:r>
      <w:proofErr w:type="gramStart"/>
      <w:r>
        <w:t>kritických</w:t>
      </w:r>
      <w:proofErr w:type="gramEnd"/>
      <w:r>
        <w:t xml:space="preserve"> vlastnosti tiskového systému, které znemožňuji realizovat tisky na klíčových lokalitách</w:t>
      </w:r>
    </w:p>
    <w:p w:rsidR="00215B20" w:rsidRDefault="00FD0AA3">
      <w:pPr>
        <w:pStyle w:val="Zkladntext1"/>
        <w:shd w:val="clear" w:color="auto" w:fill="auto"/>
        <w:tabs>
          <w:tab w:val="left" w:pos="3690"/>
        </w:tabs>
        <w:spacing w:after="0"/>
        <w:ind w:firstLine="160"/>
      </w:pPr>
      <w:r>
        <w:t>Porucha 2</w:t>
      </w:r>
      <w:r>
        <w:tab/>
        <w:t xml:space="preserve">• způsobuje občasné </w:t>
      </w:r>
      <w:r>
        <w:t>výpadky celého tiskového systému v délce</w:t>
      </w:r>
    </w:p>
    <w:p w:rsidR="00215B20" w:rsidRDefault="00FD0AA3">
      <w:pPr>
        <w:pStyle w:val="Zkladntext1"/>
        <w:shd w:val="clear" w:color="auto" w:fill="auto"/>
        <w:spacing w:after="0"/>
        <w:jc w:val="center"/>
      </w:pPr>
      <w:r>
        <w:t xml:space="preserve">jednoho výpadku </w:t>
      </w:r>
      <w:r>
        <w:rPr>
          <w:lang w:val="en-US" w:eastAsia="en-US" w:bidi="en-US"/>
        </w:rPr>
        <w:t xml:space="preserve">max. </w:t>
      </w:r>
      <w:r>
        <w:t>10 minut</w:t>
      </w:r>
    </w:p>
    <w:p w:rsidR="00215B20" w:rsidRDefault="00FD0AA3">
      <w:pPr>
        <w:pStyle w:val="Zkladntext1"/>
        <w:numPr>
          <w:ilvl w:val="0"/>
          <w:numId w:val="5"/>
        </w:numPr>
        <w:shd w:val="clear" w:color="auto" w:fill="auto"/>
        <w:tabs>
          <w:tab w:val="left" w:pos="4062"/>
        </w:tabs>
        <w:spacing w:after="180"/>
        <w:ind w:left="3700"/>
      </w:pPr>
      <w:r>
        <w:t>znemožňuji realizovat tisky na klíčových zařízeních</w:t>
      </w:r>
    </w:p>
    <w:p w:rsidR="00215B20" w:rsidRDefault="00FD0AA3">
      <w:pPr>
        <w:pStyle w:val="Zkladntext1"/>
        <w:shd w:val="clear" w:color="auto" w:fill="auto"/>
        <w:tabs>
          <w:tab w:val="left" w:pos="3690"/>
        </w:tabs>
        <w:spacing w:after="0"/>
        <w:ind w:firstLine="160"/>
      </w:pPr>
      <w:r>
        <w:t>Porucha 3</w:t>
      </w:r>
      <w:r>
        <w:tab/>
        <w:t>• znemožňuje realizovat tisky na lokálních zařízeních u koncových</w:t>
      </w:r>
    </w:p>
    <w:p w:rsidR="00215B20" w:rsidRDefault="00FD0AA3">
      <w:pPr>
        <w:pStyle w:val="Zkladntext1"/>
        <w:shd w:val="clear" w:color="auto" w:fill="auto"/>
        <w:spacing w:after="180"/>
        <w:ind w:left="4040"/>
      </w:pPr>
      <w:r>
        <w:t>uživatelů</w:t>
      </w:r>
    </w:p>
    <w:p w:rsidR="00215B20" w:rsidRDefault="00FD0AA3">
      <w:pPr>
        <w:pStyle w:val="Zkladntext1"/>
        <w:shd w:val="clear" w:color="auto" w:fill="auto"/>
        <w:spacing w:after="100"/>
        <w:jc w:val="both"/>
      </w:pPr>
      <w:r>
        <w:t>V případě nedodrženi kteréhokoliv sjednaného (v</w:t>
      </w:r>
      <w:r>
        <w:t xml:space="preserve"> tomto článku 5.8 uvedeného) garantovaného parametru u Služby Tiskové řešeni z důvodu zaviněni na straně TMCZ, je Smluvní partner oprávněn po TMCZ požadovat dále sjednaným způsobem smluvní pokutu. Smluvní pokuta za nedodrženi zde sjednaných garantovaných p</w:t>
      </w:r>
      <w:r>
        <w:t xml:space="preserve">arametrů u služby Tiskové řešeni je 5 % z pravidelné měsíční (měsíční paušální) ceny sjednané pro konkrétní Službu Tiskové řešeni po </w:t>
      </w:r>
      <w:proofErr w:type="gramStart"/>
      <w:r>
        <w:t>uplatněni</w:t>
      </w:r>
      <w:proofErr w:type="gramEnd"/>
      <w:r>
        <w:t xml:space="preserve"> všech sjednaných slev, a to za každé jednotlivé nedodrženi garantovaného parametru v jednom kalendářním měsíci. S</w:t>
      </w:r>
      <w:r>
        <w:t xml:space="preserve">ouhrn všech smluvních pokut za veškerá nedodrženi garantovaných parametrů SLA u jedné konkrétní Služby Tiskové řešeni může v jednom kalendářním měsíci činit maximálně 20 % z pravidelné měsíční ceny sjednané pro konkrétní Službu po </w:t>
      </w:r>
      <w:proofErr w:type="gramStart"/>
      <w:r>
        <w:t>uplatněni</w:t>
      </w:r>
      <w:proofErr w:type="gramEnd"/>
      <w:r>
        <w:t xml:space="preserve"> všech slev (max</w:t>
      </w:r>
      <w:r>
        <w:t>imální výše souhrnné smluvní pokuty za všechna nedodrženi garantovaných parametrů u jedné Služby Tiskové řešeni za kalendářní měsíc). Je-li pravidelná (měsíční paušální) cena sjednána za jiné, než měsíční poskytováni Služby, nebo neni-li pravidelná (měsíčn</w:t>
      </w:r>
      <w:r>
        <w:t xml:space="preserve">í paušální) cena u dané Služby sjednána, pak se pro účely výpočtu smluvní pokuty aplikuje způsob stanovený u smluvní pokuty za </w:t>
      </w:r>
      <w:proofErr w:type="gramStart"/>
      <w:r>
        <w:t>nedodrženi</w:t>
      </w:r>
      <w:proofErr w:type="gramEnd"/>
      <w:r>
        <w:t xml:space="preserve"> SLA (článek 4).</w:t>
      </w:r>
    </w:p>
    <w:p w:rsidR="00215B20" w:rsidRDefault="00FD0AA3">
      <w:pPr>
        <w:pStyle w:val="Nadpis60"/>
        <w:keepNext/>
        <w:keepLines/>
        <w:numPr>
          <w:ilvl w:val="1"/>
          <w:numId w:val="4"/>
        </w:numPr>
        <w:shd w:val="clear" w:color="auto" w:fill="auto"/>
        <w:tabs>
          <w:tab w:val="left" w:pos="439"/>
        </w:tabs>
        <w:spacing w:after="180" w:line="257" w:lineRule="auto"/>
      </w:pPr>
      <w:bookmarkStart w:id="122" w:name="bookmark122"/>
      <w:bookmarkStart w:id="123" w:name="bookmark123"/>
      <w:r>
        <w:t>Specifické podmínky vyhodnocovaných parametrů SLA u Služby Správa mobilních zařízeni</w:t>
      </w:r>
      <w:bookmarkEnd w:id="122"/>
      <w:bookmarkEnd w:id="123"/>
    </w:p>
    <w:p w:rsidR="00215B20" w:rsidRDefault="00FD0AA3">
      <w:pPr>
        <w:pStyle w:val="Titulektabulky0"/>
        <w:shd w:val="clear" w:color="auto" w:fill="auto"/>
        <w:ind w:left="43"/>
      </w:pPr>
      <w:r>
        <w:t xml:space="preserve">Garantované </w:t>
      </w:r>
      <w:r>
        <w:t>parametry SLA u Služby Správa mobilních zařízeni jsou definovány tyto:</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57"/>
        <w:gridCol w:w="1248"/>
        <w:gridCol w:w="1248"/>
        <w:gridCol w:w="1253"/>
        <w:gridCol w:w="1253"/>
        <w:gridCol w:w="1248"/>
        <w:gridCol w:w="1258"/>
      </w:tblGrid>
      <w:tr w:rsidR="00215B20">
        <w:tblPrEx>
          <w:tblCellMar>
            <w:top w:w="0" w:type="dxa"/>
            <w:bottom w:w="0" w:type="dxa"/>
          </w:tblCellMar>
        </w:tblPrEx>
        <w:trPr>
          <w:trHeight w:hRule="exact" w:val="331"/>
          <w:jc w:val="center"/>
        </w:trPr>
        <w:tc>
          <w:tcPr>
            <w:tcW w:w="2357" w:type="dxa"/>
            <w:shd w:val="clear" w:color="auto" w:fill="FFFFFF"/>
          </w:tcPr>
          <w:p w:rsidR="00215B20" w:rsidRDefault="00215B20">
            <w:pPr>
              <w:rPr>
                <w:sz w:val="10"/>
                <w:szCs w:val="10"/>
              </w:rPr>
            </w:pPr>
          </w:p>
        </w:tc>
        <w:tc>
          <w:tcPr>
            <w:tcW w:w="7508" w:type="dxa"/>
            <w:gridSpan w:val="6"/>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Označeni úrovně - SLA a garantované hodnoty příslušné úrovně - SLA u služby Správa mobilních zařízeni</w:t>
            </w:r>
          </w:p>
        </w:tc>
      </w:tr>
      <w:tr w:rsidR="00215B20">
        <w:tblPrEx>
          <w:tblCellMar>
            <w:top w:w="0" w:type="dxa"/>
            <w:bottom w:w="0" w:type="dxa"/>
          </w:tblCellMar>
        </w:tblPrEx>
        <w:trPr>
          <w:trHeight w:hRule="exact" w:val="326"/>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Parametry SLA</w:t>
            </w:r>
          </w:p>
        </w:tc>
        <w:tc>
          <w:tcPr>
            <w:tcW w:w="124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95,00%</w:t>
            </w:r>
          </w:p>
        </w:tc>
        <w:tc>
          <w:tcPr>
            <w:tcW w:w="124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99,00%</w:t>
            </w:r>
          </w:p>
        </w:tc>
        <w:tc>
          <w:tcPr>
            <w:tcW w:w="1253"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99,50%</w:t>
            </w:r>
          </w:p>
        </w:tc>
        <w:tc>
          <w:tcPr>
            <w:tcW w:w="1253"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99,70%</w:t>
            </w:r>
          </w:p>
        </w:tc>
        <w:tc>
          <w:tcPr>
            <w:tcW w:w="124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99,90%</w:t>
            </w:r>
          </w:p>
        </w:tc>
        <w:tc>
          <w:tcPr>
            <w:tcW w:w="1258"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99,99%</w:t>
            </w:r>
          </w:p>
        </w:tc>
      </w:tr>
      <w:tr w:rsidR="00215B20">
        <w:tblPrEx>
          <w:tblCellMar>
            <w:top w:w="0" w:type="dxa"/>
            <w:bottom w:w="0" w:type="dxa"/>
          </w:tblCellMar>
        </w:tblPrEx>
        <w:trPr>
          <w:trHeight w:hRule="exact" w:val="322"/>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Dostupnost Služby</w:t>
            </w:r>
          </w:p>
        </w:tc>
        <w:tc>
          <w:tcPr>
            <w:tcW w:w="124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95,00%</w:t>
            </w:r>
          </w:p>
        </w:tc>
        <w:tc>
          <w:tcPr>
            <w:tcW w:w="124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99,00%</w:t>
            </w:r>
          </w:p>
        </w:tc>
        <w:tc>
          <w:tcPr>
            <w:tcW w:w="12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99,50%</w:t>
            </w:r>
          </w:p>
        </w:tc>
        <w:tc>
          <w:tcPr>
            <w:tcW w:w="12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99,70%</w:t>
            </w:r>
          </w:p>
        </w:tc>
        <w:tc>
          <w:tcPr>
            <w:tcW w:w="124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99,90%</w:t>
            </w:r>
          </w:p>
        </w:tc>
        <w:tc>
          <w:tcPr>
            <w:tcW w:w="1258"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99,99%</w:t>
            </w:r>
          </w:p>
        </w:tc>
      </w:tr>
      <w:tr w:rsidR="00215B20">
        <w:tblPrEx>
          <w:tblCellMar>
            <w:top w:w="0" w:type="dxa"/>
            <w:bottom w:w="0" w:type="dxa"/>
          </w:tblCellMar>
        </w:tblPrEx>
        <w:trPr>
          <w:trHeight w:hRule="exact" w:val="326"/>
          <w:jc w:val="center"/>
        </w:trPr>
        <w:tc>
          <w:tcPr>
            <w:tcW w:w="2357"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ind w:firstLine="260"/>
              <w:rPr>
                <w:sz w:val="14"/>
                <w:szCs w:val="14"/>
              </w:rPr>
            </w:pPr>
            <w:r>
              <w:rPr>
                <w:b/>
                <w:bCs/>
                <w:sz w:val="14"/>
                <w:szCs w:val="14"/>
              </w:rPr>
              <w:t>Doba odstraněni Poruchy 1</w:t>
            </w:r>
          </w:p>
        </w:tc>
        <w:tc>
          <w:tcPr>
            <w:tcW w:w="124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2 týdny</w:t>
            </w:r>
          </w:p>
        </w:tc>
        <w:tc>
          <w:tcPr>
            <w:tcW w:w="124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2 týdny</w:t>
            </w:r>
          </w:p>
        </w:tc>
        <w:tc>
          <w:tcPr>
            <w:tcW w:w="12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 týden</w:t>
            </w:r>
          </w:p>
        </w:tc>
        <w:tc>
          <w:tcPr>
            <w:tcW w:w="12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 týden</w:t>
            </w:r>
          </w:p>
        </w:tc>
        <w:tc>
          <w:tcPr>
            <w:tcW w:w="124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3 dny</w:t>
            </w:r>
          </w:p>
        </w:tc>
        <w:tc>
          <w:tcPr>
            <w:tcW w:w="1258"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3 dny</w:t>
            </w:r>
          </w:p>
        </w:tc>
      </w:tr>
      <w:tr w:rsidR="00215B20">
        <w:tblPrEx>
          <w:tblCellMar>
            <w:top w:w="0" w:type="dxa"/>
            <w:bottom w:w="0" w:type="dxa"/>
          </w:tblCellMar>
        </w:tblPrEx>
        <w:trPr>
          <w:trHeight w:hRule="exact" w:val="336"/>
          <w:jc w:val="center"/>
        </w:trPr>
        <w:tc>
          <w:tcPr>
            <w:tcW w:w="2357" w:type="dxa"/>
            <w:tcBorders>
              <w:top w:val="single" w:sz="4" w:space="0" w:color="auto"/>
              <w:left w:val="single" w:sz="4" w:space="0" w:color="auto"/>
              <w:bottom w:val="single" w:sz="4" w:space="0" w:color="auto"/>
            </w:tcBorders>
            <w:shd w:val="clear" w:color="auto" w:fill="D3D5D7"/>
            <w:vAlign w:val="center"/>
          </w:tcPr>
          <w:p w:rsidR="00215B20" w:rsidRDefault="00FD0AA3">
            <w:pPr>
              <w:pStyle w:val="Jin0"/>
              <w:shd w:val="clear" w:color="auto" w:fill="auto"/>
              <w:spacing w:after="0" w:line="240" w:lineRule="auto"/>
              <w:jc w:val="center"/>
              <w:rPr>
                <w:sz w:val="14"/>
                <w:szCs w:val="14"/>
              </w:rPr>
            </w:pPr>
            <w:r>
              <w:rPr>
                <w:b/>
                <w:bCs/>
                <w:sz w:val="14"/>
                <w:szCs w:val="14"/>
              </w:rPr>
              <w:t>Doba odstraněni Poruchy 2</w:t>
            </w:r>
          </w:p>
        </w:tc>
        <w:tc>
          <w:tcPr>
            <w:tcW w:w="1248"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5 týdnů</w:t>
            </w:r>
          </w:p>
        </w:tc>
        <w:tc>
          <w:tcPr>
            <w:tcW w:w="1248"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5 týdnů</w:t>
            </w:r>
          </w:p>
        </w:tc>
        <w:tc>
          <w:tcPr>
            <w:tcW w:w="1253"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2 týdny</w:t>
            </w:r>
          </w:p>
        </w:tc>
        <w:tc>
          <w:tcPr>
            <w:tcW w:w="1253"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2 týdny</w:t>
            </w:r>
          </w:p>
        </w:tc>
        <w:tc>
          <w:tcPr>
            <w:tcW w:w="1248"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 týden</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 týden</w:t>
            </w:r>
          </w:p>
        </w:tc>
      </w:tr>
    </w:tbl>
    <w:p w:rsidR="00215B20" w:rsidRDefault="00215B20">
      <w:pPr>
        <w:sectPr w:rsidR="00215B20">
          <w:headerReference w:type="even" r:id="rId51"/>
          <w:headerReference w:type="default" r:id="rId52"/>
          <w:footerReference w:type="even" r:id="rId53"/>
          <w:footerReference w:type="default" r:id="rId54"/>
          <w:pgSz w:w="11900" w:h="16840"/>
          <w:pgMar w:top="428" w:right="973" w:bottom="884" w:left="1064" w:header="0" w:footer="3" w:gutter="0"/>
          <w:cols w:space="720"/>
          <w:noEndnote/>
          <w:docGrid w:linePitch="360"/>
        </w:sectPr>
      </w:pPr>
    </w:p>
    <w:p w:rsidR="00215B20" w:rsidRDefault="00FD0AA3">
      <w:pPr>
        <w:pStyle w:val="Zkladntext1"/>
        <w:shd w:val="clear" w:color="auto" w:fill="auto"/>
        <w:spacing w:after="80"/>
      </w:pPr>
      <w:r>
        <w:lastRenderedPageBreak/>
        <w:t>Platnost od 01. 09. 2021</w:t>
      </w:r>
    </w:p>
    <w:p w:rsidR="00215B20" w:rsidRDefault="00FD0AA3">
      <w:pPr>
        <w:pStyle w:val="Zkladntext1"/>
        <w:shd w:val="clear" w:color="auto" w:fill="auto"/>
        <w:spacing w:after="180" w:line="254" w:lineRule="auto"/>
        <w:jc w:val="both"/>
      </w:pPr>
      <w:r>
        <w:t xml:space="preserve">Veškeré zde uvedené lhůty počínají běžet okamžikem doručení příslušného požadavku </w:t>
      </w:r>
      <w:r>
        <w:t>Smluvního partnera na odstranění existující Poruchy sjednaným způsobem TMCZ.</w:t>
      </w:r>
    </w:p>
    <w:p w:rsidR="00215B20" w:rsidRDefault="00FD0AA3">
      <w:pPr>
        <w:pStyle w:val="Zkladntext1"/>
        <w:shd w:val="clear" w:color="auto" w:fill="auto"/>
        <w:spacing w:after="0" w:line="262" w:lineRule="auto"/>
      </w:pPr>
      <w:r>
        <w:t>Kategorie Poruchy Služby:</w:t>
      </w:r>
    </w:p>
    <w:p w:rsidR="00215B20" w:rsidRDefault="00FD0AA3">
      <w:pPr>
        <w:pStyle w:val="Zkladntext1"/>
        <w:shd w:val="clear" w:color="auto" w:fill="auto"/>
        <w:spacing w:after="80" w:line="262" w:lineRule="auto"/>
      </w:pPr>
      <w:r>
        <w:t xml:space="preserve">Porucha 1 Výpadek systému - nefunguje jedna nebo více z kritických vlastností systému (závažný pokles kvality, závažné nedostatky) Porucha 2 - způsobuje </w:t>
      </w:r>
      <w:r>
        <w:t>občasné výpadky Služby (restarty)</w:t>
      </w:r>
    </w:p>
    <w:p w:rsidR="00215B20" w:rsidRDefault="00FD0AA3">
      <w:pPr>
        <w:pStyle w:val="Nadpis60"/>
        <w:keepNext/>
        <w:keepLines/>
        <w:numPr>
          <w:ilvl w:val="1"/>
          <w:numId w:val="4"/>
        </w:numPr>
        <w:shd w:val="clear" w:color="auto" w:fill="auto"/>
        <w:tabs>
          <w:tab w:val="left" w:pos="518"/>
        </w:tabs>
        <w:spacing w:after="80" w:line="257" w:lineRule="auto"/>
      </w:pPr>
      <w:bookmarkStart w:id="124" w:name="bookmark124"/>
      <w:bookmarkStart w:id="125" w:name="bookmark125"/>
      <w:r>
        <w:t xml:space="preserve">Specifické podmínky a rozsah technické podpory vyhodnocovaných parametrů SLA u Služby </w:t>
      </w:r>
      <w:r>
        <w:rPr>
          <w:lang w:val="en-US" w:eastAsia="en-US" w:bidi="en-US"/>
        </w:rPr>
        <w:t>Managed Firewall</w:t>
      </w:r>
      <w:bookmarkEnd w:id="124"/>
      <w:bookmarkEnd w:id="125"/>
    </w:p>
    <w:p w:rsidR="00215B20" w:rsidRDefault="00FD0AA3">
      <w:pPr>
        <w:pStyle w:val="Zkladntext1"/>
        <w:shd w:val="clear" w:color="auto" w:fill="auto"/>
        <w:spacing w:after="180"/>
        <w:jc w:val="both"/>
      </w:pPr>
      <w:r>
        <w:t xml:space="preserve">Garantované parametry SLA u Služby </w:t>
      </w:r>
      <w:r>
        <w:rPr>
          <w:lang w:val="en-US" w:eastAsia="en-US" w:bidi="en-US"/>
        </w:rPr>
        <w:t xml:space="preserve">Managed Firewall </w:t>
      </w:r>
      <w:r>
        <w:t xml:space="preserve">jsou nabízeny ve 3 variantách - </w:t>
      </w:r>
      <w:r>
        <w:rPr>
          <w:lang w:val="en-US" w:eastAsia="en-US" w:bidi="en-US"/>
        </w:rPr>
        <w:t xml:space="preserve">Standard, Premium </w:t>
      </w:r>
      <w:r>
        <w:t>nebo Nonstop. Par</w:t>
      </w:r>
      <w:r>
        <w:t xml:space="preserve">ametry varianty SLA - Standard jsou součástí standardní Služby </w:t>
      </w:r>
      <w:r w:rsidRPr="00920265">
        <w:rPr>
          <w:lang w:eastAsia="en-US" w:bidi="en-US"/>
        </w:rPr>
        <w:t xml:space="preserve">Managed Firewall </w:t>
      </w:r>
      <w:r>
        <w:t xml:space="preserve">a parametry varianty SLA - </w:t>
      </w:r>
      <w:r w:rsidRPr="00920265">
        <w:rPr>
          <w:lang w:eastAsia="en-US" w:bidi="en-US"/>
        </w:rPr>
        <w:t xml:space="preserve">Premium </w:t>
      </w:r>
      <w:r>
        <w:t>nebo Nonstop jsou k dispozici na základě výslovného požadavku Smluvního partnera (ujednání se Smluvním partnerem) za příplatek k pravidelné m</w:t>
      </w:r>
      <w:r>
        <w:t xml:space="preserve">ěsíční (paušální měsíční) ceně stanovený v platném Ceníku služby </w:t>
      </w:r>
      <w:r w:rsidRPr="00920265">
        <w:rPr>
          <w:lang w:eastAsia="en-US" w:bidi="en-US"/>
        </w:rPr>
        <w:t xml:space="preserve">Managed Firewall, </w:t>
      </w:r>
      <w:r>
        <w:t>popř. stanovený výslovně smluvními stranami ve Smlouvě/Specifikaci služby.</w:t>
      </w:r>
    </w:p>
    <w:p w:rsidR="00215B20" w:rsidRDefault="00FD0AA3">
      <w:pPr>
        <w:pStyle w:val="Nadpis60"/>
        <w:keepNext/>
        <w:keepLines/>
        <w:shd w:val="clear" w:color="auto" w:fill="auto"/>
        <w:spacing w:after="0" w:line="257" w:lineRule="auto"/>
        <w:jc w:val="both"/>
      </w:pPr>
      <w:bookmarkStart w:id="126" w:name="bookmark126"/>
      <w:bookmarkStart w:id="127" w:name="bookmark127"/>
      <w:r>
        <w:rPr>
          <w:color w:val="231F20"/>
        </w:rPr>
        <w:t xml:space="preserve">Varianty garantovaných parametrů SLA u Služby </w:t>
      </w:r>
      <w:r>
        <w:rPr>
          <w:color w:val="231F20"/>
          <w:lang w:val="en-US" w:eastAsia="en-US" w:bidi="en-US"/>
        </w:rPr>
        <w:t>Managed Firewall</w:t>
      </w:r>
      <w:bookmarkEnd w:id="126"/>
      <w:bookmarkEnd w:id="127"/>
    </w:p>
    <w:p w:rsidR="00215B20" w:rsidRDefault="00FD0AA3">
      <w:pPr>
        <w:pStyle w:val="Zkladntext1"/>
        <w:shd w:val="clear" w:color="auto" w:fill="auto"/>
        <w:spacing w:after="240"/>
        <w:jc w:val="both"/>
      </w:pPr>
      <w:r>
        <w:t xml:space="preserve">TMCZ poskytuje Smluvnímu partnerovi následující garantované parametry SLA u Služby </w:t>
      </w:r>
      <w:r w:rsidRPr="00920265">
        <w:rPr>
          <w:lang w:eastAsia="en-US" w:bidi="en-US"/>
        </w:rPr>
        <w:t xml:space="preserve">Managed Firewall </w:t>
      </w:r>
      <w:r>
        <w:t xml:space="preserve">(konkrétní sjednaná varianta garantovaných parametrů Služby je sjednána ve Smlouvě/Specifikaci služby, a pokud výslovně sjednána není, tak </w:t>
      </w:r>
      <w:proofErr w:type="gramStart"/>
      <w:r>
        <w:t>se</w:t>
      </w:r>
      <w:proofErr w:type="gramEnd"/>
      <w:r>
        <w:t xml:space="preserve"> je automaticky</w:t>
      </w:r>
      <w:r>
        <w:t xml:space="preserve"> sjednána varianta Standard):</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62"/>
        <w:gridCol w:w="1541"/>
        <w:gridCol w:w="1603"/>
        <w:gridCol w:w="1618"/>
      </w:tblGrid>
      <w:tr w:rsidR="00215B20">
        <w:tblPrEx>
          <w:tblCellMar>
            <w:top w:w="0" w:type="dxa"/>
            <w:bottom w:w="0" w:type="dxa"/>
          </w:tblCellMar>
        </w:tblPrEx>
        <w:trPr>
          <w:trHeight w:hRule="exact" w:val="398"/>
          <w:jc w:val="center"/>
        </w:trPr>
        <w:tc>
          <w:tcPr>
            <w:tcW w:w="4762"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pPr>
            <w:r>
              <w:rPr>
                <w:b/>
                <w:bCs/>
              </w:rPr>
              <w:t>Garantované parametry Služby</w:t>
            </w:r>
          </w:p>
        </w:tc>
        <w:tc>
          <w:tcPr>
            <w:tcW w:w="1541"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pPr>
            <w:r>
              <w:rPr>
                <w:b/>
                <w:bCs/>
              </w:rPr>
              <w:t>Standard</w:t>
            </w:r>
          </w:p>
        </w:tc>
        <w:tc>
          <w:tcPr>
            <w:tcW w:w="1603"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pPr>
            <w:r>
              <w:rPr>
                <w:b/>
                <w:bCs/>
                <w:lang w:val="en-US" w:eastAsia="en-US" w:bidi="en-US"/>
              </w:rPr>
              <w:t>Premium</w:t>
            </w:r>
          </w:p>
        </w:tc>
        <w:tc>
          <w:tcPr>
            <w:tcW w:w="1618"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pPr>
            <w:r>
              <w:rPr>
                <w:b/>
                <w:bCs/>
              </w:rPr>
              <w:t>Nonstop</w:t>
            </w:r>
          </w:p>
        </w:tc>
      </w:tr>
      <w:tr w:rsidR="00215B20">
        <w:tblPrEx>
          <w:tblCellMar>
            <w:top w:w="0" w:type="dxa"/>
            <w:bottom w:w="0" w:type="dxa"/>
          </w:tblCellMar>
        </w:tblPrEx>
        <w:trPr>
          <w:trHeight w:hRule="exact" w:val="581"/>
          <w:jc w:val="center"/>
        </w:trPr>
        <w:tc>
          <w:tcPr>
            <w:tcW w:w="4762"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54" w:lineRule="auto"/>
              <w:rPr>
                <w:sz w:val="13"/>
                <w:szCs w:val="13"/>
              </w:rPr>
            </w:pPr>
            <w:r>
              <w:rPr>
                <w:sz w:val="13"/>
                <w:szCs w:val="13"/>
              </w:rPr>
              <w:t>Doba reakce (zahájení řešení odstranění Poruchy Služby)</w:t>
            </w:r>
          </w:p>
          <w:p w:rsidR="00215B20" w:rsidRDefault="00FD0AA3">
            <w:pPr>
              <w:pStyle w:val="Jin0"/>
              <w:shd w:val="clear" w:color="auto" w:fill="auto"/>
              <w:spacing w:after="0" w:line="254" w:lineRule="auto"/>
              <w:rPr>
                <w:sz w:val="13"/>
                <w:szCs w:val="13"/>
              </w:rPr>
            </w:pPr>
            <w:r>
              <w:rPr>
                <w:sz w:val="13"/>
                <w:szCs w:val="13"/>
              </w:rPr>
              <w:t>V pracovní době (</w:t>
            </w:r>
            <w:proofErr w:type="gramStart"/>
            <w:r>
              <w:rPr>
                <w:sz w:val="13"/>
                <w:szCs w:val="13"/>
              </w:rPr>
              <w:t>tzn.v pracovní</w:t>
            </w:r>
            <w:proofErr w:type="gramEnd"/>
            <w:r>
              <w:rPr>
                <w:sz w:val="13"/>
                <w:szCs w:val="13"/>
              </w:rPr>
              <w:t xml:space="preserve"> dny od 8:00 do 18:00)/mimo pracovní dobu (tzn. mimo pracovní dny a v pracovní dny </w:t>
            </w:r>
            <w:r>
              <w:rPr>
                <w:sz w:val="13"/>
                <w:szCs w:val="13"/>
              </w:rPr>
              <w:t>od 18:00 do 8:00)*</w:t>
            </w:r>
          </w:p>
        </w:tc>
        <w:tc>
          <w:tcPr>
            <w:tcW w:w="154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3 hodiny /</w:t>
            </w:r>
          </w:p>
          <w:p w:rsidR="00215B20" w:rsidRDefault="00FD0AA3">
            <w:pPr>
              <w:pStyle w:val="Jin0"/>
              <w:shd w:val="clear" w:color="auto" w:fill="auto"/>
              <w:spacing w:after="0" w:line="240" w:lineRule="auto"/>
              <w:jc w:val="center"/>
              <w:rPr>
                <w:sz w:val="13"/>
                <w:szCs w:val="13"/>
              </w:rPr>
            </w:pPr>
            <w:r>
              <w:rPr>
                <w:sz w:val="13"/>
                <w:szCs w:val="13"/>
              </w:rPr>
              <w:t>6 hodin *</w:t>
            </w:r>
          </w:p>
        </w:tc>
        <w:tc>
          <w:tcPr>
            <w:tcW w:w="160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2 hodiny /</w:t>
            </w:r>
          </w:p>
          <w:p w:rsidR="00215B20" w:rsidRDefault="00FD0AA3">
            <w:pPr>
              <w:pStyle w:val="Jin0"/>
              <w:shd w:val="clear" w:color="auto" w:fill="auto"/>
              <w:spacing w:after="0" w:line="240" w:lineRule="auto"/>
              <w:jc w:val="center"/>
              <w:rPr>
                <w:sz w:val="13"/>
                <w:szCs w:val="13"/>
              </w:rPr>
            </w:pPr>
            <w:r>
              <w:rPr>
                <w:sz w:val="13"/>
                <w:szCs w:val="13"/>
              </w:rPr>
              <w:t>5 hodin *</w:t>
            </w:r>
          </w:p>
        </w:tc>
        <w:tc>
          <w:tcPr>
            <w:tcW w:w="1618"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 hodina /</w:t>
            </w:r>
          </w:p>
          <w:p w:rsidR="00215B20" w:rsidRDefault="00FD0AA3">
            <w:pPr>
              <w:pStyle w:val="Jin0"/>
              <w:shd w:val="clear" w:color="auto" w:fill="auto"/>
              <w:spacing w:after="0" w:line="240" w:lineRule="auto"/>
              <w:jc w:val="center"/>
              <w:rPr>
                <w:sz w:val="13"/>
                <w:szCs w:val="13"/>
              </w:rPr>
            </w:pPr>
            <w:r>
              <w:rPr>
                <w:sz w:val="13"/>
                <w:szCs w:val="13"/>
              </w:rPr>
              <w:t>4 hodiny *</w:t>
            </w:r>
          </w:p>
        </w:tc>
      </w:tr>
      <w:tr w:rsidR="00215B20">
        <w:tblPrEx>
          <w:tblCellMar>
            <w:top w:w="0" w:type="dxa"/>
            <w:bottom w:w="0" w:type="dxa"/>
          </w:tblCellMar>
        </w:tblPrEx>
        <w:trPr>
          <w:trHeight w:hRule="exact" w:val="576"/>
          <w:jc w:val="center"/>
        </w:trPr>
        <w:tc>
          <w:tcPr>
            <w:tcW w:w="47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62" w:lineRule="auto"/>
              <w:rPr>
                <w:sz w:val="13"/>
                <w:szCs w:val="13"/>
              </w:rPr>
            </w:pPr>
            <w:r>
              <w:rPr>
                <w:sz w:val="13"/>
                <w:szCs w:val="13"/>
              </w:rPr>
              <w:t>Maximální doba odstranění Poruchy pro dedikovaný / sdílený model Služby - pro zařízení umístěná v datových centrech TMCZ v Praze</w:t>
            </w:r>
          </w:p>
        </w:tc>
        <w:tc>
          <w:tcPr>
            <w:tcW w:w="154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18 hodin / 9 hodin</w:t>
            </w:r>
          </w:p>
        </w:tc>
        <w:tc>
          <w:tcPr>
            <w:tcW w:w="160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12 hodin / 6 hodin</w:t>
            </w:r>
          </w:p>
        </w:tc>
        <w:tc>
          <w:tcPr>
            <w:tcW w:w="1618"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 xml:space="preserve">9 </w:t>
            </w:r>
            <w:r>
              <w:rPr>
                <w:sz w:val="13"/>
                <w:szCs w:val="13"/>
              </w:rPr>
              <w:t>hodin / 6 hodin</w:t>
            </w:r>
          </w:p>
        </w:tc>
      </w:tr>
      <w:tr w:rsidR="00215B20">
        <w:tblPrEx>
          <w:tblCellMar>
            <w:top w:w="0" w:type="dxa"/>
            <w:bottom w:w="0" w:type="dxa"/>
          </w:tblCellMar>
        </w:tblPrEx>
        <w:trPr>
          <w:trHeight w:hRule="exact" w:val="576"/>
          <w:jc w:val="center"/>
        </w:trPr>
        <w:tc>
          <w:tcPr>
            <w:tcW w:w="47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3"/>
                <w:szCs w:val="13"/>
              </w:rPr>
            </w:pPr>
            <w:r>
              <w:rPr>
                <w:sz w:val="13"/>
                <w:szCs w:val="13"/>
              </w:rPr>
              <w:t>Maximální doba odstranění Poruchy Služby</w:t>
            </w:r>
          </w:p>
          <w:p w:rsidR="00215B20" w:rsidRDefault="00FD0AA3">
            <w:pPr>
              <w:pStyle w:val="Jin0"/>
              <w:shd w:val="clear" w:color="auto" w:fill="auto"/>
              <w:spacing w:after="0" w:line="240" w:lineRule="auto"/>
              <w:rPr>
                <w:sz w:val="13"/>
                <w:szCs w:val="13"/>
              </w:rPr>
            </w:pPr>
            <w:r>
              <w:rPr>
                <w:sz w:val="13"/>
                <w:szCs w:val="13"/>
              </w:rPr>
              <w:t>- pro zařízení umístěná kdekoliv v České republice</w:t>
            </w:r>
          </w:p>
        </w:tc>
        <w:tc>
          <w:tcPr>
            <w:tcW w:w="154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24 hodin</w:t>
            </w:r>
          </w:p>
        </w:tc>
        <w:tc>
          <w:tcPr>
            <w:tcW w:w="160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18 hodin</w:t>
            </w:r>
          </w:p>
        </w:tc>
        <w:tc>
          <w:tcPr>
            <w:tcW w:w="1618"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12 hodin</w:t>
            </w:r>
          </w:p>
        </w:tc>
      </w:tr>
      <w:tr w:rsidR="00215B20">
        <w:tblPrEx>
          <w:tblCellMar>
            <w:top w:w="0" w:type="dxa"/>
            <w:bottom w:w="0" w:type="dxa"/>
          </w:tblCellMar>
        </w:tblPrEx>
        <w:trPr>
          <w:trHeight w:hRule="exact" w:val="576"/>
          <w:jc w:val="center"/>
        </w:trPr>
        <w:tc>
          <w:tcPr>
            <w:tcW w:w="476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3"/>
                <w:szCs w:val="13"/>
              </w:rPr>
            </w:pPr>
            <w:r>
              <w:rPr>
                <w:sz w:val="13"/>
                <w:szCs w:val="13"/>
              </w:rPr>
              <w:t>Zákaznická a technická podpora Služby na místě</w:t>
            </w:r>
          </w:p>
        </w:tc>
        <w:tc>
          <w:tcPr>
            <w:tcW w:w="154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24 hodin</w:t>
            </w:r>
          </w:p>
        </w:tc>
        <w:tc>
          <w:tcPr>
            <w:tcW w:w="160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18 hodin</w:t>
            </w:r>
          </w:p>
        </w:tc>
        <w:tc>
          <w:tcPr>
            <w:tcW w:w="1618"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12 hodin</w:t>
            </w:r>
          </w:p>
        </w:tc>
      </w:tr>
      <w:tr w:rsidR="00215B20">
        <w:tblPrEx>
          <w:tblCellMar>
            <w:top w:w="0" w:type="dxa"/>
            <w:bottom w:w="0" w:type="dxa"/>
          </w:tblCellMar>
        </w:tblPrEx>
        <w:trPr>
          <w:trHeight w:hRule="exact" w:val="586"/>
          <w:jc w:val="center"/>
        </w:trPr>
        <w:tc>
          <w:tcPr>
            <w:tcW w:w="4762"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rPr>
                <w:sz w:val="13"/>
                <w:szCs w:val="13"/>
              </w:rPr>
            </w:pPr>
            <w:r>
              <w:rPr>
                <w:sz w:val="13"/>
                <w:szCs w:val="13"/>
              </w:rPr>
              <w:t xml:space="preserve">Sdílená varianta Služby má definovaný čas </w:t>
            </w:r>
            <w:r>
              <w:rPr>
                <w:sz w:val="13"/>
                <w:szCs w:val="13"/>
              </w:rPr>
              <w:t>pro plánovanou údržbu</w:t>
            </w:r>
          </w:p>
        </w:tc>
        <w:tc>
          <w:tcPr>
            <w:tcW w:w="1541"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 xml:space="preserve">max. </w:t>
            </w:r>
            <w:r>
              <w:rPr>
                <w:sz w:val="13"/>
                <w:szCs w:val="13"/>
              </w:rPr>
              <w:t>do 2h/měsíc</w:t>
            </w:r>
          </w:p>
        </w:tc>
        <w:tc>
          <w:tcPr>
            <w:tcW w:w="1603"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 xml:space="preserve">max. </w:t>
            </w:r>
            <w:r>
              <w:rPr>
                <w:sz w:val="13"/>
                <w:szCs w:val="13"/>
              </w:rPr>
              <w:t>do 2h/měsíc</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lang w:val="en-US" w:eastAsia="en-US" w:bidi="en-US"/>
              </w:rPr>
              <w:t xml:space="preserve">max. </w:t>
            </w:r>
            <w:r>
              <w:rPr>
                <w:sz w:val="13"/>
                <w:szCs w:val="13"/>
              </w:rPr>
              <w:t>do 2h/měsíc</w:t>
            </w:r>
          </w:p>
        </w:tc>
      </w:tr>
    </w:tbl>
    <w:p w:rsidR="00215B20" w:rsidRDefault="00215B20">
      <w:pPr>
        <w:spacing w:after="239" w:line="1" w:lineRule="exact"/>
      </w:pPr>
    </w:p>
    <w:p w:rsidR="00215B20" w:rsidRDefault="00FD0AA3">
      <w:pPr>
        <w:pStyle w:val="Zkladntext1"/>
        <w:shd w:val="clear" w:color="auto" w:fill="auto"/>
        <w:spacing w:after="180" w:line="254" w:lineRule="auto"/>
        <w:jc w:val="both"/>
      </w:pPr>
      <w:r>
        <w:t xml:space="preserve">Veškeré zde uvedené lhůty počínají běžet okamžikem doručení příslušného požadavku Smluvního partnera (na odstranění existující Poruchy nebo na zákaznickou a technickou podporu </w:t>
      </w:r>
      <w:r>
        <w:t>Služby na místě) sjednaným způsobem TMCZ.</w:t>
      </w:r>
    </w:p>
    <w:p w:rsidR="00215B20" w:rsidRDefault="00FD0AA3">
      <w:pPr>
        <w:pStyle w:val="Zkladntext1"/>
        <w:shd w:val="clear" w:color="auto" w:fill="auto"/>
        <w:spacing w:after="180" w:line="254" w:lineRule="auto"/>
        <w:jc w:val="both"/>
      </w:pPr>
      <w:r>
        <w:t>„Doba reakce” je maximální doba měřená od nahlášení požadavku Smluvního partnera na řešení Poruchy sjednaným způsobem do okamžiku zahájení řešení odstranění Poruchy Služby ze strany TMCZ, jejíž doba je stanovená vý</w:t>
      </w:r>
      <w:r>
        <w:t>še, pokud Smluvní partner sám prokazatelně neodsouhlasil prodloužení této doby.</w:t>
      </w:r>
    </w:p>
    <w:p w:rsidR="00215B20" w:rsidRDefault="00FD0AA3">
      <w:pPr>
        <w:pStyle w:val="Zkladntext1"/>
        <w:shd w:val="clear" w:color="auto" w:fill="auto"/>
        <w:spacing w:after="280"/>
        <w:jc w:val="both"/>
      </w:pPr>
      <w:r>
        <w:t xml:space="preserve">V případě nedodržení kteréhokoliv sjednaného (v tomto článku 5.11 uvedeného) garantovaného parametru SLA u Služby </w:t>
      </w:r>
      <w:r w:rsidRPr="00920265">
        <w:rPr>
          <w:lang w:eastAsia="en-US" w:bidi="en-US"/>
        </w:rPr>
        <w:t xml:space="preserve">Managed Firewall </w:t>
      </w:r>
      <w:r>
        <w:t xml:space="preserve">z důvodu zavinění na straně TMCZ, je Smluvní </w:t>
      </w:r>
      <w:r>
        <w:t>partner oprávněn po TMCZ požadovat dále sjednaným způsobem smluvní pokutu ve výši 200,- Kč za každou i za počatou hodinu prodlení u jednotlivého nedodrženého garantovaného parametru SLA. Souhrn všech smluvních sankcí za veškerá nedodržení kterýchkoli garan</w:t>
      </w:r>
      <w:r>
        <w:t xml:space="preserve">tovaných parametrů Služby </w:t>
      </w:r>
      <w:r w:rsidRPr="00920265">
        <w:rPr>
          <w:lang w:eastAsia="en-US" w:bidi="en-US"/>
        </w:rPr>
        <w:t xml:space="preserve">Managed Firewall </w:t>
      </w:r>
      <w:r>
        <w:t xml:space="preserve">v jednom kalendářním měsíci může činit maximálně výši sjednané pravidelné měsíční (měsíční paušální) ceny za poskytování (provoz) sjednané Služby </w:t>
      </w:r>
      <w:r w:rsidRPr="00920265">
        <w:rPr>
          <w:lang w:eastAsia="en-US" w:bidi="en-US"/>
        </w:rPr>
        <w:t xml:space="preserve">Managed Firewall </w:t>
      </w:r>
      <w:r>
        <w:t>po uplatnění všech sjednaných slev (maximální výše</w:t>
      </w:r>
      <w:r>
        <w:t xml:space="preserve"> souhrnné smluvní pokuty za všechna nedodržení garantovaných parametrů SLA u jedné Služby </w:t>
      </w:r>
      <w:r w:rsidRPr="00920265">
        <w:rPr>
          <w:lang w:eastAsia="en-US" w:bidi="en-US"/>
        </w:rPr>
        <w:t xml:space="preserve">Managed Firewall </w:t>
      </w:r>
      <w:r>
        <w:t>za kalendářní měsíc). Je-li pravidelná (měsíční paušální) cena sjednána za jiné, než měsíční poskytování Služby, nebo není-li pravidelná (měsíční pau</w:t>
      </w:r>
      <w:r>
        <w:t>šální) cena u dané Služby sjednána, pak se pro účely výpočtu smluvní pokuty aplikuje způsob stanovený u smluvní pokuty za nedodržení SLA (článek 4).</w:t>
      </w:r>
    </w:p>
    <w:p w:rsidR="00215B20" w:rsidRDefault="00FD0AA3">
      <w:pPr>
        <w:pStyle w:val="Nadpis60"/>
        <w:keepNext/>
        <w:keepLines/>
        <w:numPr>
          <w:ilvl w:val="1"/>
          <w:numId w:val="4"/>
        </w:numPr>
        <w:shd w:val="clear" w:color="auto" w:fill="auto"/>
        <w:tabs>
          <w:tab w:val="left" w:pos="518"/>
        </w:tabs>
        <w:spacing w:after="80" w:line="240" w:lineRule="auto"/>
      </w:pPr>
      <w:bookmarkStart w:id="128" w:name="bookmark128"/>
      <w:bookmarkStart w:id="129" w:name="bookmark129"/>
      <w:r>
        <w:t>Specifické podmínky vyhodnocovaných parametrů SLA u Služby DDoS ochrana</w:t>
      </w:r>
      <w:bookmarkEnd w:id="128"/>
      <w:bookmarkEnd w:id="129"/>
    </w:p>
    <w:p w:rsidR="00215B20" w:rsidRDefault="00FD0AA3">
      <w:pPr>
        <w:pStyle w:val="Zkladntext1"/>
        <w:shd w:val="clear" w:color="auto" w:fill="auto"/>
        <w:spacing w:after="180" w:line="240" w:lineRule="auto"/>
      </w:pPr>
      <w:r>
        <w:t xml:space="preserve">Služba DDoS ochrany je k dispozici </w:t>
      </w:r>
      <w:r>
        <w:t xml:space="preserve">ve 3 variantách: Bronze, </w:t>
      </w:r>
      <w:r>
        <w:rPr>
          <w:lang w:val="en-US" w:eastAsia="en-US" w:bidi="en-US"/>
        </w:rPr>
        <w:t>Silver a Gold</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68"/>
        <w:gridCol w:w="1555"/>
        <w:gridCol w:w="1560"/>
        <w:gridCol w:w="1565"/>
      </w:tblGrid>
      <w:tr w:rsidR="00215B20">
        <w:tblPrEx>
          <w:tblCellMar>
            <w:top w:w="0" w:type="dxa"/>
            <w:bottom w:w="0" w:type="dxa"/>
          </w:tblCellMar>
        </w:tblPrEx>
        <w:trPr>
          <w:trHeight w:hRule="exact" w:val="403"/>
          <w:jc w:val="center"/>
        </w:trPr>
        <w:tc>
          <w:tcPr>
            <w:tcW w:w="4968"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pPr>
            <w:r>
              <w:rPr>
                <w:b/>
                <w:bCs/>
              </w:rPr>
              <w:t>Funkce / parametr</w:t>
            </w:r>
          </w:p>
        </w:tc>
        <w:tc>
          <w:tcPr>
            <w:tcW w:w="1555"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pPr>
            <w:r>
              <w:rPr>
                <w:b/>
                <w:bCs/>
              </w:rPr>
              <w:t>Bronze</w:t>
            </w:r>
          </w:p>
        </w:tc>
        <w:tc>
          <w:tcPr>
            <w:tcW w:w="1560"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pPr>
            <w:r>
              <w:rPr>
                <w:b/>
                <w:bCs/>
                <w:lang w:val="en-US" w:eastAsia="en-US" w:bidi="en-US"/>
              </w:rPr>
              <w:t>Silver</w:t>
            </w:r>
          </w:p>
        </w:tc>
        <w:tc>
          <w:tcPr>
            <w:tcW w:w="1565"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pPr>
            <w:r>
              <w:rPr>
                <w:b/>
                <w:bCs/>
                <w:lang w:val="en-US" w:eastAsia="en-US" w:bidi="en-US"/>
              </w:rPr>
              <w:t>Gold</w:t>
            </w:r>
          </w:p>
        </w:tc>
      </w:tr>
      <w:tr w:rsidR="00215B20">
        <w:tblPrEx>
          <w:tblCellMar>
            <w:top w:w="0" w:type="dxa"/>
            <w:bottom w:w="0" w:type="dxa"/>
          </w:tblCellMar>
        </w:tblPrEx>
        <w:trPr>
          <w:trHeight w:hRule="exact" w:val="422"/>
          <w:jc w:val="center"/>
        </w:trPr>
        <w:tc>
          <w:tcPr>
            <w:tcW w:w="496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DDoS Monitoring</w:t>
            </w:r>
          </w:p>
        </w:tc>
        <w:tc>
          <w:tcPr>
            <w:tcW w:w="155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0"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6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r>
      <w:tr w:rsidR="00215B20">
        <w:tblPrEx>
          <w:tblCellMar>
            <w:top w:w="0" w:type="dxa"/>
            <w:bottom w:w="0" w:type="dxa"/>
          </w:tblCellMar>
        </w:tblPrEx>
        <w:trPr>
          <w:trHeight w:hRule="exact" w:val="422"/>
          <w:jc w:val="center"/>
        </w:trPr>
        <w:tc>
          <w:tcPr>
            <w:tcW w:w="496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DDoS Ochrana</w:t>
            </w:r>
          </w:p>
        </w:tc>
        <w:tc>
          <w:tcPr>
            <w:tcW w:w="155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60"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r>
      <w:tr w:rsidR="00215B20">
        <w:tblPrEx>
          <w:tblCellMar>
            <w:top w:w="0" w:type="dxa"/>
            <w:bottom w:w="0" w:type="dxa"/>
          </w:tblCellMar>
        </w:tblPrEx>
        <w:trPr>
          <w:trHeight w:hRule="exact" w:val="427"/>
          <w:jc w:val="center"/>
        </w:trPr>
        <w:tc>
          <w:tcPr>
            <w:tcW w:w="4968"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14"/>
                <w:szCs w:val="14"/>
              </w:rPr>
            </w:pPr>
            <w:r>
              <w:rPr>
                <w:b/>
                <w:bCs/>
                <w:sz w:val="14"/>
                <w:szCs w:val="14"/>
              </w:rPr>
              <w:t>Počet konzultačních hodin určených pro stanovení specializovaného Plánu Ochrany</w:t>
            </w:r>
          </w:p>
        </w:tc>
        <w:tc>
          <w:tcPr>
            <w:tcW w:w="155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2 hodiny</w:t>
            </w:r>
          </w:p>
        </w:tc>
        <w:tc>
          <w:tcPr>
            <w:tcW w:w="1560"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6 hodin</w:t>
            </w:r>
          </w:p>
        </w:tc>
        <w:tc>
          <w:tcPr>
            <w:tcW w:w="156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3"/>
                <w:szCs w:val="13"/>
              </w:rPr>
            </w:pPr>
            <w:r>
              <w:rPr>
                <w:sz w:val="13"/>
                <w:szCs w:val="13"/>
              </w:rPr>
              <w:t>8 hodin</w:t>
            </w:r>
          </w:p>
        </w:tc>
      </w:tr>
      <w:tr w:rsidR="00215B20">
        <w:tblPrEx>
          <w:tblCellMar>
            <w:top w:w="0" w:type="dxa"/>
            <w:bottom w:w="0" w:type="dxa"/>
          </w:tblCellMar>
        </w:tblPrEx>
        <w:trPr>
          <w:trHeight w:hRule="exact" w:val="422"/>
          <w:jc w:val="center"/>
        </w:trPr>
        <w:tc>
          <w:tcPr>
            <w:tcW w:w="496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 xml:space="preserve">Neomezený počet </w:t>
            </w:r>
            <w:r>
              <w:rPr>
                <w:b/>
                <w:bCs/>
                <w:sz w:val="14"/>
                <w:szCs w:val="14"/>
              </w:rPr>
              <w:t>ochranných akcí</w:t>
            </w:r>
          </w:p>
        </w:tc>
        <w:tc>
          <w:tcPr>
            <w:tcW w:w="155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60"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r>
      <w:tr w:rsidR="00215B20">
        <w:tblPrEx>
          <w:tblCellMar>
            <w:top w:w="0" w:type="dxa"/>
            <w:bottom w:w="0" w:type="dxa"/>
          </w:tblCellMar>
        </w:tblPrEx>
        <w:trPr>
          <w:trHeight w:hRule="exact" w:val="432"/>
          <w:jc w:val="center"/>
        </w:trPr>
        <w:tc>
          <w:tcPr>
            <w:tcW w:w="4968"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Nezávislost poplatku na velikosti napadení</w:t>
            </w:r>
          </w:p>
        </w:tc>
        <w:tc>
          <w:tcPr>
            <w:tcW w:w="1555"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60"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r>
    </w:tbl>
    <w:p w:rsidR="00215B20" w:rsidRDefault="00FD0AA3">
      <w:pPr>
        <w:pStyle w:val="Nadpis50"/>
        <w:keepNext/>
        <w:keepLines/>
        <w:shd w:val="clear" w:color="auto" w:fill="auto"/>
        <w:spacing w:after="60"/>
        <w:jc w:val="both"/>
      </w:pPr>
      <w:bookmarkStart w:id="130" w:name="bookmark130"/>
      <w:bookmarkStart w:id="131" w:name="bookmark131"/>
      <w:r>
        <w:lastRenderedPageBreak/>
        <w:t>Platnost od 01. 09. 2021</w:t>
      </w:r>
      <w:bookmarkEnd w:id="130"/>
      <w:bookmarkEnd w:id="131"/>
    </w:p>
    <w:tbl>
      <w:tblPr>
        <w:tblOverlap w:val="never"/>
        <w:tblW w:w="0" w:type="auto"/>
        <w:jc w:val="center"/>
        <w:tblLayout w:type="fixed"/>
        <w:tblCellMar>
          <w:left w:w="10" w:type="dxa"/>
          <w:right w:w="10" w:type="dxa"/>
        </w:tblCellMar>
        <w:tblLook w:val="0000" w:firstRow="0" w:lastRow="0" w:firstColumn="0" w:lastColumn="0" w:noHBand="0" w:noVBand="0"/>
      </w:tblPr>
      <w:tblGrid>
        <w:gridCol w:w="4968"/>
        <w:gridCol w:w="1555"/>
        <w:gridCol w:w="1560"/>
        <w:gridCol w:w="1565"/>
      </w:tblGrid>
      <w:tr w:rsidR="00215B20">
        <w:tblPrEx>
          <w:tblCellMar>
            <w:top w:w="0" w:type="dxa"/>
            <w:bottom w:w="0" w:type="dxa"/>
          </w:tblCellMar>
        </w:tblPrEx>
        <w:trPr>
          <w:trHeight w:hRule="exact" w:val="422"/>
          <w:jc w:val="center"/>
        </w:trPr>
        <w:tc>
          <w:tcPr>
            <w:tcW w:w="496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lang w:val="en-US" w:eastAsia="en-US" w:bidi="en-US"/>
              </w:rPr>
              <w:t xml:space="preserve">Service Level Agreement </w:t>
            </w:r>
            <w:r>
              <w:rPr>
                <w:b/>
                <w:bCs/>
                <w:sz w:val="14"/>
                <w:szCs w:val="14"/>
              </w:rPr>
              <w:t>(SLA)</w:t>
            </w:r>
          </w:p>
        </w:tc>
        <w:tc>
          <w:tcPr>
            <w:tcW w:w="155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0"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r>
      <w:tr w:rsidR="00215B20">
        <w:tblPrEx>
          <w:tblCellMar>
            <w:top w:w="0" w:type="dxa"/>
            <w:bottom w:w="0" w:type="dxa"/>
          </w:tblCellMar>
        </w:tblPrEx>
        <w:trPr>
          <w:trHeight w:hRule="exact" w:val="427"/>
          <w:jc w:val="center"/>
        </w:trPr>
        <w:tc>
          <w:tcPr>
            <w:tcW w:w="4968"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14"/>
                <w:szCs w:val="14"/>
              </w:rPr>
            </w:pPr>
            <w:r>
              <w:rPr>
                <w:b/>
                <w:bCs/>
                <w:sz w:val="14"/>
                <w:szCs w:val="14"/>
              </w:rPr>
              <w:t xml:space="preserve">Dostupnost techniků Centra síťového provozu T-Mobile </w:t>
            </w:r>
            <w:r>
              <w:rPr>
                <w:b/>
                <w:bCs/>
                <w:sz w:val="14"/>
                <w:szCs w:val="14"/>
                <w:lang w:val="en-US" w:eastAsia="en-US" w:bidi="en-US"/>
              </w:rPr>
              <w:t xml:space="preserve">Czech Republic </w:t>
            </w:r>
            <w:r>
              <w:rPr>
                <w:b/>
                <w:bCs/>
                <w:sz w:val="14"/>
                <w:szCs w:val="14"/>
              </w:rPr>
              <w:t>v režimu 24x7x365</w:t>
            </w:r>
          </w:p>
        </w:tc>
        <w:tc>
          <w:tcPr>
            <w:tcW w:w="155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0"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r>
      <w:tr w:rsidR="00215B20">
        <w:tblPrEx>
          <w:tblCellMar>
            <w:top w:w="0" w:type="dxa"/>
            <w:bottom w:w="0" w:type="dxa"/>
          </w:tblCellMar>
        </w:tblPrEx>
        <w:trPr>
          <w:trHeight w:hRule="exact" w:val="422"/>
          <w:jc w:val="center"/>
        </w:trPr>
        <w:tc>
          <w:tcPr>
            <w:tcW w:w="4968"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 xml:space="preserve">Monitoring a detekce útoků na L3 </w:t>
            </w:r>
            <w:r>
              <w:rPr>
                <w:b/>
                <w:bCs/>
                <w:sz w:val="14"/>
                <w:szCs w:val="14"/>
                <w:lang w:val="en-US" w:eastAsia="en-US" w:bidi="en-US"/>
              </w:rPr>
              <w:t xml:space="preserve">a </w:t>
            </w:r>
            <w:r>
              <w:rPr>
                <w:b/>
                <w:bCs/>
                <w:sz w:val="14"/>
                <w:szCs w:val="14"/>
              </w:rPr>
              <w:t>L4</w:t>
            </w:r>
          </w:p>
        </w:tc>
        <w:tc>
          <w:tcPr>
            <w:tcW w:w="155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0"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65"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r>
      <w:tr w:rsidR="00215B20">
        <w:tblPrEx>
          <w:tblCellMar>
            <w:top w:w="0" w:type="dxa"/>
            <w:bottom w:w="0" w:type="dxa"/>
          </w:tblCellMar>
        </w:tblPrEx>
        <w:trPr>
          <w:trHeight w:hRule="exact" w:val="432"/>
          <w:jc w:val="center"/>
        </w:trPr>
        <w:tc>
          <w:tcPr>
            <w:tcW w:w="4968"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 xml:space="preserve">Proaktivni ohlašování událostí (mobilní </w:t>
            </w:r>
            <w:r w:rsidRPr="00920265">
              <w:rPr>
                <w:b/>
                <w:bCs/>
                <w:sz w:val="14"/>
                <w:szCs w:val="14"/>
                <w:lang w:eastAsia="en-US" w:bidi="en-US"/>
              </w:rPr>
              <w:t xml:space="preserve">sms </w:t>
            </w:r>
            <w:r>
              <w:rPr>
                <w:b/>
                <w:bCs/>
                <w:sz w:val="14"/>
                <w:szCs w:val="14"/>
              </w:rPr>
              <w:t>a email)</w:t>
            </w:r>
          </w:p>
        </w:tc>
        <w:tc>
          <w:tcPr>
            <w:tcW w:w="1555"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c>
          <w:tcPr>
            <w:tcW w:w="1560"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DE1273"/>
                <w:sz w:val="14"/>
                <w:szCs w:val="14"/>
              </w:rPr>
              <w:t>ANO</w:t>
            </w:r>
          </w:p>
        </w:tc>
      </w:tr>
    </w:tbl>
    <w:p w:rsidR="00215B20" w:rsidRDefault="00215B20">
      <w:pPr>
        <w:spacing w:after="159" w:line="1" w:lineRule="exact"/>
      </w:pPr>
    </w:p>
    <w:p w:rsidR="00215B20" w:rsidRDefault="00FD0AA3">
      <w:pPr>
        <w:pStyle w:val="Titulektabulky0"/>
        <w:shd w:val="clear" w:color="auto" w:fill="auto"/>
      </w:pPr>
      <w:r>
        <w:t>Služba je poskytována nepřetržitě všechny dny v roce 24 hodin denně. Parametry SLA zachycuje tabulka níže.</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49"/>
        <w:gridCol w:w="1565"/>
        <w:gridCol w:w="1565"/>
        <w:gridCol w:w="1570"/>
      </w:tblGrid>
      <w:tr w:rsidR="00215B20">
        <w:tblPrEx>
          <w:tblCellMar>
            <w:top w:w="0" w:type="dxa"/>
            <w:bottom w:w="0" w:type="dxa"/>
          </w:tblCellMar>
        </w:tblPrEx>
        <w:trPr>
          <w:trHeight w:hRule="exact" w:val="394"/>
          <w:jc w:val="center"/>
        </w:trPr>
        <w:tc>
          <w:tcPr>
            <w:tcW w:w="4949"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pPr>
            <w:r>
              <w:rPr>
                <w:b/>
                <w:bCs/>
              </w:rPr>
              <w:t>SLA parametr</w:t>
            </w:r>
          </w:p>
        </w:tc>
        <w:tc>
          <w:tcPr>
            <w:tcW w:w="1565"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pPr>
            <w:r>
              <w:rPr>
                <w:b/>
                <w:bCs/>
              </w:rPr>
              <w:t>Bronze</w:t>
            </w:r>
          </w:p>
        </w:tc>
        <w:tc>
          <w:tcPr>
            <w:tcW w:w="1565" w:type="dxa"/>
            <w:tcBorders>
              <w:top w:val="single" w:sz="4" w:space="0" w:color="auto"/>
              <w:left w:val="single" w:sz="4" w:space="0" w:color="auto"/>
            </w:tcBorders>
            <w:shd w:val="clear" w:color="auto" w:fill="D3D5D7"/>
            <w:vAlign w:val="center"/>
          </w:tcPr>
          <w:p w:rsidR="00215B20" w:rsidRDefault="00FD0AA3">
            <w:pPr>
              <w:pStyle w:val="Jin0"/>
              <w:shd w:val="clear" w:color="auto" w:fill="auto"/>
              <w:spacing w:after="0" w:line="240" w:lineRule="auto"/>
              <w:jc w:val="center"/>
            </w:pPr>
            <w:r>
              <w:rPr>
                <w:b/>
                <w:bCs/>
                <w:lang w:val="en-US" w:eastAsia="en-US" w:bidi="en-US"/>
              </w:rPr>
              <w:t>Silver</w:t>
            </w:r>
          </w:p>
        </w:tc>
        <w:tc>
          <w:tcPr>
            <w:tcW w:w="1570" w:type="dxa"/>
            <w:tcBorders>
              <w:top w:val="single" w:sz="4" w:space="0" w:color="auto"/>
              <w:left w:val="single" w:sz="4" w:space="0" w:color="auto"/>
              <w:right w:val="single" w:sz="4" w:space="0" w:color="auto"/>
            </w:tcBorders>
            <w:shd w:val="clear" w:color="auto" w:fill="D3D5D7"/>
            <w:vAlign w:val="center"/>
          </w:tcPr>
          <w:p w:rsidR="00215B20" w:rsidRDefault="00FD0AA3">
            <w:pPr>
              <w:pStyle w:val="Jin0"/>
              <w:shd w:val="clear" w:color="auto" w:fill="auto"/>
              <w:spacing w:after="0" w:line="240" w:lineRule="auto"/>
              <w:jc w:val="center"/>
            </w:pPr>
            <w:r>
              <w:rPr>
                <w:b/>
                <w:bCs/>
                <w:lang w:val="en-US" w:eastAsia="en-US" w:bidi="en-US"/>
              </w:rPr>
              <w:t>Gold</w:t>
            </w:r>
          </w:p>
        </w:tc>
      </w:tr>
      <w:tr w:rsidR="00215B20">
        <w:tblPrEx>
          <w:tblCellMar>
            <w:top w:w="0" w:type="dxa"/>
            <w:bottom w:w="0" w:type="dxa"/>
          </w:tblCellMar>
        </w:tblPrEx>
        <w:trPr>
          <w:trHeight w:hRule="exact" w:val="499"/>
          <w:jc w:val="center"/>
        </w:trPr>
        <w:tc>
          <w:tcPr>
            <w:tcW w:w="494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Dostupnost Monitoringu</w:t>
            </w:r>
          </w:p>
        </w:tc>
        <w:tc>
          <w:tcPr>
            <w:tcW w:w="156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99.9%</w:t>
            </w:r>
          </w:p>
        </w:tc>
        <w:tc>
          <w:tcPr>
            <w:tcW w:w="156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7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99.9%</w:t>
            </w:r>
          </w:p>
        </w:tc>
      </w:tr>
      <w:tr w:rsidR="00215B20">
        <w:tblPrEx>
          <w:tblCellMar>
            <w:top w:w="0" w:type="dxa"/>
            <w:bottom w:w="0" w:type="dxa"/>
          </w:tblCellMar>
        </w:tblPrEx>
        <w:trPr>
          <w:trHeight w:hRule="exact" w:val="499"/>
          <w:jc w:val="center"/>
        </w:trPr>
        <w:tc>
          <w:tcPr>
            <w:tcW w:w="494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Dostupnost Ochrany</w:t>
            </w:r>
          </w:p>
        </w:tc>
        <w:tc>
          <w:tcPr>
            <w:tcW w:w="156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6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99.99%</w:t>
            </w:r>
          </w:p>
        </w:tc>
        <w:tc>
          <w:tcPr>
            <w:tcW w:w="157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99.99%</w:t>
            </w:r>
          </w:p>
        </w:tc>
      </w:tr>
      <w:tr w:rsidR="00215B20">
        <w:tblPrEx>
          <w:tblCellMar>
            <w:top w:w="0" w:type="dxa"/>
            <w:bottom w:w="0" w:type="dxa"/>
          </w:tblCellMar>
        </w:tblPrEx>
        <w:trPr>
          <w:trHeight w:hRule="exact" w:val="499"/>
          <w:jc w:val="center"/>
        </w:trPr>
        <w:tc>
          <w:tcPr>
            <w:tcW w:w="4949"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Doba reakce pro oznámení potenciálního útoku</w:t>
            </w:r>
          </w:p>
        </w:tc>
        <w:tc>
          <w:tcPr>
            <w:tcW w:w="156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30 minut</w:t>
            </w:r>
          </w:p>
        </w:tc>
        <w:tc>
          <w:tcPr>
            <w:tcW w:w="1565"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70"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15 minut</w:t>
            </w:r>
          </w:p>
        </w:tc>
      </w:tr>
      <w:tr w:rsidR="00215B20">
        <w:tblPrEx>
          <w:tblCellMar>
            <w:top w:w="0" w:type="dxa"/>
            <w:bottom w:w="0" w:type="dxa"/>
          </w:tblCellMar>
        </w:tblPrEx>
        <w:trPr>
          <w:trHeight w:hRule="exact" w:val="504"/>
          <w:jc w:val="center"/>
        </w:trPr>
        <w:tc>
          <w:tcPr>
            <w:tcW w:w="4949"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rPr>
                <w:sz w:val="14"/>
                <w:szCs w:val="14"/>
              </w:rPr>
            </w:pPr>
            <w:r>
              <w:rPr>
                <w:b/>
                <w:bCs/>
                <w:sz w:val="14"/>
                <w:szCs w:val="14"/>
              </w:rPr>
              <w:t>Doba reakce pro aktivaci ochrany (nasazení protiopatření)</w:t>
            </w:r>
          </w:p>
        </w:tc>
        <w:tc>
          <w:tcPr>
            <w:tcW w:w="1565"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color w:val="6B6C6F"/>
                <w:sz w:val="14"/>
                <w:szCs w:val="14"/>
              </w:rPr>
              <w:t>NE</w:t>
            </w:r>
          </w:p>
        </w:tc>
        <w:tc>
          <w:tcPr>
            <w:tcW w:w="1565"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rPr>
              <w:t>30 minut</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center"/>
              <w:rPr>
                <w:sz w:val="14"/>
                <w:szCs w:val="14"/>
              </w:rPr>
            </w:pPr>
            <w:r>
              <w:rPr>
                <w:b/>
                <w:bCs/>
                <w:sz w:val="14"/>
                <w:szCs w:val="14"/>
                <w:lang w:val="en-US" w:eastAsia="en-US" w:bidi="en-US"/>
              </w:rPr>
              <w:t>do 15 minut</w:t>
            </w:r>
          </w:p>
        </w:tc>
      </w:tr>
    </w:tbl>
    <w:p w:rsidR="00215B20" w:rsidRDefault="00215B20">
      <w:pPr>
        <w:spacing w:after="159" w:line="1" w:lineRule="exact"/>
      </w:pPr>
    </w:p>
    <w:p w:rsidR="00215B20" w:rsidRDefault="00FD0AA3">
      <w:pPr>
        <w:pStyle w:val="Zkladntext1"/>
        <w:shd w:val="clear" w:color="auto" w:fill="auto"/>
        <w:spacing w:after="160" w:line="254" w:lineRule="auto"/>
        <w:jc w:val="both"/>
      </w:pPr>
      <w:r>
        <w:t xml:space="preserve">Veškeré zde uvedené lhůty </w:t>
      </w:r>
      <w:r>
        <w:t>počínají běžet okamžikem doručení příslušného požadavku (na odstranění Poruchy Služby nebo na zákaznickou a technickou podporu Služby na místě) sjednaným způsobem TMCZ ze strany Smluvního partnera.</w:t>
      </w:r>
    </w:p>
    <w:p w:rsidR="00215B20" w:rsidRDefault="00FD0AA3">
      <w:pPr>
        <w:pStyle w:val="Zkladntext1"/>
        <w:shd w:val="clear" w:color="auto" w:fill="auto"/>
        <w:spacing w:after="160"/>
        <w:jc w:val="both"/>
      </w:pPr>
      <w:r>
        <w:t>„Doba reakce pro oznámení potenciálního útoku” je maximáln</w:t>
      </w:r>
      <w:r>
        <w:t>í doba měřená od okamžiku zjištění chybové události nebo překročení hranice datového toku ze strany TMCZ do okamžiku, kdy systém automaticky/TMCZ pošle oznámení o této skutečnosti Smluvnímu partnerovi, jejíž doba je stanovená výše, pokud Smluvní partner sá</w:t>
      </w:r>
      <w:r>
        <w:t>m prokazatelně neodsouhlasil prodloužení této doby.</w:t>
      </w:r>
    </w:p>
    <w:p w:rsidR="00215B20" w:rsidRDefault="00FD0AA3">
      <w:pPr>
        <w:pStyle w:val="Zkladntext1"/>
        <w:shd w:val="clear" w:color="auto" w:fill="auto"/>
        <w:spacing w:after="160" w:line="254" w:lineRule="auto"/>
        <w:jc w:val="both"/>
      </w:pPr>
      <w:r>
        <w:t>„Doba reakce pro aktivaci ochrany” je maximální doba měřená od okamžiku odsouhlasení nasazení protiopatření proti zjištěné chybové události nebo překročení datového toku ze strany Smluvního partnera do ok</w:t>
      </w:r>
      <w:r>
        <w:t>amžiku nasazení odsouhlaseného protiopatření ze strany TMCZ, jejíž doba je stanovená výše, pokud Smluvní partner sám prokazatelně neodsouhlasil prodloužení této doby.</w:t>
      </w:r>
    </w:p>
    <w:p w:rsidR="00215B20" w:rsidRDefault="00FD0AA3">
      <w:pPr>
        <w:pStyle w:val="Zkladntext1"/>
        <w:shd w:val="clear" w:color="auto" w:fill="auto"/>
        <w:jc w:val="both"/>
      </w:pPr>
      <w:r>
        <w:t xml:space="preserve">Ačkoliv se TMCZ zavazuje vynaložit přiměřené úsilí na omezení dopadu DDoS útoků, kvůli </w:t>
      </w:r>
      <w:r>
        <w:t>složité celkové povaze a špatné předvídatelnosti rozsahu takových útoků, TMCZ nemůže zaručit, že Plán Ochrany nebo aplikovaných opatření budou vždy a bezpodmínečně plně efektivní. TMCZ nenese odpovědnost za případnou újmu, která může vzniknout v důsledku j</w:t>
      </w:r>
      <w:r>
        <w:t>akéhokoli útoku DDoS nebo jakýmkoliv opatřením přijatým TMCZ pro ochranu příchozího provozu do sítě Smluvního partnera. Doba reakce pro oznámení potencionálního útoku a doba reakce pro aktivaci ochrany jsou pouze dobami obvyklými, které mohou být v konkrét</w:t>
      </w:r>
      <w:r>
        <w:t>ních případech ze strany TMCZ překročeny bez jakékoliv odpovědnosti TMCZ.</w:t>
      </w:r>
    </w:p>
    <w:p w:rsidR="00215B20" w:rsidRDefault="00FD0AA3">
      <w:pPr>
        <w:pStyle w:val="Nadpis60"/>
        <w:keepNext/>
        <w:keepLines/>
        <w:numPr>
          <w:ilvl w:val="0"/>
          <w:numId w:val="4"/>
        </w:numPr>
        <w:shd w:val="clear" w:color="auto" w:fill="auto"/>
        <w:tabs>
          <w:tab w:val="left" w:pos="427"/>
        </w:tabs>
        <w:spacing w:line="257" w:lineRule="auto"/>
        <w:jc w:val="both"/>
      </w:pPr>
      <w:bookmarkStart w:id="132" w:name="bookmark132"/>
      <w:bookmarkStart w:id="133" w:name="bookmark133"/>
      <w:proofErr w:type="gramStart"/>
      <w:r>
        <w:t>Výluky z SLA</w:t>
      </w:r>
      <w:bookmarkEnd w:id="132"/>
      <w:bookmarkEnd w:id="133"/>
      <w:proofErr w:type="gramEnd"/>
    </w:p>
    <w:p w:rsidR="00215B20" w:rsidRDefault="00FD0AA3">
      <w:pPr>
        <w:pStyle w:val="Zkladntext1"/>
        <w:shd w:val="clear" w:color="auto" w:fill="auto"/>
        <w:spacing w:after="160" w:line="254" w:lineRule="auto"/>
        <w:jc w:val="both"/>
      </w:pPr>
      <w:r>
        <w:t>TMCZ není odpovědný za neposkytnutí nebo vadné poskytnutí Služby, resp. za újmu, vzniklou v důsledku následujících skutečností, které pokud nastanou, nejsou považovány z</w:t>
      </w:r>
      <w:r>
        <w:t>a Poruchu Služby a Služba není v jejich důsledku považována za nedostupnou (resp. vadně poskytnutou):</w:t>
      </w:r>
    </w:p>
    <w:p w:rsidR="00215B20" w:rsidRDefault="00FD0AA3">
      <w:pPr>
        <w:pStyle w:val="Zkladntext1"/>
        <w:numPr>
          <w:ilvl w:val="0"/>
          <w:numId w:val="5"/>
        </w:numPr>
        <w:shd w:val="clear" w:color="auto" w:fill="auto"/>
        <w:tabs>
          <w:tab w:val="left" w:pos="741"/>
        </w:tabs>
        <w:spacing w:after="0"/>
        <w:ind w:firstLine="380"/>
        <w:jc w:val="both"/>
      </w:pPr>
      <w:r>
        <w:t>v případech, kdy za poruchu Služby neodpovídá TMCZ v souladu s příslušnými právními předpisy;</w:t>
      </w:r>
    </w:p>
    <w:p w:rsidR="00215B20" w:rsidRDefault="00FD0AA3">
      <w:pPr>
        <w:pStyle w:val="Zkladntext1"/>
        <w:numPr>
          <w:ilvl w:val="0"/>
          <w:numId w:val="5"/>
        </w:numPr>
        <w:shd w:val="clear" w:color="auto" w:fill="auto"/>
        <w:tabs>
          <w:tab w:val="left" w:pos="741"/>
        </w:tabs>
        <w:spacing w:after="0"/>
        <w:ind w:left="740" w:hanging="360"/>
        <w:jc w:val="both"/>
      </w:pPr>
      <w:r>
        <w:t>poruchy Služby vzniklé vnitřní chybou operačního systému a d</w:t>
      </w:r>
      <w:r>
        <w:t>alšího programového vybavení třetích stran. Případnou odpovědnost nesou tyto třetí strany dle jejich licenčních ujednání;</w:t>
      </w:r>
    </w:p>
    <w:p w:rsidR="00215B20" w:rsidRDefault="00FD0AA3">
      <w:pPr>
        <w:pStyle w:val="Zkladntext1"/>
        <w:numPr>
          <w:ilvl w:val="0"/>
          <w:numId w:val="5"/>
        </w:numPr>
        <w:shd w:val="clear" w:color="auto" w:fill="auto"/>
        <w:tabs>
          <w:tab w:val="left" w:pos="741"/>
        </w:tabs>
        <w:spacing w:after="0"/>
        <w:ind w:left="740" w:hanging="360"/>
        <w:jc w:val="both"/>
      </w:pPr>
      <w:r>
        <w:t>poruchy Služby vzniklé v důsledku nefunkčnosti služeb třetích stran či Smluvního partnera. Případnou odpovědnost nesou tyto třetí stra</w:t>
      </w:r>
      <w:r>
        <w:t>ny či Smluvní partner;</w:t>
      </w:r>
    </w:p>
    <w:p w:rsidR="00215B20" w:rsidRDefault="00FD0AA3">
      <w:pPr>
        <w:pStyle w:val="Zkladntext1"/>
        <w:numPr>
          <w:ilvl w:val="0"/>
          <w:numId w:val="5"/>
        </w:numPr>
        <w:shd w:val="clear" w:color="auto" w:fill="auto"/>
        <w:tabs>
          <w:tab w:val="left" w:pos="741"/>
        </w:tabs>
        <w:spacing w:after="0"/>
        <w:ind w:firstLine="380"/>
        <w:jc w:val="both"/>
      </w:pPr>
      <w:r>
        <w:t>nesprávné a nepovolené užívání Služby nebo disponování s hardware či software ze strany Smluvního partnera;</w:t>
      </w:r>
    </w:p>
    <w:p w:rsidR="00215B20" w:rsidRDefault="00FD0AA3">
      <w:pPr>
        <w:pStyle w:val="Zkladntext1"/>
        <w:numPr>
          <w:ilvl w:val="0"/>
          <w:numId w:val="5"/>
        </w:numPr>
        <w:shd w:val="clear" w:color="auto" w:fill="auto"/>
        <w:tabs>
          <w:tab w:val="left" w:pos="741"/>
        </w:tabs>
        <w:spacing w:after="0"/>
        <w:ind w:left="740" w:hanging="360"/>
        <w:jc w:val="both"/>
      </w:pPr>
      <w:r>
        <w:t>poruchy Služby zapříčiněné počítačovými viry, červy, sparný apod., pokud není způsobeno zanedbáním povinností TMCZ sjednaných</w:t>
      </w:r>
      <w:r>
        <w:t xml:space="preserve"> ve Smluvním dokumentu;</w:t>
      </w:r>
    </w:p>
    <w:p w:rsidR="00215B20" w:rsidRDefault="00FD0AA3">
      <w:pPr>
        <w:pStyle w:val="Zkladntext1"/>
        <w:numPr>
          <w:ilvl w:val="0"/>
          <w:numId w:val="5"/>
        </w:numPr>
        <w:shd w:val="clear" w:color="auto" w:fill="auto"/>
        <w:tabs>
          <w:tab w:val="left" w:pos="741"/>
        </w:tabs>
        <w:spacing w:after="0"/>
        <w:ind w:firstLine="380"/>
        <w:jc w:val="both"/>
      </w:pPr>
      <w:r>
        <w:t xml:space="preserve">doba přerušení dostupnosti Služby ze strany Smluvního partnera </w:t>
      </w:r>
      <w:r w:rsidRPr="00920265">
        <w:rPr>
          <w:lang w:eastAsia="en-US" w:bidi="en-US"/>
        </w:rPr>
        <w:t xml:space="preserve">(reset, restart, </w:t>
      </w:r>
      <w:r>
        <w:t xml:space="preserve">vypnutí, </w:t>
      </w:r>
      <w:r w:rsidRPr="00920265">
        <w:rPr>
          <w:lang w:eastAsia="en-US" w:bidi="en-US"/>
        </w:rPr>
        <w:t>apod.),</w:t>
      </w:r>
    </w:p>
    <w:p w:rsidR="00215B20" w:rsidRDefault="00FD0AA3">
      <w:pPr>
        <w:pStyle w:val="Zkladntext1"/>
        <w:numPr>
          <w:ilvl w:val="0"/>
          <w:numId w:val="5"/>
        </w:numPr>
        <w:shd w:val="clear" w:color="auto" w:fill="auto"/>
        <w:tabs>
          <w:tab w:val="left" w:pos="741"/>
        </w:tabs>
        <w:spacing w:after="0"/>
        <w:ind w:firstLine="380"/>
        <w:jc w:val="both"/>
      </w:pPr>
      <w:r>
        <w:t>doba, po kterou je Smluvní partner v prodlení s poskytnutím součinnosti,</w:t>
      </w:r>
    </w:p>
    <w:p w:rsidR="00215B20" w:rsidRDefault="00FD0AA3">
      <w:pPr>
        <w:pStyle w:val="Zkladntext1"/>
        <w:numPr>
          <w:ilvl w:val="0"/>
          <w:numId w:val="5"/>
        </w:numPr>
        <w:shd w:val="clear" w:color="auto" w:fill="auto"/>
        <w:tabs>
          <w:tab w:val="left" w:pos="741"/>
        </w:tabs>
        <w:spacing w:after="0"/>
        <w:ind w:firstLine="380"/>
        <w:jc w:val="both"/>
      </w:pPr>
      <w:r>
        <w:t>doba přerušení dostupnosti Služby z příčiny na straně instalov</w:t>
      </w:r>
      <w:r>
        <w:t xml:space="preserve">aného software na serveru (zamrznutí, </w:t>
      </w:r>
      <w:r w:rsidRPr="00920265">
        <w:rPr>
          <w:lang w:eastAsia="en-US" w:bidi="en-US"/>
        </w:rPr>
        <w:t>reset, apod.)</w:t>
      </w:r>
    </w:p>
    <w:p w:rsidR="00215B20" w:rsidRDefault="00FD0AA3">
      <w:pPr>
        <w:pStyle w:val="Zkladntext1"/>
        <w:numPr>
          <w:ilvl w:val="0"/>
          <w:numId w:val="5"/>
        </w:numPr>
        <w:shd w:val="clear" w:color="auto" w:fill="auto"/>
        <w:tabs>
          <w:tab w:val="left" w:pos="741"/>
        </w:tabs>
        <w:spacing w:after="0"/>
        <w:ind w:firstLine="380"/>
        <w:jc w:val="both"/>
      </w:pPr>
      <w:r>
        <w:t>doba, kdy jsou přetíženy systémové prostředky serveru (procesor, disky, apod.),</w:t>
      </w:r>
    </w:p>
    <w:p w:rsidR="00215B20" w:rsidRDefault="00FD0AA3">
      <w:pPr>
        <w:pStyle w:val="Zkladntext1"/>
        <w:numPr>
          <w:ilvl w:val="0"/>
          <w:numId w:val="5"/>
        </w:numPr>
        <w:shd w:val="clear" w:color="auto" w:fill="auto"/>
        <w:tabs>
          <w:tab w:val="left" w:pos="741"/>
        </w:tabs>
        <w:spacing w:after="0"/>
        <w:ind w:firstLine="380"/>
        <w:jc w:val="both"/>
      </w:pPr>
      <w:r>
        <w:t>doba, která je potřebná na obnovení údajů ze zálohy,</w:t>
      </w:r>
    </w:p>
    <w:p w:rsidR="00215B20" w:rsidRDefault="00FD0AA3">
      <w:pPr>
        <w:pStyle w:val="Zkladntext1"/>
        <w:numPr>
          <w:ilvl w:val="0"/>
          <w:numId w:val="5"/>
        </w:numPr>
        <w:shd w:val="clear" w:color="auto" w:fill="auto"/>
        <w:tabs>
          <w:tab w:val="left" w:pos="741"/>
        </w:tabs>
        <w:spacing w:after="0"/>
        <w:ind w:left="740" w:hanging="360"/>
        <w:jc w:val="both"/>
      </w:pPr>
      <w:r>
        <w:t>nesprávné užití za strany Smluvního partnera - např. chybné nastavení p</w:t>
      </w:r>
      <w:r>
        <w:t>arametrů hardware, nevhodné nastavení parametrů software či nevhodná volba software apod.,</w:t>
      </w:r>
    </w:p>
    <w:p w:rsidR="00215B20" w:rsidRDefault="00FD0AA3">
      <w:pPr>
        <w:pStyle w:val="Zkladntext1"/>
        <w:numPr>
          <w:ilvl w:val="0"/>
          <w:numId w:val="5"/>
        </w:numPr>
        <w:shd w:val="clear" w:color="auto" w:fill="auto"/>
        <w:tabs>
          <w:tab w:val="left" w:pos="741"/>
        </w:tabs>
        <w:spacing w:after="0"/>
        <w:ind w:firstLine="380"/>
        <w:jc w:val="both"/>
      </w:pPr>
      <w:r>
        <w:t>plánované výpadky a údržba za strany TMCZ,</w:t>
      </w:r>
    </w:p>
    <w:p w:rsidR="00215B20" w:rsidRDefault="00FD0AA3">
      <w:pPr>
        <w:pStyle w:val="Zkladntext1"/>
        <w:numPr>
          <w:ilvl w:val="0"/>
          <w:numId w:val="5"/>
        </w:numPr>
        <w:shd w:val="clear" w:color="auto" w:fill="auto"/>
        <w:tabs>
          <w:tab w:val="left" w:pos="741"/>
        </w:tabs>
        <w:spacing w:after="0"/>
        <w:ind w:left="740" w:hanging="360"/>
        <w:jc w:val="both"/>
      </w:pPr>
      <w:r>
        <w:t xml:space="preserve">je-li Služba poskytována se záložní </w:t>
      </w:r>
      <w:r w:rsidRPr="00920265">
        <w:rPr>
          <w:lang w:eastAsia="en-US" w:bidi="en-US"/>
        </w:rPr>
        <w:t xml:space="preserve">(back-up) </w:t>
      </w:r>
      <w:r>
        <w:t xml:space="preserve">přístupovou linkou, pak se za nedostupnost Služby, resp. za Poruchu služby, považuje pouze současný výpadek primární i záložní </w:t>
      </w:r>
      <w:r w:rsidRPr="00920265">
        <w:rPr>
          <w:lang w:eastAsia="en-US" w:bidi="en-US"/>
        </w:rPr>
        <w:t xml:space="preserve">(back-up) </w:t>
      </w:r>
      <w:r>
        <w:t xml:space="preserve">přístupové linky. Služba je v tomto případě dostupná, i když je funkční pouze po záložní </w:t>
      </w:r>
      <w:r w:rsidRPr="00920265">
        <w:rPr>
          <w:lang w:eastAsia="en-US" w:bidi="en-US"/>
        </w:rPr>
        <w:t xml:space="preserve">(back-up) </w:t>
      </w:r>
      <w:r>
        <w:t>přístupové lince, kd</w:t>
      </w:r>
      <w:r>
        <w:t>y Služba může mít omezenou funkčnost, jako je například nižší přenosová rychlost či snížené doplňkové (výkonnostní) parametry odpovídající zvolené přístupové technologii záložní linky,</w:t>
      </w:r>
    </w:p>
    <w:p w:rsidR="00215B20" w:rsidRDefault="00FD0AA3">
      <w:pPr>
        <w:pStyle w:val="Zkladntext1"/>
        <w:numPr>
          <w:ilvl w:val="0"/>
          <w:numId w:val="5"/>
        </w:numPr>
        <w:shd w:val="clear" w:color="auto" w:fill="auto"/>
        <w:tabs>
          <w:tab w:val="left" w:pos="741"/>
        </w:tabs>
        <w:spacing w:after="0"/>
        <w:ind w:left="740" w:hanging="360"/>
        <w:jc w:val="both"/>
      </w:pPr>
      <w:r>
        <w:t xml:space="preserve">u poruch, jejichž řešení závisí na výrobci či dodavateli hardware nebo </w:t>
      </w:r>
      <w:r>
        <w:t>software, není možné garantovat dobu finálního vyřešení poruchy. Pro poruchy tohoto typu zapojí TMCZ středisko technické podpory výrobce či dodavatele hardware nebo software, aby byla porucha odstraněna v nejkratším možném termínu. Poruchy, u nichž dojde k</w:t>
      </w:r>
      <w:r>
        <w:t xml:space="preserve"> překročení garantované doby finálního</w:t>
      </w:r>
    </w:p>
    <w:p w:rsidR="00215B20" w:rsidRDefault="00FD0AA3">
      <w:pPr>
        <w:pStyle w:val="Zkladntext1"/>
        <w:shd w:val="clear" w:color="auto" w:fill="auto"/>
        <w:jc w:val="both"/>
      </w:pPr>
      <w:r>
        <w:t>Platnost od 01. 09. 2021</w:t>
      </w:r>
    </w:p>
    <w:p w:rsidR="00215B20" w:rsidRDefault="00FD0AA3">
      <w:pPr>
        <w:pStyle w:val="Zkladntext1"/>
        <w:shd w:val="clear" w:color="auto" w:fill="auto"/>
        <w:spacing w:after="0"/>
        <w:ind w:left="740"/>
        <w:jc w:val="both"/>
      </w:pPr>
      <w:r>
        <w:t>řešení z tohoto důvodu, nepodléhají sankčním ujednáním, ani náhradě újmy, a nezapočítávají se do doby nedostupnosti Služby, resp. u těchto poruch Služby není garantována žádná lhůta pro jejich</w:t>
      </w:r>
      <w:r>
        <w:t xml:space="preserve"> odstranění.</w:t>
      </w:r>
    </w:p>
    <w:p w:rsidR="00215B20" w:rsidRDefault="00FD0AA3">
      <w:pPr>
        <w:pStyle w:val="Zkladntext1"/>
        <w:shd w:val="clear" w:color="auto" w:fill="auto"/>
        <w:spacing w:after="0"/>
        <w:jc w:val="both"/>
      </w:pPr>
      <w:r>
        <w:t xml:space="preserve">TMCZ neodpovídá </w:t>
      </w:r>
      <w:proofErr w:type="gramStart"/>
      <w:r>
        <w:t>za</w:t>
      </w:r>
      <w:proofErr w:type="gramEnd"/>
      <w:r>
        <w:t>:</w:t>
      </w:r>
    </w:p>
    <w:p w:rsidR="00215B20" w:rsidRDefault="00FD0AA3">
      <w:pPr>
        <w:pStyle w:val="Zkladntext1"/>
        <w:numPr>
          <w:ilvl w:val="0"/>
          <w:numId w:val="5"/>
        </w:numPr>
        <w:shd w:val="clear" w:color="auto" w:fill="auto"/>
        <w:tabs>
          <w:tab w:val="left" w:pos="743"/>
        </w:tabs>
        <w:spacing w:after="0"/>
        <w:ind w:firstLine="380"/>
        <w:jc w:val="both"/>
      </w:pPr>
      <w:r>
        <w:t>obsah informací uložených na serverech;</w:t>
      </w:r>
    </w:p>
    <w:p w:rsidR="00215B20" w:rsidRDefault="00FD0AA3">
      <w:pPr>
        <w:pStyle w:val="Zkladntext1"/>
        <w:numPr>
          <w:ilvl w:val="0"/>
          <w:numId w:val="5"/>
        </w:numPr>
        <w:shd w:val="clear" w:color="auto" w:fill="auto"/>
        <w:tabs>
          <w:tab w:val="left" w:pos="743"/>
        </w:tabs>
        <w:spacing w:after="0"/>
        <w:ind w:firstLine="380"/>
        <w:jc w:val="both"/>
      </w:pPr>
      <w:r>
        <w:lastRenderedPageBreak/>
        <w:t>úroveň zabezpečení firewallu a míru vlivu nastavení firewallu na provozované služby Smluvním partnerem;</w:t>
      </w:r>
    </w:p>
    <w:p w:rsidR="00215B20" w:rsidRDefault="00FD0AA3">
      <w:pPr>
        <w:pStyle w:val="Zkladntext1"/>
        <w:numPr>
          <w:ilvl w:val="0"/>
          <w:numId w:val="5"/>
        </w:numPr>
        <w:shd w:val="clear" w:color="auto" w:fill="auto"/>
        <w:tabs>
          <w:tab w:val="left" w:pos="743"/>
        </w:tabs>
        <w:spacing w:after="0"/>
        <w:ind w:left="740" w:hanging="360"/>
        <w:jc w:val="both"/>
      </w:pPr>
      <w:r>
        <w:t>úplnost zálohovaných dat v důsledku nesprávného či neúplného předání pokynů ohl</w:t>
      </w:r>
      <w:r>
        <w:t>edně toho, co se má zálohovat Smluvním partnerem;</w:t>
      </w:r>
    </w:p>
    <w:p w:rsidR="00215B20" w:rsidRDefault="00FD0AA3">
      <w:pPr>
        <w:pStyle w:val="Zkladntext1"/>
        <w:numPr>
          <w:ilvl w:val="0"/>
          <w:numId w:val="5"/>
        </w:numPr>
        <w:shd w:val="clear" w:color="auto" w:fill="auto"/>
        <w:tabs>
          <w:tab w:val="left" w:pos="743"/>
        </w:tabs>
        <w:spacing w:after="0"/>
        <w:ind w:firstLine="380"/>
        <w:jc w:val="both"/>
      </w:pPr>
      <w:r>
        <w:t>za správnost samotného procesu zálohování dat v případě kdy Smluvní partner využije jiný protokol/software;</w:t>
      </w:r>
    </w:p>
    <w:p w:rsidR="00215B20" w:rsidRDefault="00FD0AA3">
      <w:pPr>
        <w:pStyle w:val="Zkladntext1"/>
        <w:numPr>
          <w:ilvl w:val="0"/>
          <w:numId w:val="5"/>
        </w:numPr>
        <w:shd w:val="clear" w:color="auto" w:fill="auto"/>
        <w:tabs>
          <w:tab w:val="left" w:pos="743"/>
          <w:tab w:val="right" w:pos="9639"/>
        </w:tabs>
        <w:spacing w:after="0"/>
        <w:ind w:firstLine="380"/>
        <w:jc w:val="both"/>
      </w:pPr>
      <w:r>
        <w:t>prodlení se splněním svých povinností či újmu způsobenou nedostatkem součinnosti, ke které se Smlu</w:t>
      </w:r>
      <w:r>
        <w:t>vní partner zavázal</w:t>
      </w:r>
      <w:r>
        <w:tab/>
        <w:t>nebo</w:t>
      </w:r>
    </w:p>
    <w:p w:rsidR="00215B20" w:rsidRDefault="00FD0AA3">
      <w:pPr>
        <w:pStyle w:val="Zkladntext1"/>
        <w:shd w:val="clear" w:color="auto" w:fill="auto"/>
        <w:spacing w:after="120"/>
        <w:ind w:firstLine="740"/>
        <w:jc w:val="both"/>
      </w:pPr>
      <w:r>
        <w:t>kterou je povinen objektivně poskytnout.</w:t>
      </w:r>
    </w:p>
    <w:p w:rsidR="00215B20" w:rsidRDefault="00FD0AA3">
      <w:pPr>
        <w:pStyle w:val="Zkladntext1"/>
        <w:shd w:val="clear" w:color="auto" w:fill="auto"/>
        <w:jc w:val="both"/>
      </w:pPr>
      <w:r>
        <w:t>Záznamy systémových událostí (Logů):</w:t>
      </w:r>
    </w:p>
    <w:p w:rsidR="00215B20" w:rsidRDefault="00FD0AA3">
      <w:pPr>
        <w:pStyle w:val="Zkladntext1"/>
        <w:numPr>
          <w:ilvl w:val="0"/>
          <w:numId w:val="5"/>
        </w:numPr>
        <w:shd w:val="clear" w:color="auto" w:fill="auto"/>
        <w:tabs>
          <w:tab w:val="left" w:pos="743"/>
        </w:tabs>
        <w:spacing w:after="0" w:line="259" w:lineRule="auto"/>
        <w:ind w:left="740" w:hanging="360"/>
        <w:jc w:val="both"/>
      </w:pPr>
      <w:r>
        <w:t xml:space="preserve">Ustanovení této kapitoly </w:t>
      </w:r>
      <w:r>
        <w:rPr>
          <w:b/>
          <w:bCs/>
        </w:rPr>
        <w:t xml:space="preserve">„Záznamy systémových události,, </w:t>
      </w:r>
      <w:r>
        <w:t xml:space="preserve">se vztahuje na Služby, jen pokud Smluvnímu partnerovi byla přidělena práva správce k systému </w:t>
      </w:r>
      <w:r>
        <w:t>(administrátorská práva).</w:t>
      </w:r>
    </w:p>
    <w:p w:rsidR="00215B20" w:rsidRDefault="00FD0AA3">
      <w:pPr>
        <w:pStyle w:val="Zkladntext1"/>
        <w:numPr>
          <w:ilvl w:val="0"/>
          <w:numId w:val="5"/>
        </w:numPr>
        <w:shd w:val="clear" w:color="auto" w:fill="auto"/>
        <w:tabs>
          <w:tab w:val="left" w:pos="743"/>
        </w:tabs>
        <w:spacing w:after="0" w:line="259" w:lineRule="auto"/>
        <w:ind w:left="740" w:hanging="360"/>
        <w:jc w:val="both"/>
      </w:pPr>
      <w:r>
        <w:t xml:space="preserve">Smluvní partner se zavazuje, že bude generovat a ukládat záznamy systémových událostí (provozních údajů - logů) podle seznamu serverů používaných Smluvním partnerem. Tato činnost se bude provádět pro případy, že Poruchu by nebylo </w:t>
      </w:r>
      <w:r>
        <w:t>možné lokalizovat jiným způsobem.</w:t>
      </w:r>
    </w:p>
    <w:p w:rsidR="00215B20" w:rsidRDefault="00FD0AA3">
      <w:pPr>
        <w:pStyle w:val="Zkladntext1"/>
        <w:numPr>
          <w:ilvl w:val="0"/>
          <w:numId w:val="5"/>
        </w:numPr>
        <w:shd w:val="clear" w:color="auto" w:fill="auto"/>
        <w:tabs>
          <w:tab w:val="left" w:pos="743"/>
        </w:tabs>
        <w:spacing w:after="0" w:line="259" w:lineRule="auto"/>
        <w:ind w:firstLine="380"/>
        <w:jc w:val="both"/>
      </w:pPr>
      <w:r>
        <w:t>Smluvní partner je povinen záznamy systémových událostí (logy) archivovat po dobu min. 14 dní.</w:t>
      </w:r>
    </w:p>
    <w:p w:rsidR="00215B20" w:rsidRDefault="00FD0AA3">
      <w:pPr>
        <w:pStyle w:val="Zkladntext1"/>
        <w:numPr>
          <w:ilvl w:val="0"/>
          <w:numId w:val="5"/>
        </w:numPr>
        <w:shd w:val="clear" w:color="auto" w:fill="auto"/>
        <w:tabs>
          <w:tab w:val="left" w:pos="743"/>
        </w:tabs>
        <w:spacing w:after="0" w:line="259" w:lineRule="auto"/>
        <w:ind w:left="740" w:hanging="360"/>
        <w:jc w:val="both"/>
      </w:pPr>
      <w:r>
        <w:t>Smluvní partnerje povinen na žádost poskytnout bez prodlení TMCZ přístup k těmto záznamům systémových událostí serverů (logů).</w:t>
      </w:r>
    </w:p>
    <w:p w:rsidR="00215B20" w:rsidRDefault="00FD0AA3">
      <w:pPr>
        <w:pStyle w:val="Zkladntext1"/>
        <w:numPr>
          <w:ilvl w:val="0"/>
          <w:numId w:val="5"/>
        </w:numPr>
        <w:shd w:val="clear" w:color="auto" w:fill="auto"/>
        <w:tabs>
          <w:tab w:val="left" w:pos="743"/>
        </w:tabs>
        <w:spacing w:after="120" w:line="259" w:lineRule="auto"/>
        <w:ind w:left="740" w:hanging="360"/>
        <w:jc w:val="both"/>
      </w:pPr>
      <w:r>
        <w:t>V případě, že TMCZ má pochybnosti o správnosti/kvalitě záznamů vedených Smluvních partnerem, a na základě toho požaduje údaje ze záznamů systémových událostí, Smluvní partnerje povinen vytvořit kopie těchto záznamů a archivovatje do vyřešení celé záležitos</w:t>
      </w:r>
      <w:r>
        <w:t>ti.</w:t>
      </w:r>
    </w:p>
    <w:p w:rsidR="00215B20" w:rsidRDefault="00FD0AA3">
      <w:pPr>
        <w:pStyle w:val="Nadpis60"/>
        <w:keepNext/>
        <w:keepLines/>
        <w:numPr>
          <w:ilvl w:val="0"/>
          <w:numId w:val="4"/>
        </w:numPr>
        <w:shd w:val="clear" w:color="auto" w:fill="auto"/>
        <w:tabs>
          <w:tab w:val="left" w:pos="408"/>
        </w:tabs>
        <w:spacing w:line="257" w:lineRule="auto"/>
        <w:jc w:val="both"/>
      </w:pPr>
      <w:bookmarkStart w:id="134" w:name="bookmark134"/>
      <w:bookmarkStart w:id="135" w:name="bookmark135"/>
      <w:r>
        <w:t>Závěrečná ustanoveni</w:t>
      </w:r>
      <w:bookmarkEnd w:id="134"/>
      <w:bookmarkEnd w:id="135"/>
    </w:p>
    <w:p w:rsidR="00215B20" w:rsidRDefault="00FD0AA3">
      <w:pPr>
        <w:pStyle w:val="Zkladntext1"/>
        <w:shd w:val="clear" w:color="auto" w:fill="auto"/>
        <w:spacing w:after="180"/>
        <w:jc w:val="both"/>
      </w:pPr>
      <w:r>
        <w:t>Odpovědnost TMCZ za Poruchy v poskytování Služeb (neposkytnutí nebo vadné poskytnutí Služby) dle Smlouvy a příslušného Smluvního dokumentu je omezena na poskytnutí smluvní pokuty (prostřednictvím slevy) za nedodržení SLA dle tohoto</w:t>
      </w:r>
      <w:r>
        <w:t xml:space="preserve"> Popisu služby SLA, popř. dle jiného Smluvního dokumentu, je-li příslušné SLA se Smluvním partnerem sjednáno. V této souvislosti (v souvislosti s neposkytnutím nebo vadným poskytnutím Služby) nemá Smluvní partner nárok na náhradu jakékoliv újmy. V případě </w:t>
      </w:r>
      <w:r>
        <w:t>okolností vylučujících odpovědnost (vyšší moci) nemá Smluvní partner nárok na poskytnutí zde uvedených smluvních pokut za nedodržení SLA dle tohoto Popisu služby SLA, popř. dle jiného Smluvního dokumentu. Smluvní partner rovněž nemá nárok na zde uvedené sm</w:t>
      </w:r>
      <w:r>
        <w:t>luvní pokuty za nedodržení SLA dle tohoto Popisu služby SLA, popř. jiného Smluvního dokumentu, v případě, kdy za takové nedodržení SLA odpovídá Smluvní partner, nebo v případech, kdy neposkytnutí nebo vadné poskytnutí Služby (resp. nedodržení SLA dle tohot</w:t>
      </w:r>
      <w:r>
        <w:t xml:space="preserve">o Popisu služby SLA, popř. jiného Smluvního dokumentu) TMCZ nezavinil a dále v případech dalších výjimek vylučujících odpovědnost TMCZ stanovených v tomto Popisu služby SLA, v příslušných Smluvních dokumentech, zejména ve Specifikaci služby, Popisu služby </w:t>
      </w:r>
      <w:r>
        <w:t>či Podmínkách Firemního řešení.</w:t>
      </w:r>
    </w:p>
    <w:p w:rsidR="00215B20" w:rsidRDefault="00FD0AA3">
      <w:pPr>
        <w:pStyle w:val="Zkladntext1"/>
        <w:shd w:val="clear" w:color="auto" w:fill="auto"/>
        <w:spacing w:after="180"/>
        <w:jc w:val="both"/>
      </w:pPr>
      <w:r>
        <w:t xml:space="preserve">V případě, že Smluvnímu partnerovi v jednom kalendářním měsíci vznikne nárok na více smluvních pokut za nedodržení více SLA parametrů (včetně doplňkových (výkonnostních)) dle tohoto Popisu služby SLA či jiného Smluvního </w:t>
      </w:r>
      <w:r>
        <w:t>dokumentu, tak se smluvní pokuty za nedodržení parametrů SLA nesčítají a Smluvní partner má nárok pouze na jednu smluvní pokutu za nedodržení jednoho SLA parametru (včetně doplňkového (výkonnostního)), a to dle rozhodnutí Smluvního partnera, není-li v tomt</w:t>
      </w:r>
      <w:r>
        <w:t>o Popisu služby SLA ve specifických podmínkách SLA (článek 5) výslovně stanoveno jinak.</w:t>
      </w:r>
    </w:p>
    <w:p w:rsidR="00215B20" w:rsidRDefault="00FD0AA3">
      <w:pPr>
        <w:pStyle w:val="Zkladntext1"/>
        <w:shd w:val="clear" w:color="auto" w:fill="auto"/>
        <w:spacing w:after="180"/>
        <w:jc w:val="both"/>
      </w:pPr>
      <w:r>
        <w:t xml:space="preserve">Výsledná smluvní pokuta náležející Smluvnímu partnerovi za nedodržení SLA parametrů dle tohoto Popisu služby SLA či jiného Smluvního dokumentu u jedné konkrétní Služby </w:t>
      </w:r>
      <w:r>
        <w:t>v jednom kalendářním měsíci může činit maximálně 50 % z pravidelné měsíční (měsíční paušální) ceny příslušné Služby po uplatnění všech sjednaných slev, není-li v tomto Popisu služby SLA ve specifických podmínkách SLA (článek 5) výslovně stanoveno jinak.</w:t>
      </w:r>
    </w:p>
    <w:p w:rsidR="00215B20" w:rsidRDefault="00FD0AA3">
      <w:pPr>
        <w:pStyle w:val="Zkladntext1"/>
        <w:shd w:val="clear" w:color="auto" w:fill="auto"/>
        <w:spacing w:after="180"/>
        <w:jc w:val="both"/>
      </w:pPr>
      <w:r>
        <w:t>Sm</w:t>
      </w:r>
      <w:r>
        <w:t>luvní partner je povinen uplatnit požadavek na poskytnutí zde uvedených smluvních pokut za nedodržení SLA parametrů dle tohoto Popisu služby SLA, popř. dle jiného Smluvního dokumentu, písemně u TMCZ, a to nejpozději ve lhůtě 2 měsíců od konce zúčtovacího o</w:t>
      </w:r>
      <w:r>
        <w:t>bdobí, v němž došlo k nedodržení SLA parametrů dle tohoto Popisu služby SLA, popř. dle jiného Smluvního dokumentu, ze strany TMCZ, jinak jeho právo na uplatnění či uhrazení těchto smluvních pokut ze strany TMCZ zanikne.</w:t>
      </w:r>
    </w:p>
    <w:p w:rsidR="00215B20" w:rsidRDefault="00FD0AA3">
      <w:pPr>
        <w:pStyle w:val="Zkladntext1"/>
        <w:shd w:val="clear" w:color="auto" w:fill="auto"/>
        <w:spacing w:after="180"/>
        <w:jc w:val="both"/>
      </w:pPr>
      <w:r>
        <w:t xml:space="preserve">Smluvní partner má nárok na smluvní </w:t>
      </w:r>
      <w:r>
        <w:t>pokutu za nedodržení SLA parametrů u příslušné Služby dle tohoto Popisu služby SLA, popř. dle jiného Smluvního dokumentu, pouze za kalendářní měsíc, v němž došlo k události, která vedla k nedodržení SLA parametrů u dané Služby. Smluvní partner nemá nárok n</w:t>
      </w:r>
      <w:r>
        <w:t>a smluvní pokutu za nedodržení SLA parametrů dle tohoto Popisu služby SLA, popř. dle jiného Smluvního dokumentu, za kalendářní měsíc, v němž jsou Služby Smluvnímu partnerovi poskytovány zdarma (SLA neplatí na Služby poskytované zdarma) nebo v němž jsou Slu</w:t>
      </w:r>
      <w:r>
        <w:t>žby poskytovány v pilotním (zkušebním) testovacím provozu.</w:t>
      </w:r>
    </w:p>
    <w:p w:rsidR="00215B20" w:rsidRDefault="00FD0AA3">
      <w:pPr>
        <w:pStyle w:val="Zkladntext1"/>
        <w:shd w:val="clear" w:color="auto" w:fill="auto"/>
        <w:spacing w:after="180" w:line="254" w:lineRule="auto"/>
        <w:jc w:val="both"/>
      </w:pPr>
      <w:r>
        <w:t>Případná smluvní pokuta, náležející Smluvnímu partnerovi za nedodržení SLA parametrů dle tohoto Popisu služby SLA, popř. dle jiného Smluvního dokumentu, se může objevit v příslušném vyúčtování Služ</w:t>
      </w:r>
      <w:r>
        <w:t>by pod položkou „Sleva za nedodržení SLA“.</w:t>
      </w:r>
    </w:p>
    <w:p w:rsidR="00215B20" w:rsidRDefault="00FD0AA3">
      <w:pPr>
        <w:pStyle w:val="Zkladntext1"/>
        <w:shd w:val="clear" w:color="auto" w:fill="auto"/>
        <w:jc w:val="both"/>
        <w:sectPr w:rsidR="00215B20">
          <w:headerReference w:type="even" r:id="rId55"/>
          <w:headerReference w:type="default" r:id="rId56"/>
          <w:footerReference w:type="even" r:id="rId57"/>
          <w:footerReference w:type="default" r:id="rId58"/>
          <w:pgSz w:w="11900" w:h="16840"/>
          <w:pgMar w:top="1814" w:right="1099" w:bottom="1159" w:left="1085" w:header="0" w:footer="3" w:gutter="0"/>
          <w:cols w:space="720"/>
          <w:noEndnote/>
          <w:docGrid w:linePitch="360"/>
        </w:sectPr>
      </w:pPr>
      <w:r>
        <w:t>TMCZ má právo vůči Smluvnímu partnerovi na úhradu ceny za činnost pracovníků TMCZ a ceny materiálu a náhradu nákladů vzniklých TMCZ v důsledku činností spojených s odstraněním Poruchy, pok</w:t>
      </w:r>
      <w:r>
        <w:t>ud se prokáže, že Porucha se netýká Služby poskytované TMCZ, pokud se zjistí, že Porucha vůbec nenastala, nebo pokud za ni TMCZ neodpovídá ve smyslu ujednání ve Smluvních dokumentech či ve smyslu příslušných ustanovení obecných právních předpisů.</w:t>
      </w:r>
    </w:p>
    <w:p w:rsidR="00215B20" w:rsidRDefault="00FD0AA3">
      <w:pPr>
        <w:rPr>
          <w:sz w:val="2"/>
          <w:szCs w:val="2"/>
        </w:rPr>
      </w:pPr>
      <w:r>
        <w:rPr>
          <w:noProof/>
          <w:lang w:bidi="ar-SA"/>
        </w:rPr>
        <w:lastRenderedPageBreak/>
        <w:drawing>
          <wp:inline distT="0" distB="0" distL="0" distR="0">
            <wp:extent cx="694690" cy="46926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
                    <a:stretch/>
                  </pic:blipFill>
                  <pic:spPr>
                    <a:xfrm>
                      <a:off x="0" y="0"/>
                      <a:ext cx="694690" cy="469265"/>
                    </a:xfrm>
                    <a:prstGeom prst="rect">
                      <a:avLst/>
                    </a:prstGeom>
                  </pic:spPr>
                </pic:pic>
              </a:graphicData>
            </a:graphic>
          </wp:inline>
        </w:drawing>
      </w:r>
    </w:p>
    <w:p w:rsidR="00215B20" w:rsidRDefault="00FD0AA3">
      <w:pPr>
        <w:pStyle w:val="Titulekobrzku0"/>
        <w:shd w:val="clear" w:color="auto" w:fill="auto"/>
        <w:spacing w:line="240" w:lineRule="auto"/>
        <w:ind w:firstLine="0"/>
        <w:rPr>
          <w:sz w:val="22"/>
          <w:szCs w:val="22"/>
        </w:rPr>
      </w:pPr>
      <w:r>
        <w:rPr>
          <w:rFonts w:ascii="Calibri" w:eastAsia="Calibri" w:hAnsi="Calibri" w:cs="Calibri"/>
          <w:color w:val="231F20"/>
          <w:sz w:val="22"/>
          <w:szCs w:val="22"/>
        </w:rPr>
        <w:t>Příloha</w:t>
      </w:r>
      <w:r>
        <w:rPr>
          <w:rFonts w:ascii="Calibri" w:eastAsia="Calibri" w:hAnsi="Calibri" w:cs="Calibri"/>
          <w:color w:val="231F20"/>
          <w:sz w:val="22"/>
          <w:szCs w:val="22"/>
        </w:rPr>
        <w:t xml:space="preserve"> č. 6:</w:t>
      </w:r>
    </w:p>
    <w:p w:rsidR="00215B20" w:rsidRDefault="00215B20">
      <w:pPr>
        <w:spacing w:after="139" w:line="1" w:lineRule="exact"/>
      </w:pPr>
    </w:p>
    <w:p w:rsidR="00215B20" w:rsidRDefault="00FD0AA3">
      <w:pPr>
        <w:pStyle w:val="Zkladntext30"/>
        <w:shd w:val="clear" w:color="auto" w:fill="auto"/>
        <w:ind w:firstLine="300"/>
        <w:sectPr w:rsidR="00215B20">
          <w:headerReference w:type="even" r:id="rId59"/>
          <w:headerReference w:type="default" r:id="rId60"/>
          <w:footerReference w:type="even" r:id="rId61"/>
          <w:footerReference w:type="default" r:id="rId62"/>
          <w:pgSz w:w="11900" w:h="16840"/>
          <w:pgMar w:top="1814" w:right="1099" w:bottom="1159" w:left="1085" w:header="0" w:footer="731" w:gutter="0"/>
          <w:pgNumType w:start="24"/>
          <w:cols w:space="720"/>
          <w:noEndnote/>
          <w:docGrid w:linePitch="360"/>
        </w:sectPr>
      </w:pPr>
      <w:r>
        <w:t>Návrh postupu na zajištění kontinuity poskytovaných Služeb přístupu k internetu</w:t>
      </w:r>
    </w:p>
    <w:p w:rsidR="00215B20" w:rsidRDefault="00FD0AA3">
      <w:pPr>
        <w:rPr>
          <w:sz w:val="2"/>
          <w:szCs w:val="2"/>
        </w:rPr>
      </w:pPr>
      <w:r>
        <w:rPr>
          <w:noProof/>
          <w:lang w:bidi="ar-SA"/>
        </w:rPr>
        <w:lastRenderedPageBreak/>
        <w:drawing>
          <wp:inline distT="0" distB="0" distL="0" distR="0">
            <wp:extent cx="877570" cy="43307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63"/>
                    <a:stretch/>
                  </pic:blipFill>
                  <pic:spPr>
                    <a:xfrm>
                      <a:off x="0" y="0"/>
                      <a:ext cx="877570" cy="433070"/>
                    </a:xfrm>
                    <a:prstGeom prst="rect">
                      <a:avLst/>
                    </a:prstGeom>
                  </pic:spPr>
                </pic:pic>
              </a:graphicData>
            </a:graphic>
          </wp:inline>
        </w:drawing>
      </w:r>
    </w:p>
    <w:p w:rsidR="00215B20" w:rsidRDefault="00215B20">
      <w:pPr>
        <w:spacing w:after="219" w:line="1" w:lineRule="exact"/>
      </w:pPr>
    </w:p>
    <w:p w:rsidR="00215B20" w:rsidRDefault="00FD0AA3">
      <w:pPr>
        <w:pStyle w:val="Nadpis30"/>
        <w:keepNext/>
        <w:keepLines/>
        <w:shd w:val="clear" w:color="auto" w:fill="auto"/>
        <w:spacing w:after="0"/>
      </w:pPr>
      <w:bookmarkStart w:id="136" w:name="bookmark136"/>
      <w:bookmarkStart w:id="137" w:name="bookmark137"/>
      <w:r>
        <w:t>Provozní statistiky - Uživatelský manuál</w:t>
      </w:r>
      <w:bookmarkEnd w:id="136"/>
      <w:bookmarkEnd w:id="137"/>
    </w:p>
    <w:p w:rsidR="00215B20" w:rsidRDefault="00FD0AA3">
      <w:pPr>
        <w:pStyle w:val="Zkladntext20"/>
        <w:shd w:val="clear" w:color="auto" w:fill="auto"/>
        <w:spacing w:after="220" w:line="240" w:lineRule="auto"/>
      </w:pPr>
      <w:r>
        <w:t>Platnost od 1. 6. 2018</w:t>
      </w:r>
    </w:p>
    <w:p w:rsidR="00215B20" w:rsidRDefault="00FD0AA3">
      <w:pPr>
        <w:pStyle w:val="Nadpis60"/>
        <w:keepNext/>
        <w:keepLines/>
        <w:numPr>
          <w:ilvl w:val="0"/>
          <w:numId w:val="6"/>
        </w:numPr>
        <w:shd w:val="clear" w:color="auto" w:fill="auto"/>
        <w:tabs>
          <w:tab w:val="left" w:pos="396"/>
        </w:tabs>
        <w:spacing w:after="0" w:line="334" w:lineRule="auto"/>
      </w:pPr>
      <w:bookmarkStart w:id="138" w:name="bookmark138"/>
      <w:bookmarkStart w:id="139" w:name="bookmark139"/>
      <w:r>
        <w:t>Úvod</w:t>
      </w:r>
      <w:bookmarkEnd w:id="138"/>
      <w:bookmarkEnd w:id="139"/>
    </w:p>
    <w:p w:rsidR="00215B20" w:rsidRDefault="00FD0AA3">
      <w:pPr>
        <w:pStyle w:val="Zkladntext20"/>
        <w:shd w:val="clear" w:color="auto" w:fill="auto"/>
        <w:spacing w:after="220"/>
      </w:pPr>
      <w:r>
        <w:t xml:space="preserve">Tento </w:t>
      </w:r>
      <w:r>
        <w:t>dokument popisuje doplňkovou Službu Provozní statistiky pro Služby Profesionální internet, IP VPN a IP komplet.</w:t>
      </w:r>
    </w:p>
    <w:p w:rsidR="00215B20" w:rsidRDefault="00FD0AA3">
      <w:pPr>
        <w:pStyle w:val="Nadpis60"/>
        <w:keepNext/>
        <w:keepLines/>
        <w:numPr>
          <w:ilvl w:val="0"/>
          <w:numId w:val="6"/>
        </w:numPr>
        <w:shd w:val="clear" w:color="auto" w:fill="auto"/>
        <w:tabs>
          <w:tab w:val="left" w:pos="396"/>
        </w:tabs>
        <w:spacing w:after="0" w:line="334" w:lineRule="auto"/>
      </w:pPr>
      <w:bookmarkStart w:id="140" w:name="bookmark140"/>
      <w:bookmarkStart w:id="141" w:name="bookmark141"/>
      <w:r>
        <w:t>Popis aplikace Provozní statistiky</w:t>
      </w:r>
      <w:bookmarkEnd w:id="140"/>
      <w:bookmarkEnd w:id="141"/>
    </w:p>
    <w:p w:rsidR="00215B20" w:rsidRDefault="00FD0AA3">
      <w:pPr>
        <w:pStyle w:val="Zkladntext20"/>
        <w:shd w:val="clear" w:color="auto" w:fill="auto"/>
        <w:spacing w:after="60"/>
        <w:jc w:val="both"/>
      </w:pPr>
      <w:r>
        <w:t xml:space="preserve">Doplňková Služba Provozní statistiky je provozovaná nad řešením BaseN, které patří do oblasti aplikací </w:t>
      </w:r>
      <w:r>
        <w:t>určených pro dohled a správu rozsáhých infrastruktur a zde je primárně určeno pro oblast tzv. Performance managementu.</w:t>
      </w:r>
    </w:p>
    <w:p w:rsidR="00215B20" w:rsidRDefault="00FD0AA3">
      <w:pPr>
        <w:pStyle w:val="Zkladntext20"/>
        <w:shd w:val="clear" w:color="auto" w:fill="auto"/>
        <w:spacing w:after="60"/>
        <w:jc w:val="both"/>
      </w:pPr>
      <w:r>
        <w:t>Aplikace BaseN provádí sběr dat o stavu jednotlivých sledovaných zařízení, jejich aktuálním využití a provádí prezentaci naměřených dat v</w:t>
      </w:r>
      <w:r>
        <w:t xml:space="preserve"> reálném čase. Informace poskytované touto aplikací slouží jako indikátor kvality poskytovaných Služeb a pro snadné ověření aktuálního stavu poskytované Služby.</w:t>
      </w:r>
    </w:p>
    <w:p w:rsidR="00215B20" w:rsidRDefault="00FD0AA3">
      <w:pPr>
        <w:pStyle w:val="Zkladntext20"/>
        <w:shd w:val="clear" w:color="auto" w:fill="auto"/>
        <w:spacing w:after="60"/>
        <w:jc w:val="both"/>
      </w:pPr>
      <w:r>
        <w:t>Interaktivní grafy poskytují také vysokou úroveň informací o historických datech, která mohou b</w:t>
      </w:r>
      <w:r>
        <w:t>ýt využita pro přesné plánování budoucích potřeb či zpětnou diagnostiku provozních situací na základě historických statistikv plném časovém rozlišení.</w:t>
      </w:r>
    </w:p>
    <w:p w:rsidR="00215B20" w:rsidRDefault="00FD0AA3">
      <w:pPr>
        <w:pStyle w:val="Zkladntext20"/>
        <w:shd w:val="clear" w:color="auto" w:fill="auto"/>
        <w:spacing w:after="220" w:line="389" w:lineRule="auto"/>
        <w:jc w:val="both"/>
      </w:pPr>
      <w:r>
        <w:t>Informace poskytované touto aplikací nemohou sloužit jako podklad pro výpočet sankce za nedodržení SLA, a</w:t>
      </w:r>
      <w:r>
        <w:t xml:space="preserve"> to především z důvodu, že v této aplikaci jsou zaznamenávány všechny výpadky. Tedy například i plánované výpadky Služby, výpadky způsobené na straně zákazníka apod., které se nezapočítávají do celkové nedostupnosti Služby.</w:t>
      </w:r>
    </w:p>
    <w:p w:rsidR="00215B20" w:rsidRDefault="00FD0AA3">
      <w:pPr>
        <w:pStyle w:val="Nadpis60"/>
        <w:keepNext/>
        <w:keepLines/>
        <w:numPr>
          <w:ilvl w:val="1"/>
          <w:numId w:val="6"/>
        </w:numPr>
        <w:shd w:val="clear" w:color="auto" w:fill="auto"/>
        <w:tabs>
          <w:tab w:val="left" w:pos="396"/>
        </w:tabs>
        <w:spacing w:line="334" w:lineRule="auto"/>
      </w:pPr>
      <w:bookmarkStart w:id="142" w:name="bookmark142"/>
      <w:bookmarkStart w:id="143" w:name="bookmark143"/>
      <w:r>
        <w:rPr>
          <w:color w:val="231F20"/>
        </w:rPr>
        <w:t>Základní popis</w:t>
      </w:r>
      <w:bookmarkEnd w:id="142"/>
      <w:bookmarkEnd w:id="143"/>
    </w:p>
    <w:p w:rsidR="00215B20" w:rsidRDefault="00FD0AA3">
      <w:pPr>
        <w:pStyle w:val="Zkladntext20"/>
        <w:shd w:val="clear" w:color="auto" w:fill="auto"/>
        <w:spacing w:after="60" w:line="389" w:lineRule="auto"/>
        <w:jc w:val="both"/>
      </w:pPr>
      <w:r>
        <w:t xml:space="preserve">Aplikace provádí </w:t>
      </w:r>
      <w:r>
        <w:t>sběr dat ze sledovaných zařízení a systémů. Sbíraná data jsou v systému dlouhodobě ukládána. Sběr dat se provádí periodicky, standardní nastavení sběru dat jsou každé 4 minuty. Naměřená data jsou bezprostředně zobrazována. Spolu s aktuálními vzorky jsou do</w:t>
      </w:r>
      <w:r>
        <w:t>stupné ve stejných statistikách již provedená měření za období 24 měsíců.</w:t>
      </w:r>
    </w:p>
    <w:p w:rsidR="00215B20" w:rsidRDefault="00FD0AA3">
      <w:pPr>
        <w:pStyle w:val="Zkladntext20"/>
        <w:shd w:val="clear" w:color="auto" w:fill="auto"/>
        <w:spacing w:after="160"/>
        <w:jc w:val="both"/>
      </w:pPr>
      <w:r>
        <w:t>Na základě dostupných dat je k dispozici také predikce trendů, založena na matematickém vyhodnocení posledních měření. Predikce se zakládá na matematických vztazích posledních měření</w:t>
      </w:r>
      <w:r>
        <w:t xml:space="preserve"> a může se výrazně lišit od skutečnosti a technických možností zařízení. Tato vlastnost grafů je poskytována indikativně, jako pomůcka pro odhady a plánování statisticky ustálených průběhů.</w:t>
      </w:r>
    </w:p>
    <w:p w:rsidR="00215B20" w:rsidRDefault="00FD0AA3">
      <w:pPr>
        <w:pStyle w:val="Nadpis60"/>
        <w:keepNext/>
        <w:keepLines/>
        <w:numPr>
          <w:ilvl w:val="1"/>
          <w:numId w:val="6"/>
        </w:numPr>
        <w:shd w:val="clear" w:color="auto" w:fill="auto"/>
        <w:tabs>
          <w:tab w:val="left" w:pos="396"/>
        </w:tabs>
        <w:spacing w:line="334" w:lineRule="auto"/>
      </w:pPr>
      <w:bookmarkStart w:id="144" w:name="bookmark144"/>
      <w:bookmarkStart w:id="145" w:name="bookmark145"/>
      <w:r>
        <w:rPr>
          <w:color w:val="231F20"/>
        </w:rPr>
        <w:t>Změna sledované Služby</w:t>
      </w:r>
      <w:bookmarkEnd w:id="144"/>
      <w:bookmarkEnd w:id="145"/>
    </w:p>
    <w:p w:rsidR="00215B20" w:rsidRDefault="00FD0AA3">
      <w:pPr>
        <w:pStyle w:val="Zkladntext20"/>
        <w:shd w:val="clear" w:color="auto" w:fill="auto"/>
        <w:spacing w:after="160"/>
        <w:jc w:val="both"/>
      </w:pPr>
      <w:r>
        <w:t>Pokud dojde ke změně sledované Služby (změn</w:t>
      </w:r>
      <w:r>
        <w:t>a technologie na přístupové lince, změna rozhraní) může dojít při této změně ke ztrátě již naměřených dat. Tuto ztrátu lze určitým způsobem nahradit tím, že si uživatel naměřená data na ještě nezměněné přípojce vyexportuje - viz odst. 5.1 Export naměřených</w:t>
      </w:r>
      <w:r>
        <w:t xml:space="preserve"> hodnot, grafů.</w:t>
      </w:r>
    </w:p>
    <w:p w:rsidR="00215B20" w:rsidRDefault="00FD0AA3">
      <w:pPr>
        <w:pStyle w:val="Nadpis60"/>
        <w:keepNext/>
        <w:keepLines/>
        <w:numPr>
          <w:ilvl w:val="1"/>
          <w:numId w:val="6"/>
        </w:numPr>
        <w:shd w:val="clear" w:color="auto" w:fill="auto"/>
        <w:tabs>
          <w:tab w:val="left" w:pos="396"/>
        </w:tabs>
        <w:spacing w:line="334" w:lineRule="auto"/>
      </w:pPr>
      <w:bookmarkStart w:id="146" w:name="bookmark146"/>
      <w:bookmarkStart w:id="147" w:name="bookmark147"/>
      <w:r>
        <w:rPr>
          <w:color w:val="231F20"/>
        </w:rPr>
        <w:t>Sběr dat</w:t>
      </w:r>
      <w:bookmarkEnd w:id="146"/>
      <w:bookmarkEnd w:id="147"/>
    </w:p>
    <w:p w:rsidR="00215B20" w:rsidRDefault="00FD0AA3">
      <w:pPr>
        <w:pStyle w:val="Zkladntext20"/>
        <w:shd w:val="clear" w:color="auto" w:fill="auto"/>
        <w:spacing w:after="60"/>
      </w:pPr>
      <w:r>
        <w:t>Aplikace Provozní statistiky provádí měření dvěma základními způsoby:</w:t>
      </w:r>
    </w:p>
    <w:p w:rsidR="00215B20" w:rsidRDefault="00FD0AA3">
      <w:pPr>
        <w:pStyle w:val="Zkladntext20"/>
        <w:numPr>
          <w:ilvl w:val="0"/>
          <w:numId w:val="2"/>
        </w:numPr>
        <w:shd w:val="clear" w:color="auto" w:fill="auto"/>
        <w:tabs>
          <w:tab w:val="left" w:pos="396"/>
        </w:tabs>
        <w:spacing w:after="0" w:line="240" w:lineRule="auto"/>
      </w:pPr>
      <w:r>
        <w:t xml:space="preserve">Generováním </w:t>
      </w:r>
      <w:r>
        <w:rPr>
          <w:lang w:val="en-US" w:eastAsia="en-US" w:bidi="en-US"/>
        </w:rPr>
        <w:t xml:space="preserve">ICMP (Internet </w:t>
      </w:r>
      <w:r>
        <w:t xml:space="preserve">Contol </w:t>
      </w:r>
      <w:r>
        <w:rPr>
          <w:lang w:val="en-US" w:eastAsia="en-US" w:bidi="en-US"/>
        </w:rPr>
        <w:t xml:space="preserve">Message Protocol) </w:t>
      </w:r>
      <w:r>
        <w:t>packetů;</w:t>
      </w:r>
    </w:p>
    <w:p w:rsidR="00215B20" w:rsidRDefault="00FD0AA3">
      <w:pPr>
        <w:pStyle w:val="Zkladntext20"/>
        <w:numPr>
          <w:ilvl w:val="0"/>
          <w:numId w:val="2"/>
        </w:numPr>
        <w:shd w:val="clear" w:color="auto" w:fill="auto"/>
        <w:tabs>
          <w:tab w:val="left" w:pos="396"/>
        </w:tabs>
        <w:spacing w:after="220" w:line="240" w:lineRule="auto"/>
      </w:pPr>
      <w:r>
        <w:t xml:space="preserve">Sběrem dat pomocí </w:t>
      </w:r>
      <w:r>
        <w:rPr>
          <w:lang w:val="en-US" w:eastAsia="en-US" w:bidi="en-US"/>
        </w:rPr>
        <w:t xml:space="preserve">SNMP (Simple Network Management Protocol) </w:t>
      </w:r>
      <w:r>
        <w:t>protokolu.</w:t>
      </w:r>
    </w:p>
    <w:p w:rsidR="00215B20" w:rsidRDefault="00FD0AA3">
      <w:pPr>
        <w:pStyle w:val="Zkladntext20"/>
        <w:shd w:val="clear" w:color="auto" w:fill="auto"/>
        <w:spacing w:after="220"/>
        <w:jc w:val="both"/>
      </w:pPr>
      <w:r>
        <w:t xml:space="preserve">Data jsou získávána ze </w:t>
      </w:r>
      <w:r>
        <w:t xml:space="preserve">zařízení v síti </w:t>
      </w:r>
      <w:proofErr w:type="gramStart"/>
      <w:r>
        <w:t>T-Mobile</w:t>
      </w:r>
      <w:proofErr w:type="gramEnd"/>
      <w:r>
        <w:t xml:space="preserve"> zejména z PE směrovačů, IP SLA agentů a z koncových zařízení umístěných u Smluvních partnerů tzv. CE směrovačů.</w:t>
      </w:r>
    </w:p>
    <w:p w:rsidR="00215B20" w:rsidRDefault="00FD0AA3">
      <w:pPr>
        <w:pStyle w:val="Zkladntext20"/>
        <w:shd w:val="clear" w:color="auto" w:fill="auto"/>
        <w:spacing w:after="0" w:line="360" w:lineRule="auto"/>
        <w:rPr>
          <w:sz w:val="14"/>
          <w:szCs w:val="14"/>
        </w:rPr>
      </w:pPr>
      <w:r>
        <w:rPr>
          <w:b/>
          <w:bCs/>
          <w:sz w:val="14"/>
          <w:szCs w:val="14"/>
        </w:rPr>
        <w:t>Sběr dat o výsledcích ICMP měření</w:t>
      </w:r>
    </w:p>
    <w:p w:rsidR="00215B20" w:rsidRDefault="00FD0AA3">
      <w:pPr>
        <w:pStyle w:val="Zkladntext20"/>
        <w:shd w:val="clear" w:color="auto" w:fill="auto"/>
        <w:spacing w:after="220"/>
        <w:jc w:val="both"/>
      </w:pPr>
      <w:r>
        <w:t>Základní sledování dostupnosti jednotlivých zákaznických lokalit se provádí pomocí ge</w:t>
      </w:r>
      <w:r>
        <w:t>nerování ICMP zpráv a zpětném vyhodnocení obdržených odpovědí. Na základě sledování odezvy jednotlivých zařízení umístěných u Smluvních partnerů (CE směrovačů) na zaslané ICMP zprávy je rozhodováno o dostupnosti dané zákaznické lokality.</w:t>
      </w:r>
    </w:p>
    <w:p w:rsidR="00215B20" w:rsidRDefault="00FD0AA3">
      <w:pPr>
        <w:pStyle w:val="Zkladntext20"/>
        <w:shd w:val="clear" w:color="auto" w:fill="auto"/>
        <w:spacing w:after="0" w:line="360" w:lineRule="auto"/>
        <w:rPr>
          <w:sz w:val="14"/>
          <w:szCs w:val="14"/>
        </w:rPr>
      </w:pPr>
      <w:r>
        <w:rPr>
          <w:b/>
          <w:bCs/>
          <w:sz w:val="14"/>
          <w:szCs w:val="14"/>
        </w:rPr>
        <w:t>Sběr dat z rozhran</w:t>
      </w:r>
      <w:r>
        <w:rPr>
          <w:b/>
          <w:bCs/>
          <w:sz w:val="14"/>
          <w:szCs w:val="14"/>
        </w:rPr>
        <w:t>í CE a PE směrovačů pomocí SNMP dotazů</w:t>
      </w:r>
    </w:p>
    <w:p w:rsidR="00215B20" w:rsidRDefault="00FD0AA3">
      <w:pPr>
        <w:pStyle w:val="Zkladntext20"/>
        <w:shd w:val="clear" w:color="auto" w:fill="auto"/>
        <w:spacing w:after="220"/>
        <w:jc w:val="both"/>
      </w:pPr>
      <w:r>
        <w:t>Data jsou sbírána aplikací přímo z rozhraní definovaných CE a PE směrovačů. Jedná se o sběr dat pro každou definovanou lokalitu. Primárně jsou sbírána data o vytížení a utilizaci linky.</w:t>
      </w:r>
    </w:p>
    <w:p w:rsidR="00215B20" w:rsidRDefault="00FD0AA3">
      <w:pPr>
        <w:pStyle w:val="Zkladntext20"/>
        <w:shd w:val="clear" w:color="auto" w:fill="auto"/>
        <w:spacing w:after="0" w:line="360" w:lineRule="auto"/>
        <w:rPr>
          <w:sz w:val="14"/>
          <w:szCs w:val="14"/>
        </w:rPr>
      </w:pPr>
      <w:r>
        <w:rPr>
          <w:b/>
          <w:bCs/>
          <w:sz w:val="14"/>
          <w:szCs w:val="14"/>
        </w:rPr>
        <w:t>Sběr dat o vytížení QoS z rozhr</w:t>
      </w:r>
      <w:r>
        <w:rPr>
          <w:b/>
          <w:bCs/>
          <w:sz w:val="14"/>
          <w:szCs w:val="14"/>
        </w:rPr>
        <w:t>aní CE a PE směrovačů pomocí SNMP dotazů</w:t>
      </w:r>
    </w:p>
    <w:p w:rsidR="00215B20" w:rsidRDefault="00FD0AA3">
      <w:pPr>
        <w:pStyle w:val="Zkladntext20"/>
        <w:shd w:val="clear" w:color="auto" w:fill="auto"/>
        <w:spacing w:after="220"/>
        <w:jc w:val="both"/>
      </w:pPr>
      <w:r>
        <w:t>V rámci definovaných tříd provozu u Smluvního partnera jsou sbírána data o parametrech provozu v rámci jednotlivých QoS tříd. Jedná se o sběr dat o vytížení v rámci třídy, počet zahozených paketů a zpoždění paketů.</w:t>
      </w:r>
    </w:p>
    <w:p w:rsidR="00215B20" w:rsidRDefault="00FD0AA3">
      <w:pPr>
        <w:pStyle w:val="Zkladntext20"/>
        <w:shd w:val="clear" w:color="auto" w:fill="auto"/>
        <w:spacing w:after="0" w:line="360" w:lineRule="auto"/>
        <w:rPr>
          <w:sz w:val="14"/>
          <w:szCs w:val="14"/>
        </w:rPr>
      </w:pPr>
      <w:r>
        <w:rPr>
          <w:b/>
          <w:bCs/>
          <w:sz w:val="14"/>
          <w:szCs w:val="14"/>
        </w:rPr>
        <w:t>Sběr dat z IP SLA agentů pomocí SNMP dotazů</w:t>
      </w:r>
    </w:p>
    <w:p w:rsidR="00215B20" w:rsidRDefault="00FD0AA3">
      <w:pPr>
        <w:pStyle w:val="Zkladntext20"/>
        <w:shd w:val="clear" w:color="auto" w:fill="auto"/>
        <w:spacing w:after="120"/>
        <w:jc w:val="both"/>
      </w:pPr>
      <w:r>
        <w:t xml:space="preserve">Detailní data o sledování dostupnosti jsou sbírána ze směrovačů, které jsou v centru </w:t>
      </w:r>
      <w:proofErr w:type="gramStart"/>
      <w:r>
        <w:t>T-Mobile</w:t>
      </w:r>
      <w:proofErr w:type="gramEnd"/>
      <w:r>
        <w:t xml:space="preserve"> a jsou určeny pro sledování odezvy jednotlivých zákaznických lokalit. Na směrovačích jsou nastaveny tzv. IP SLA agenti</w:t>
      </w:r>
      <w:r>
        <w:t xml:space="preserve"> tak, že provádí sérii testů na zařízení CE. Provádí se měření </w:t>
      </w:r>
      <w:r w:rsidRPr="00920265">
        <w:rPr>
          <w:lang w:eastAsia="en-US" w:bidi="en-US"/>
        </w:rPr>
        <w:t xml:space="preserve">Jitter, </w:t>
      </w:r>
      <w:r>
        <w:t xml:space="preserve">zpoždění, odezva a ztráty paketů. IP SLA měření generuje provoz na přístupové lince na úrovni cca 30kbit/s, což v případě použití </w:t>
      </w:r>
      <w:r w:rsidRPr="00920265">
        <w:rPr>
          <w:lang w:eastAsia="en-US" w:bidi="en-US"/>
        </w:rPr>
        <w:t xml:space="preserve">VoIP </w:t>
      </w:r>
      <w:r>
        <w:t>zabírá kapacitu jednoho hlasového kanálu. Sběr dat</w:t>
      </w:r>
      <w:r>
        <w:t xml:space="preserve"> z PE směrovačů je dostupný pouze pro služby poskytované na území České Republiky.</w:t>
      </w:r>
    </w:p>
    <w:p w:rsidR="00215B20" w:rsidRDefault="00FD0AA3">
      <w:pPr>
        <w:rPr>
          <w:sz w:val="2"/>
          <w:szCs w:val="2"/>
        </w:rPr>
      </w:pPr>
      <w:r>
        <w:rPr>
          <w:noProof/>
          <w:lang w:bidi="ar-SA"/>
        </w:rPr>
        <w:drawing>
          <wp:inline distT="0" distB="0" distL="0" distR="0">
            <wp:extent cx="877570" cy="43307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63"/>
                    <a:stretch/>
                  </pic:blipFill>
                  <pic:spPr>
                    <a:xfrm>
                      <a:off x="0" y="0"/>
                      <a:ext cx="877570" cy="433070"/>
                    </a:xfrm>
                    <a:prstGeom prst="rect">
                      <a:avLst/>
                    </a:prstGeom>
                  </pic:spPr>
                </pic:pic>
              </a:graphicData>
            </a:graphic>
          </wp:inline>
        </w:drawing>
      </w:r>
    </w:p>
    <w:p w:rsidR="00215B20" w:rsidRDefault="00215B20">
      <w:pPr>
        <w:spacing w:after="219" w:line="1" w:lineRule="exact"/>
      </w:pPr>
    </w:p>
    <w:p w:rsidR="00215B20" w:rsidRDefault="00FD0AA3">
      <w:pPr>
        <w:pStyle w:val="Nadpis30"/>
        <w:keepNext/>
        <w:keepLines/>
        <w:shd w:val="clear" w:color="auto" w:fill="auto"/>
        <w:spacing w:after="0"/>
      </w:pPr>
      <w:bookmarkStart w:id="148" w:name="bookmark148"/>
      <w:bookmarkStart w:id="149" w:name="bookmark149"/>
      <w:r>
        <w:lastRenderedPageBreak/>
        <w:t>Provozní statistiky - Uživatelský manuál</w:t>
      </w:r>
      <w:bookmarkEnd w:id="148"/>
      <w:bookmarkEnd w:id="149"/>
    </w:p>
    <w:p w:rsidR="00215B20" w:rsidRDefault="00FD0AA3">
      <w:pPr>
        <w:pStyle w:val="Zkladntext20"/>
        <w:shd w:val="clear" w:color="auto" w:fill="auto"/>
        <w:spacing w:after="220" w:line="240" w:lineRule="auto"/>
        <w:rPr>
          <w:sz w:val="14"/>
          <w:szCs w:val="14"/>
        </w:rPr>
      </w:pPr>
      <w:r>
        <w:rPr>
          <w:b/>
          <w:bCs/>
          <w:sz w:val="14"/>
          <w:szCs w:val="14"/>
        </w:rPr>
        <w:t>Platnost od 1. 6. 2018</w:t>
      </w:r>
    </w:p>
    <w:p w:rsidR="00215B20" w:rsidRDefault="00FD0AA3">
      <w:pPr>
        <w:pStyle w:val="Zkladntext20"/>
        <w:shd w:val="clear" w:color="auto" w:fill="auto"/>
        <w:spacing w:after="160"/>
        <w:jc w:val="both"/>
      </w:pPr>
      <w:r>
        <w:t>Sběr dat je prováděn periodicky po 4 minutách. Data jsou ukládána po dobu 24 měsíců v databázi a dále prez</w:t>
      </w:r>
      <w:r>
        <w:t xml:space="preserve">entována Smluvním partnerům prostřednictvím </w:t>
      </w:r>
      <w:r w:rsidRPr="00920265">
        <w:rPr>
          <w:lang w:eastAsia="en-US" w:bidi="en-US"/>
        </w:rPr>
        <w:t xml:space="preserve">online web </w:t>
      </w:r>
      <w:r>
        <w:t>rozhraní.</w:t>
      </w:r>
    </w:p>
    <w:p w:rsidR="00215B20" w:rsidRDefault="00FD0AA3">
      <w:pPr>
        <w:pStyle w:val="Nadpis60"/>
        <w:keepNext/>
        <w:keepLines/>
        <w:numPr>
          <w:ilvl w:val="0"/>
          <w:numId w:val="7"/>
        </w:numPr>
        <w:shd w:val="clear" w:color="auto" w:fill="auto"/>
        <w:tabs>
          <w:tab w:val="left" w:pos="569"/>
        </w:tabs>
        <w:spacing w:after="160" w:line="240" w:lineRule="auto"/>
      </w:pPr>
      <w:bookmarkStart w:id="150" w:name="bookmark150"/>
      <w:bookmarkStart w:id="151" w:name="bookmark151"/>
      <w:r>
        <w:rPr>
          <w:color w:val="231F20"/>
          <w:lang w:val="en-US" w:eastAsia="en-US" w:bidi="en-US"/>
        </w:rPr>
        <w:t xml:space="preserve">ICMP </w:t>
      </w:r>
      <w:r>
        <w:rPr>
          <w:color w:val="231F20"/>
        </w:rPr>
        <w:t xml:space="preserve">protokol </w:t>
      </w:r>
      <w:r>
        <w:rPr>
          <w:color w:val="231F20"/>
          <w:lang w:val="en-US" w:eastAsia="en-US" w:bidi="en-US"/>
        </w:rPr>
        <w:t>(Internet Control Message Protocol)</w:t>
      </w:r>
      <w:bookmarkEnd w:id="150"/>
      <w:bookmarkEnd w:id="151"/>
    </w:p>
    <w:p w:rsidR="00215B20" w:rsidRDefault="00FD0AA3">
      <w:pPr>
        <w:pStyle w:val="Zkladntext20"/>
        <w:shd w:val="clear" w:color="auto" w:fill="auto"/>
        <w:spacing w:after="220" w:line="389" w:lineRule="auto"/>
        <w:jc w:val="both"/>
      </w:pPr>
      <w:r>
        <w:t xml:space="preserve">Agent, který sleduje dostupnost CE zařízení, zašle ICMP zprávu typu 8 </w:t>
      </w:r>
      <w:r w:rsidRPr="00920265">
        <w:rPr>
          <w:lang w:eastAsia="en-US" w:bidi="en-US"/>
        </w:rPr>
        <w:t xml:space="preserve">(echo request) </w:t>
      </w:r>
      <w:r>
        <w:t xml:space="preserve">na cílové CE zařízení. Jestliže zařízení CE obdrží tuto zprávu, odpoví zdrojovému zařízení (agentovi) ICMP zprávou typu 0 </w:t>
      </w:r>
      <w:r w:rsidRPr="00920265">
        <w:rPr>
          <w:lang w:eastAsia="en-US" w:bidi="en-US"/>
        </w:rPr>
        <w:t xml:space="preserve">(echo reply). </w:t>
      </w:r>
      <w:r>
        <w:t>Jestliže zdrojové zařízení (agent) tuto zprávu obdrží, cílové CE zařízení je dostupné. V rámci ICMP měření jsou zasílány</w:t>
      </w:r>
      <w:r>
        <w:t xml:space="preserve"> každou minutu 3 ICMP pakety, které slouží pouze k základní diagnostice dostupnosti přípojky. Z důvodu zasílání tohoto nízkého počtu ICMP paketů nedává „ICMP </w:t>
      </w:r>
      <w:r w:rsidRPr="00920265">
        <w:rPr>
          <w:lang w:eastAsia="en-US" w:bidi="en-US"/>
        </w:rPr>
        <w:t xml:space="preserve">packet loss“ </w:t>
      </w:r>
      <w:r>
        <w:t xml:space="preserve">měření úplně přesné výsledky (např. ztráta jediného ICMP paketu vygeneruje 33% </w:t>
      </w:r>
      <w:r w:rsidRPr="00920265">
        <w:rPr>
          <w:lang w:eastAsia="en-US" w:bidi="en-US"/>
        </w:rPr>
        <w:t>packet</w:t>
      </w:r>
      <w:r w:rsidRPr="00920265">
        <w:rPr>
          <w:lang w:eastAsia="en-US" w:bidi="en-US"/>
        </w:rPr>
        <w:t xml:space="preserve"> loss </w:t>
      </w:r>
      <w:r>
        <w:t>v daný časový okamžik).</w:t>
      </w:r>
    </w:p>
    <w:p w:rsidR="00215B20" w:rsidRDefault="00FD0AA3">
      <w:pPr>
        <w:pStyle w:val="Nadpis60"/>
        <w:keepNext/>
        <w:keepLines/>
        <w:numPr>
          <w:ilvl w:val="0"/>
          <w:numId w:val="7"/>
        </w:numPr>
        <w:shd w:val="clear" w:color="auto" w:fill="auto"/>
        <w:tabs>
          <w:tab w:val="left" w:pos="569"/>
        </w:tabs>
        <w:spacing w:after="160" w:line="240" w:lineRule="auto"/>
      </w:pPr>
      <w:bookmarkStart w:id="152" w:name="bookmark152"/>
      <w:bookmarkStart w:id="153" w:name="bookmark153"/>
      <w:r>
        <w:rPr>
          <w:color w:val="231F20"/>
        </w:rPr>
        <w:t xml:space="preserve">SNMP protokol </w:t>
      </w:r>
      <w:r>
        <w:rPr>
          <w:color w:val="231F20"/>
          <w:lang w:val="en-US" w:eastAsia="en-US" w:bidi="en-US"/>
        </w:rPr>
        <w:t>(Simple Network Management Protocol)</w:t>
      </w:r>
      <w:bookmarkEnd w:id="152"/>
      <w:bookmarkEnd w:id="153"/>
    </w:p>
    <w:p w:rsidR="00215B20" w:rsidRDefault="00FD0AA3">
      <w:pPr>
        <w:pStyle w:val="Zkladntext20"/>
        <w:shd w:val="clear" w:color="auto" w:fill="auto"/>
        <w:spacing w:after="60" w:line="389" w:lineRule="auto"/>
      </w:pPr>
      <w:r>
        <w:t xml:space="preserve">Pro dohled zařízení a systémů se standardně využívá SNMP protokol </w:t>
      </w:r>
      <w:r>
        <w:rPr>
          <w:lang w:val="en-US" w:eastAsia="en-US" w:bidi="en-US"/>
        </w:rPr>
        <w:t>(Simple Network Management Protocol).</w:t>
      </w:r>
    </w:p>
    <w:p w:rsidR="00215B20" w:rsidRDefault="00FD0AA3">
      <w:pPr>
        <w:pStyle w:val="Zkladntext20"/>
        <w:shd w:val="clear" w:color="auto" w:fill="auto"/>
        <w:spacing w:after="160" w:line="389" w:lineRule="auto"/>
        <w:jc w:val="both"/>
      </w:pPr>
      <w:r w:rsidRPr="00920265">
        <w:rPr>
          <w:lang w:eastAsia="en-US" w:bidi="en-US"/>
        </w:rPr>
        <w:t xml:space="preserve">SNMP </w:t>
      </w:r>
      <w:r>
        <w:t>je založen na komunikaci řídicího systému s dohlíženým, spravovaný</w:t>
      </w:r>
      <w:r>
        <w:t xml:space="preserve">m řízeným zařízením. SNMP pracuje na principu “dotaz - odpověď” a jeho vlastností je, že po odeslání dotazu nemusí čekat na odpověď. Může posílat další dotazy nebo provádět jiné aktivity. Pro potřeby této komunikace SNMP definuje omezenou množinu příkazů. </w:t>
      </w:r>
      <w:r>
        <w:t xml:space="preserve">Základními příkazy jsou příkazy </w:t>
      </w:r>
      <w:r>
        <w:rPr>
          <w:lang w:val="en-US" w:eastAsia="en-US" w:bidi="en-US"/>
        </w:rPr>
        <w:t xml:space="preserve">Get </w:t>
      </w:r>
      <w:r>
        <w:t>a Set.</w:t>
      </w:r>
    </w:p>
    <w:p w:rsidR="00215B20" w:rsidRDefault="00FD0AA3">
      <w:pPr>
        <w:pStyle w:val="Nadpis60"/>
        <w:keepNext/>
        <w:keepLines/>
        <w:numPr>
          <w:ilvl w:val="0"/>
          <w:numId w:val="7"/>
        </w:numPr>
        <w:shd w:val="clear" w:color="auto" w:fill="auto"/>
        <w:tabs>
          <w:tab w:val="left" w:pos="569"/>
        </w:tabs>
        <w:spacing w:after="160" w:line="240" w:lineRule="auto"/>
      </w:pPr>
      <w:bookmarkStart w:id="154" w:name="bookmark154"/>
      <w:bookmarkStart w:id="155" w:name="bookmark155"/>
      <w:r>
        <w:rPr>
          <w:color w:val="231F20"/>
        </w:rPr>
        <w:t>Cisco IP SLA agent</w:t>
      </w:r>
      <w:bookmarkEnd w:id="154"/>
      <w:bookmarkEnd w:id="155"/>
    </w:p>
    <w:p w:rsidR="00215B20" w:rsidRDefault="00FD0AA3">
      <w:pPr>
        <w:pStyle w:val="Zkladntext20"/>
        <w:shd w:val="clear" w:color="auto" w:fill="auto"/>
        <w:spacing w:after="60"/>
        <w:jc w:val="both"/>
      </w:pPr>
      <w:r>
        <w:t xml:space="preserve">V síti </w:t>
      </w:r>
      <w:proofErr w:type="gramStart"/>
      <w:r>
        <w:t>T-Mobile</w:t>
      </w:r>
      <w:proofErr w:type="gramEnd"/>
      <w:r>
        <w:t xml:space="preserve"> jsou použity směrovače od společnosti Cisco. Tato zařízení, mimo svoji hlavní činnost směrování paketů, mají implementovány tzv. IP SLA agenty. Jedná se o „agenta“ - aplikaci, kt</w:t>
      </w:r>
      <w:r>
        <w:t xml:space="preserve">erá dokáže z </w:t>
      </w:r>
      <w:proofErr w:type="gramStart"/>
      <w:r>
        <w:t>Cisco</w:t>
      </w:r>
      <w:proofErr w:type="gramEnd"/>
      <w:r>
        <w:t xml:space="preserve"> směrovače provádět různé testy dostupnosti a odezvy paketů generováním provozu na libovolný prvekv síti, v libovolné nastavené třídě kvality (QoS).</w:t>
      </w:r>
    </w:p>
    <w:p w:rsidR="00215B20" w:rsidRDefault="00FD0AA3">
      <w:pPr>
        <w:pStyle w:val="Zkladntext20"/>
        <w:shd w:val="clear" w:color="auto" w:fill="auto"/>
        <w:spacing w:after="60" w:line="389" w:lineRule="auto"/>
        <w:jc w:val="both"/>
      </w:pPr>
      <w:r>
        <w:t xml:space="preserve">Základní typy měření Cisco IP SLA agentajsou: ztráta paketů </w:t>
      </w:r>
      <w:r w:rsidRPr="00920265">
        <w:rPr>
          <w:lang w:eastAsia="en-US" w:bidi="en-US"/>
        </w:rPr>
        <w:t xml:space="preserve">(Packet Loss), </w:t>
      </w:r>
      <w:r>
        <w:t xml:space="preserve">zpoždění </w:t>
      </w:r>
      <w:r w:rsidRPr="00920265">
        <w:rPr>
          <w:lang w:eastAsia="en-US" w:bidi="en-US"/>
        </w:rPr>
        <w:t>(Dela</w:t>
      </w:r>
      <w:r w:rsidRPr="00920265">
        <w:rPr>
          <w:lang w:eastAsia="en-US" w:bidi="en-US"/>
        </w:rPr>
        <w:t xml:space="preserve">y), </w:t>
      </w:r>
      <w:r>
        <w:t xml:space="preserve">rozptyl zpoždění paketů </w:t>
      </w:r>
      <w:r w:rsidRPr="00920265">
        <w:rPr>
          <w:lang w:eastAsia="en-US" w:bidi="en-US"/>
        </w:rPr>
        <w:t>(Jitter).</w:t>
      </w:r>
    </w:p>
    <w:p w:rsidR="00215B20" w:rsidRDefault="00FD0AA3">
      <w:pPr>
        <w:pStyle w:val="Zkladntext20"/>
        <w:shd w:val="clear" w:color="auto" w:fill="auto"/>
        <w:spacing w:after="280"/>
        <w:jc w:val="both"/>
      </w:pPr>
      <w:r>
        <w:t>IP SLA agent provádí dotazy na libovolné síťové zařízení a měřené hodnoty ukládá pro další zpracování. Naměřené hodnoty jsou prostřednictvím SNMP protokolu přístupné aplikacím, které jsou schopny data dále sbírat, uklá</w:t>
      </w:r>
      <w:r>
        <w:t>dat a dále prezentovat.</w:t>
      </w:r>
    </w:p>
    <w:p w:rsidR="00215B20" w:rsidRDefault="00FD0AA3">
      <w:pPr>
        <w:pStyle w:val="Zkladntext1"/>
        <w:numPr>
          <w:ilvl w:val="0"/>
          <w:numId w:val="7"/>
        </w:numPr>
        <w:shd w:val="clear" w:color="auto" w:fill="auto"/>
        <w:tabs>
          <w:tab w:val="left" w:pos="569"/>
        </w:tabs>
        <w:spacing w:after="160" w:line="240" w:lineRule="auto"/>
        <w:jc w:val="both"/>
      </w:pPr>
      <w:r>
        <w:rPr>
          <w:b/>
          <w:bCs/>
          <w:color w:val="DE1273"/>
        </w:rPr>
        <w:t>Nastavené reporty</w:t>
      </w:r>
    </w:p>
    <w:p w:rsidR="00215B20" w:rsidRDefault="00FD0AA3">
      <w:pPr>
        <w:pStyle w:val="Zkladntext1"/>
        <w:shd w:val="clear" w:color="auto" w:fill="auto"/>
        <w:spacing w:line="360" w:lineRule="auto"/>
        <w:rPr>
          <w:sz w:val="14"/>
          <w:szCs w:val="14"/>
        </w:rPr>
      </w:pPr>
      <w:r>
        <w:rPr>
          <w:b/>
          <w:bCs/>
          <w:sz w:val="14"/>
          <w:szCs w:val="14"/>
          <w:lang w:val="en-US" w:eastAsia="en-US" w:bidi="en-US"/>
        </w:rPr>
        <w:t>Status Summary</w:t>
      </w:r>
    </w:p>
    <w:p w:rsidR="00215B20" w:rsidRDefault="00FD0AA3">
      <w:pPr>
        <w:pStyle w:val="Zkladntext20"/>
        <w:shd w:val="clear" w:color="auto" w:fill="auto"/>
        <w:spacing w:after="60" w:line="389" w:lineRule="auto"/>
      </w:pPr>
      <w:r>
        <w:t>Sumarizační přehled všech sledovaných služeb Smluvního partnera, jejich aktuální dostupnost a grafické znázornění umístění na mapě.</w:t>
      </w:r>
    </w:p>
    <w:p w:rsidR="00215B20" w:rsidRDefault="00FD0AA3">
      <w:pPr>
        <w:pStyle w:val="Zkladntext20"/>
        <w:shd w:val="clear" w:color="auto" w:fill="auto"/>
        <w:spacing w:after="60" w:line="360" w:lineRule="auto"/>
        <w:rPr>
          <w:sz w:val="14"/>
          <w:szCs w:val="14"/>
        </w:rPr>
      </w:pPr>
      <w:r>
        <w:rPr>
          <w:b/>
          <w:bCs/>
          <w:sz w:val="14"/>
          <w:szCs w:val="14"/>
        </w:rPr>
        <w:t>Network Map</w:t>
      </w:r>
    </w:p>
    <w:p w:rsidR="00215B20" w:rsidRDefault="00FD0AA3">
      <w:pPr>
        <w:pStyle w:val="Zkladntext20"/>
        <w:shd w:val="clear" w:color="auto" w:fill="auto"/>
        <w:spacing w:after="340" w:line="389" w:lineRule="auto"/>
        <w:jc w:val="both"/>
      </w:pPr>
      <w:r>
        <w:t xml:space="preserve">Grafické znázornění umístnění sledovaných služeb na </w:t>
      </w:r>
      <w:r>
        <w:t xml:space="preserve">mapě. Barevné znázornění lokality označuje aktuální dostupnost služby. Barva bodu je funkcí souhrnného stavu (barvy) posledních aktuálních měření v barevném proužku přehledu Status </w:t>
      </w:r>
      <w:proofErr w:type="gramStart"/>
      <w:r>
        <w:t>Table</w:t>
      </w:r>
      <w:proofErr w:type="gramEnd"/>
      <w:r>
        <w:t>. Po kliknutí na službu se zobrazí statistiky zvolené lokality.</w:t>
      </w:r>
    </w:p>
    <w:p w:rsidR="00215B20" w:rsidRDefault="00FD0AA3">
      <w:pPr>
        <w:jc w:val="center"/>
        <w:rPr>
          <w:sz w:val="2"/>
          <w:szCs w:val="2"/>
        </w:rPr>
        <w:sectPr w:rsidR="00215B20">
          <w:headerReference w:type="even" r:id="rId64"/>
          <w:headerReference w:type="default" r:id="rId65"/>
          <w:footerReference w:type="even" r:id="rId66"/>
          <w:footerReference w:type="default" r:id="rId67"/>
          <w:pgSz w:w="11900" w:h="16840"/>
          <w:pgMar w:top="404" w:right="1108" w:bottom="1567" w:left="1091" w:header="0" w:footer="3" w:gutter="0"/>
          <w:pgNumType w:start="1"/>
          <w:cols w:space="720"/>
          <w:noEndnote/>
          <w:docGrid w:linePitch="360"/>
        </w:sectPr>
      </w:pPr>
      <w:r>
        <w:rPr>
          <w:noProof/>
          <w:lang w:bidi="ar-SA"/>
        </w:rPr>
        <w:drawing>
          <wp:inline distT="0" distB="0" distL="0" distR="0">
            <wp:extent cx="3858895" cy="274955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68"/>
                    <a:stretch/>
                  </pic:blipFill>
                  <pic:spPr>
                    <a:xfrm>
                      <a:off x="0" y="0"/>
                      <a:ext cx="3858895" cy="2749550"/>
                    </a:xfrm>
                    <a:prstGeom prst="rect">
                      <a:avLst/>
                    </a:prstGeom>
                  </pic:spPr>
                </pic:pic>
              </a:graphicData>
            </a:graphic>
          </wp:inline>
        </w:drawing>
      </w:r>
    </w:p>
    <w:p w:rsidR="00215B20" w:rsidRDefault="00FD0AA3">
      <w:pPr>
        <w:pStyle w:val="Zkladntext20"/>
        <w:shd w:val="clear" w:color="auto" w:fill="auto"/>
        <w:spacing w:after="140" w:line="240" w:lineRule="auto"/>
        <w:rPr>
          <w:sz w:val="14"/>
          <w:szCs w:val="14"/>
        </w:rPr>
      </w:pPr>
      <w:r>
        <w:rPr>
          <w:b/>
          <w:bCs/>
          <w:sz w:val="14"/>
          <w:szCs w:val="14"/>
        </w:rPr>
        <w:lastRenderedPageBreak/>
        <w:t xml:space="preserve">Status </w:t>
      </w:r>
      <w:proofErr w:type="gramStart"/>
      <w:r>
        <w:rPr>
          <w:b/>
          <w:bCs/>
          <w:sz w:val="14"/>
          <w:szCs w:val="14"/>
        </w:rPr>
        <w:t>Table</w:t>
      </w:r>
      <w:proofErr w:type="gramEnd"/>
    </w:p>
    <w:p w:rsidR="00215B20" w:rsidRDefault="00FD0AA3">
      <w:pPr>
        <w:pStyle w:val="Zkladntext20"/>
        <w:shd w:val="clear" w:color="auto" w:fill="auto"/>
        <w:spacing w:after="340"/>
        <w:jc w:val="both"/>
      </w:pPr>
      <w:r>
        <w:t xml:space="preserve">Celkový přehled sledovaných služeb a </w:t>
      </w:r>
      <w:r>
        <w:t>jejich aktuální dostupnost na bázi ICMP protokolu. Barevný indikátor stavu je rozdělen na 5 minutových intervalů. Poslední sledovaná minuta je barevný proužek nejvíce vpravo, stav před 2-3 minutami je uprostřed a nejstarší měření je zcela vlevo. Stav se ka</w:t>
      </w:r>
      <w:r>
        <w:t>ždou minutu automaticky aktualizuje.</w:t>
      </w:r>
    </w:p>
    <w:p w:rsidR="00215B20" w:rsidRDefault="00FD0AA3">
      <w:pPr>
        <w:jc w:val="center"/>
        <w:rPr>
          <w:sz w:val="2"/>
          <w:szCs w:val="2"/>
        </w:rPr>
      </w:pPr>
      <w:r>
        <w:rPr>
          <w:noProof/>
          <w:lang w:bidi="ar-SA"/>
        </w:rPr>
        <w:drawing>
          <wp:inline distT="0" distB="0" distL="0" distR="0">
            <wp:extent cx="4169410" cy="387096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69"/>
                    <a:stretch/>
                  </pic:blipFill>
                  <pic:spPr>
                    <a:xfrm>
                      <a:off x="0" y="0"/>
                      <a:ext cx="4169410" cy="3870960"/>
                    </a:xfrm>
                    <a:prstGeom prst="rect">
                      <a:avLst/>
                    </a:prstGeom>
                  </pic:spPr>
                </pic:pic>
              </a:graphicData>
            </a:graphic>
          </wp:inline>
        </w:drawing>
      </w:r>
    </w:p>
    <w:p w:rsidR="00215B20" w:rsidRDefault="00215B20">
      <w:pPr>
        <w:spacing w:after="139" w:line="1" w:lineRule="exact"/>
      </w:pPr>
    </w:p>
    <w:p w:rsidR="00215B20" w:rsidRDefault="00FD0AA3">
      <w:pPr>
        <w:pStyle w:val="Zkladntext20"/>
        <w:shd w:val="clear" w:color="auto" w:fill="auto"/>
        <w:spacing w:after="80" w:line="389" w:lineRule="auto"/>
        <w:jc w:val="both"/>
      </w:pPr>
      <w:r>
        <w:t xml:space="preserve">Zákaznické zobrazení služby formou barevných bodů v přehledech Status </w:t>
      </w:r>
      <w:proofErr w:type="gramStart"/>
      <w:r>
        <w:t>Table</w:t>
      </w:r>
      <w:proofErr w:type="gramEnd"/>
      <w:r>
        <w:t xml:space="preserve"> a Network Map jsou závislé na dostupnosti primární přípojky, případně primární přípojky včetně záložní přípojky </w:t>
      </w:r>
      <w:r w:rsidRPr="00920265">
        <w:rPr>
          <w:lang w:eastAsia="en-US" w:bidi="en-US"/>
        </w:rPr>
        <w:t xml:space="preserve">(a </w:t>
      </w:r>
      <w:r>
        <w:t>CPE). V případě, že je pr</w:t>
      </w:r>
      <w:r>
        <w:t>imární přípojka zálohována záložním okruhem, je zobrazována jako nedostupná (červeně) pouze v případě, že jsou nedostupné oba dva okruhy (primární i záložní).</w:t>
      </w:r>
    </w:p>
    <w:p w:rsidR="00215B20" w:rsidRDefault="00FD0AA3">
      <w:pPr>
        <w:pStyle w:val="Zkladntext20"/>
        <w:shd w:val="clear" w:color="auto" w:fill="auto"/>
        <w:spacing w:after="140"/>
        <w:jc w:val="both"/>
      </w:pPr>
      <w:r>
        <w:t>Další zobrazované reporty jsou závislé na typu služby. Přístup k reportům na jednotlivých službác</w:t>
      </w:r>
      <w:r>
        <w:t>h získáme kliknutím v levém menu na položku dané služby (např. IP VPN, Profesionální internet atd). Následně jsou zobrazeny lokality spolu s označením adresy a identifikátoru GN okruhu služeb zařazených do Provozních statistik.</w:t>
      </w:r>
    </w:p>
    <w:p w:rsidR="00215B20" w:rsidRDefault="00FD0AA3">
      <w:pPr>
        <w:pStyle w:val="Nadpis60"/>
        <w:keepNext/>
        <w:keepLines/>
        <w:numPr>
          <w:ilvl w:val="0"/>
          <w:numId w:val="7"/>
        </w:numPr>
        <w:shd w:val="clear" w:color="auto" w:fill="auto"/>
        <w:tabs>
          <w:tab w:val="left" w:pos="571"/>
        </w:tabs>
        <w:spacing w:after="140" w:line="240" w:lineRule="auto"/>
        <w:jc w:val="both"/>
      </w:pPr>
      <w:bookmarkStart w:id="156" w:name="bookmark156"/>
      <w:bookmarkStart w:id="157" w:name="bookmark157"/>
      <w:r>
        <w:rPr>
          <w:color w:val="231F20"/>
        </w:rPr>
        <w:t>Reporty pro služby Profesion</w:t>
      </w:r>
      <w:r>
        <w:rPr>
          <w:color w:val="231F20"/>
        </w:rPr>
        <w:t>ální internet, IP VPN a IP komplet bez doplňkové Služby QoS</w:t>
      </w:r>
      <w:bookmarkEnd w:id="156"/>
      <w:bookmarkEnd w:id="157"/>
    </w:p>
    <w:p w:rsidR="00215B20" w:rsidRDefault="00FD0AA3">
      <w:pPr>
        <w:pStyle w:val="Zkladntext20"/>
        <w:shd w:val="clear" w:color="auto" w:fill="auto"/>
        <w:spacing w:after="140" w:line="240" w:lineRule="auto"/>
      </w:pPr>
      <w:r>
        <w:t xml:space="preserve">Basic </w:t>
      </w:r>
      <w:r>
        <w:rPr>
          <w:lang w:val="en-US" w:eastAsia="en-US" w:bidi="en-US"/>
        </w:rPr>
        <w:t>Measurement:</w:t>
      </w:r>
    </w:p>
    <w:p w:rsidR="00215B20" w:rsidRDefault="00FD0AA3">
      <w:pPr>
        <w:pStyle w:val="Zkladntext20"/>
        <w:numPr>
          <w:ilvl w:val="0"/>
          <w:numId w:val="2"/>
        </w:numPr>
        <w:shd w:val="clear" w:color="auto" w:fill="auto"/>
        <w:tabs>
          <w:tab w:val="left" w:pos="355"/>
        </w:tabs>
        <w:spacing w:after="80" w:line="240" w:lineRule="auto"/>
      </w:pPr>
      <w:r w:rsidRPr="00920265">
        <w:rPr>
          <w:lang w:eastAsia="en-US" w:bidi="en-US"/>
        </w:rPr>
        <w:t xml:space="preserve">WAN </w:t>
      </w:r>
      <w:r>
        <w:t>- měření na přístupové lince připojené do sítě T-Mobile</w:t>
      </w:r>
    </w:p>
    <w:p w:rsidR="00215B20" w:rsidRDefault="00FD0AA3">
      <w:pPr>
        <w:pStyle w:val="Zkladntext20"/>
        <w:numPr>
          <w:ilvl w:val="0"/>
          <w:numId w:val="2"/>
        </w:numPr>
        <w:shd w:val="clear" w:color="auto" w:fill="auto"/>
        <w:tabs>
          <w:tab w:val="left" w:pos="1383"/>
        </w:tabs>
        <w:spacing w:after="80" w:line="240" w:lineRule="auto"/>
        <w:ind w:left="1100"/>
      </w:pPr>
      <w:r>
        <w:t xml:space="preserve">Utilizace přípojky ve směru k zákazníkovi </w:t>
      </w:r>
      <w:r w:rsidRPr="00920265">
        <w:rPr>
          <w:lang w:eastAsia="en-US" w:bidi="en-US"/>
        </w:rPr>
        <w:t xml:space="preserve">(in) </w:t>
      </w:r>
      <w:r>
        <w:t>[%];</w:t>
      </w:r>
    </w:p>
    <w:p w:rsidR="00215B20" w:rsidRDefault="00FD0AA3">
      <w:pPr>
        <w:pStyle w:val="Zkladntext20"/>
        <w:numPr>
          <w:ilvl w:val="0"/>
          <w:numId w:val="2"/>
        </w:numPr>
        <w:shd w:val="clear" w:color="auto" w:fill="auto"/>
        <w:tabs>
          <w:tab w:val="left" w:pos="1383"/>
        </w:tabs>
        <w:spacing w:after="80" w:line="240" w:lineRule="auto"/>
        <w:ind w:left="1100"/>
      </w:pPr>
      <w:r>
        <w:t xml:space="preserve">Utilizace přípojky ve směru od zákazníka </w:t>
      </w:r>
      <w:r w:rsidRPr="00920265">
        <w:rPr>
          <w:lang w:eastAsia="en-US" w:bidi="en-US"/>
        </w:rPr>
        <w:t xml:space="preserve">(out) </w:t>
      </w:r>
      <w:r>
        <w:t>[%];</w:t>
      </w:r>
    </w:p>
    <w:p w:rsidR="00215B20" w:rsidRDefault="00FD0AA3">
      <w:pPr>
        <w:pStyle w:val="Zkladntext20"/>
        <w:numPr>
          <w:ilvl w:val="0"/>
          <w:numId w:val="2"/>
        </w:numPr>
        <w:shd w:val="clear" w:color="auto" w:fill="auto"/>
        <w:tabs>
          <w:tab w:val="left" w:pos="1383"/>
        </w:tabs>
        <w:spacing w:after="80" w:line="240" w:lineRule="auto"/>
        <w:ind w:left="1100"/>
      </w:pPr>
      <w:r>
        <w:t xml:space="preserve">Provoz na přípojce směrem k zákazníkovi </w:t>
      </w:r>
      <w:r>
        <w:rPr>
          <w:lang w:val="en-US" w:eastAsia="en-US" w:bidi="en-US"/>
        </w:rPr>
        <w:t xml:space="preserve">(in) </w:t>
      </w:r>
      <w:r>
        <w:t>[kbit/s, Mbit/s];</w:t>
      </w:r>
    </w:p>
    <w:p w:rsidR="00215B20" w:rsidRDefault="00FD0AA3">
      <w:pPr>
        <w:pStyle w:val="Zkladntext20"/>
        <w:numPr>
          <w:ilvl w:val="0"/>
          <w:numId w:val="2"/>
        </w:numPr>
        <w:shd w:val="clear" w:color="auto" w:fill="auto"/>
        <w:tabs>
          <w:tab w:val="left" w:pos="1383"/>
        </w:tabs>
        <w:spacing w:after="80" w:line="240" w:lineRule="auto"/>
        <w:ind w:left="1100"/>
      </w:pPr>
      <w:r>
        <w:t xml:space="preserve">Provoz na přípojce směrem od zákazníka </w:t>
      </w:r>
      <w:r>
        <w:rPr>
          <w:lang w:val="en-US" w:eastAsia="en-US" w:bidi="en-US"/>
        </w:rPr>
        <w:t xml:space="preserve">(out) </w:t>
      </w:r>
      <w:r>
        <w:t>[kbit/s, Mbit/s];</w:t>
      </w:r>
    </w:p>
    <w:p w:rsidR="00215B20" w:rsidRDefault="00FD0AA3">
      <w:pPr>
        <w:pStyle w:val="Zkladntext20"/>
        <w:numPr>
          <w:ilvl w:val="0"/>
          <w:numId w:val="2"/>
        </w:numPr>
        <w:shd w:val="clear" w:color="auto" w:fill="auto"/>
        <w:tabs>
          <w:tab w:val="left" w:pos="1383"/>
        </w:tabs>
        <w:spacing w:after="340" w:line="240" w:lineRule="auto"/>
        <w:ind w:left="1100"/>
      </w:pPr>
      <w:r>
        <w:t>Kapacita přípojky [kbit/s, Mbit/s].</w:t>
      </w:r>
    </w:p>
    <w:p w:rsidR="00215B20" w:rsidRDefault="00FD0AA3">
      <w:pPr>
        <w:pStyle w:val="Zkladntext20"/>
        <w:numPr>
          <w:ilvl w:val="0"/>
          <w:numId w:val="2"/>
        </w:numPr>
        <w:shd w:val="clear" w:color="auto" w:fill="auto"/>
        <w:tabs>
          <w:tab w:val="left" w:pos="355"/>
        </w:tabs>
        <w:spacing w:after="80" w:line="240" w:lineRule="auto"/>
        <w:jc w:val="both"/>
      </w:pPr>
      <w:r>
        <w:t>LAN - měření rozhraní CE směrovače směrem do lokální sítě zákazníka</w:t>
      </w:r>
    </w:p>
    <w:p w:rsidR="00215B20" w:rsidRDefault="00FD0AA3">
      <w:pPr>
        <w:pStyle w:val="Zkladntext20"/>
        <w:numPr>
          <w:ilvl w:val="0"/>
          <w:numId w:val="2"/>
        </w:numPr>
        <w:shd w:val="clear" w:color="auto" w:fill="auto"/>
        <w:tabs>
          <w:tab w:val="left" w:pos="1383"/>
        </w:tabs>
        <w:spacing w:after="80" w:line="240" w:lineRule="auto"/>
        <w:ind w:left="1100"/>
      </w:pPr>
      <w:r>
        <w:t xml:space="preserve">Utilizace LAN rozhraní ve </w:t>
      </w:r>
      <w:r>
        <w:t xml:space="preserve">směru od zákazníka </w:t>
      </w:r>
      <w:r>
        <w:rPr>
          <w:lang w:val="en-US" w:eastAsia="en-US" w:bidi="en-US"/>
        </w:rPr>
        <w:t xml:space="preserve">(in) </w:t>
      </w:r>
      <w:r>
        <w:t>[%];</w:t>
      </w:r>
    </w:p>
    <w:p w:rsidR="00215B20" w:rsidRDefault="00FD0AA3">
      <w:pPr>
        <w:pStyle w:val="Zkladntext20"/>
        <w:numPr>
          <w:ilvl w:val="0"/>
          <w:numId w:val="2"/>
        </w:numPr>
        <w:shd w:val="clear" w:color="auto" w:fill="auto"/>
        <w:tabs>
          <w:tab w:val="left" w:pos="1383"/>
        </w:tabs>
        <w:spacing w:after="80" w:line="240" w:lineRule="auto"/>
        <w:ind w:left="1100"/>
      </w:pPr>
      <w:r>
        <w:t xml:space="preserve">Utilizace LAN rozhraní ve směru k zákazníkovi </w:t>
      </w:r>
      <w:r>
        <w:rPr>
          <w:lang w:val="en-US" w:eastAsia="en-US" w:bidi="en-US"/>
        </w:rPr>
        <w:t xml:space="preserve">(out) </w:t>
      </w:r>
      <w:r>
        <w:t>[%];</w:t>
      </w:r>
    </w:p>
    <w:p w:rsidR="00215B20" w:rsidRDefault="00FD0AA3">
      <w:pPr>
        <w:pStyle w:val="Zkladntext20"/>
        <w:numPr>
          <w:ilvl w:val="0"/>
          <w:numId w:val="2"/>
        </w:numPr>
        <w:shd w:val="clear" w:color="auto" w:fill="auto"/>
        <w:tabs>
          <w:tab w:val="left" w:pos="1383"/>
          <w:tab w:val="center" w:pos="5103"/>
        </w:tabs>
        <w:spacing w:after="80" w:line="240" w:lineRule="auto"/>
        <w:ind w:left="1100"/>
      </w:pPr>
      <w:r>
        <w:t xml:space="preserve">Provoz na LAN rozhraní směrem od zákazníka </w:t>
      </w:r>
      <w:r>
        <w:rPr>
          <w:lang w:val="en-US" w:eastAsia="en-US" w:bidi="en-US"/>
        </w:rPr>
        <w:t xml:space="preserve">(in) </w:t>
      </w:r>
      <w:r>
        <w:t>[kbit/s,</w:t>
      </w:r>
      <w:r>
        <w:tab/>
        <w:t>Mbit/s];</w:t>
      </w:r>
    </w:p>
    <w:p w:rsidR="00215B20" w:rsidRDefault="00FD0AA3">
      <w:pPr>
        <w:pStyle w:val="Zkladntext20"/>
        <w:numPr>
          <w:ilvl w:val="0"/>
          <w:numId w:val="2"/>
        </w:numPr>
        <w:shd w:val="clear" w:color="auto" w:fill="auto"/>
        <w:tabs>
          <w:tab w:val="left" w:pos="1383"/>
          <w:tab w:val="right" w:pos="5540"/>
        </w:tabs>
        <w:spacing w:after="80" w:line="240" w:lineRule="auto"/>
        <w:ind w:left="1100"/>
      </w:pPr>
      <w:r>
        <w:t xml:space="preserve">Provoz na LAN rozhraní směrem k zákazníkovi </w:t>
      </w:r>
      <w:r>
        <w:rPr>
          <w:lang w:val="en-US" w:eastAsia="en-US" w:bidi="en-US"/>
        </w:rPr>
        <w:t xml:space="preserve">(out) </w:t>
      </w:r>
      <w:r>
        <w:t>[kbit/s,</w:t>
      </w:r>
      <w:r>
        <w:tab/>
        <w:t>Mbit/s];</w:t>
      </w:r>
    </w:p>
    <w:p w:rsidR="00215B20" w:rsidRDefault="00FD0AA3">
      <w:pPr>
        <w:pStyle w:val="Zkladntext20"/>
        <w:numPr>
          <w:ilvl w:val="0"/>
          <w:numId w:val="2"/>
        </w:numPr>
        <w:shd w:val="clear" w:color="auto" w:fill="auto"/>
        <w:tabs>
          <w:tab w:val="left" w:pos="1383"/>
        </w:tabs>
        <w:spacing w:after="80" w:line="240" w:lineRule="auto"/>
        <w:ind w:left="1100"/>
        <w:sectPr w:rsidR="00215B20">
          <w:headerReference w:type="even" r:id="rId70"/>
          <w:headerReference w:type="default" r:id="rId71"/>
          <w:footerReference w:type="even" r:id="rId72"/>
          <w:footerReference w:type="default" r:id="rId73"/>
          <w:pgSz w:w="11900" w:h="16840"/>
          <w:pgMar w:top="2113" w:right="1112" w:bottom="1705" w:left="1102" w:header="0" w:footer="3" w:gutter="0"/>
          <w:cols w:space="720"/>
          <w:noEndnote/>
          <w:docGrid w:linePitch="360"/>
        </w:sectPr>
      </w:pPr>
      <w:r>
        <w:t>Kapacita přípojky [kbit/s, Mbit/s].</w:t>
      </w:r>
    </w:p>
    <w:p w:rsidR="00215B20" w:rsidRDefault="00FD0AA3">
      <w:pPr>
        <w:rPr>
          <w:sz w:val="2"/>
          <w:szCs w:val="2"/>
        </w:rPr>
      </w:pPr>
      <w:r>
        <w:rPr>
          <w:noProof/>
          <w:lang w:bidi="ar-SA"/>
        </w:rPr>
        <w:lastRenderedPageBreak/>
        <w:drawing>
          <wp:inline distT="0" distB="0" distL="0" distR="0">
            <wp:extent cx="877570" cy="43307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63"/>
                    <a:stretch/>
                  </pic:blipFill>
                  <pic:spPr>
                    <a:xfrm>
                      <a:off x="0" y="0"/>
                      <a:ext cx="877570" cy="433070"/>
                    </a:xfrm>
                    <a:prstGeom prst="rect">
                      <a:avLst/>
                    </a:prstGeom>
                  </pic:spPr>
                </pic:pic>
              </a:graphicData>
            </a:graphic>
          </wp:inline>
        </w:drawing>
      </w:r>
    </w:p>
    <w:p w:rsidR="00215B20" w:rsidRDefault="00215B20">
      <w:pPr>
        <w:spacing w:after="239" w:line="1" w:lineRule="exact"/>
      </w:pPr>
    </w:p>
    <w:p w:rsidR="00215B20" w:rsidRDefault="00FD0AA3">
      <w:pPr>
        <w:pStyle w:val="Nadpis30"/>
        <w:keepNext/>
        <w:keepLines/>
        <w:shd w:val="clear" w:color="auto" w:fill="auto"/>
        <w:spacing w:after="0"/>
      </w:pPr>
      <w:bookmarkStart w:id="158" w:name="bookmark158"/>
      <w:bookmarkStart w:id="159" w:name="bookmark159"/>
      <w:r>
        <w:t>Provozní statistiky - Uživatelský manuál</w:t>
      </w:r>
      <w:bookmarkEnd w:id="158"/>
      <w:bookmarkEnd w:id="159"/>
    </w:p>
    <w:p w:rsidR="00215B20" w:rsidRDefault="00FD0AA3">
      <w:pPr>
        <w:pStyle w:val="Zkladntext20"/>
        <w:shd w:val="clear" w:color="auto" w:fill="auto"/>
        <w:spacing w:after="240" w:line="240" w:lineRule="auto"/>
      </w:pPr>
      <w:r>
        <w:t>Platnost od 1. 6. 2018</w:t>
      </w:r>
    </w:p>
    <w:p w:rsidR="00215B20" w:rsidRDefault="00FD0AA3">
      <w:pPr>
        <w:pStyle w:val="Zkladntext1"/>
        <w:numPr>
          <w:ilvl w:val="0"/>
          <w:numId w:val="7"/>
        </w:numPr>
        <w:shd w:val="clear" w:color="auto" w:fill="auto"/>
        <w:tabs>
          <w:tab w:val="left" w:pos="696"/>
        </w:tabs>
        <w:spacing w:after="240" w:line="240" w:lineRule="auto"/>
      </w:pPr>
      <w:r>
        <w:rPr>
          <w:b/>
          <w:bCs/>
        </w:rPr>
        <w:t>Reporty pro IP VPN a IP komplet s doplňkovou Službou QoS</w:t>
      </w:r>
    </w:p>
    <w:p w:rsidR="00215B20" w:rsidRDefault="00FD0AA3">
      <w:pPr>
        <w:pStyle w:val="Nadpis60"/>
        <w:keepNext/>
        <w:keepLines/>
        <w:numPr>
          <w:ilvl w:val="0"/>
          <w:numId w:val="8"/>
        </w:numPr>
        <w:shd w:val="clear" w:color="auto" w:fill="auto"/>
        <w:tabs>
          <w:tab w:val="left" w:pos="696"/>
        </w:tabs>
        <w:spacing w:line="240" w:lineRule="auto"/>
      </w:pPr>
      <w:bookmarkStart w:id="160" w:name="bookmark160"/>
      <w:bookmarkStart w:id="161" w:name="bookmark161"/>
      <w:r>
        <w:rPr>
          <w:color w:val="231F20"/>
        </w:rPr>
        <w:t xml:space="preserve">Basic </w:t>
      </w:r>
      <w:r>
        <w:rPr>
          <w:color w:val="231F20"/>
          <w:lang w:val="en-US" w:eastAsia="en-US" w:bidi="en-US"/>
        </w:rPr>
        <w:t>Measurement</w:t>
      </w:r>
      <w:bookmarkEnd w:id="160"/>
      <w:bookmarkEnd w:id="161"/>
    </w:p>
    <w:p w:rsidR="00215B20" w:rsidRDefault="00FD0AA3">
      <w:pPr>
        <w:pStyle w:val="Zkladntext20"/>
        <w:shd w:val="clear" w:color="auto" w:fill="auto"/>
        <w:spacing w:after="240"/>
      </w:pPr>
      <w:r>
        <w:t xml:space="preserve">K dispozici </w:t>
      </w:r>
      <w:r>
        <w:t>jsou stejné reporty jako pro Služby Profesionální internet, IP VPN a IP komplet bez QoS.</w:t>
      </w:r>
    </w:p>
    <w:p w:rsidR="00215B20" w:rsidRDefault="00FD0AA3">
      <w:pPr>
        <w:pStyle w:val="Nadpis60"/>
        <w:keepNext/>
        <w:keepLines/>
        <w:numPr>
          <w:ilvl w:val="0"/>
          <w:numId w:val="8"/>
        </w:numPr>
        <w:shd w:val="clear" w:color="auto" w:fill="auto"/>
        <w:tabs>
          <w:tab w:val="left" w:pos="696"/>
        </w:tabs>
        <w:spacing w:after="160" w:line="240" w:lineRule="auto"/>
      </w:pPr>
      <w:bookmarkStart w:id="162" w:name="bookmark162"/>
      <w:bookmarkStart w:id="163" w:name="bookmark163"/>
      <w:r>
        <w:rPr>
          <w:color w:val="231F20"/>
          <w:lang w:val="en-US" w:eastAsia="en-US" w:bidi="en-US"/>
        </w:rPr>
        <w:t>QoS Measurement</w:t>
      </w:r>
      <w:bookmarkEnd w:id="162"/>
      <w:bookmarkEnd w:id="163"/>
    </w:p>
    <w:p w:rsidR="00215B20" w:rsidRDefault="00FD0AA3">
      <w:pPr>
        <w:pStyle w:val="Zkladntext20"/>
        <w:shd w:val="clear" w:color="auto" w:fill="auto"/>
        <w:spacing w:after="60"/>
      </w:pPr>
      <w:r>
        <w:t xml:space="preserve">Reporty </w:t>
      </w:r>
      <w:r>
        <w:rPr>
          <w:lang w:val="en-US" w:eastAsia="en-US" w:bidi="en-US"/>
        </w:rPr>
        <w:t xml:space="preserve">downstream a upstream </w:t>
      </w:r>
      <w:r>
        <w:t>rozdělení provozu v jednotlivých QoS třídách spolu s reportem drop provozu:</w:t>
      </w:r>
    </w:p>
    <w:p w:rsidR="00215B20" w:rsidRDefault="00FD0AA3">
      <w:pPr>
        <w:pStyle w:val="Zkladntext20"/>
        <w:numPr>
          <w:ilvl w:val="0"/>
          <w:numId w:val="2"/>
        </w:numPr>
        <w:shd w:val="clear" w:color="auto" w:fill="auto"/>
        <w:tabs>
          <w:tab w:val="left" w:pos="386"/>
        </w:tabs>
        <w:spacing w:after="0"/>
      </w:pPr>
      <w:r>
        <w:t>Provoz po jednotlivých třídách po aplikaci Qo</w:t>
      </w:r>
      <w:r>
        <w:t>S politiky [kbit/s, Mbit/s];</w:t>
      </w:r>
    </w:p>
    <w:p w:rsidR="00215B20" w:rsidRDefault="00FD0AA3">
      <w:pPr>
        <w:pStyle w:val="Zkladntext20"/>
        <w:numPr>
          <w:ilvl w:val="0"/>
          <w:numId w:val="2"/>
        </w:numPr>
        <w:shd w:val="clear" w:color="auto" w:fill="auto"/>
        <w:tabs>
          <w:tab w:val="left" w:pos="386"/>
        </w:tabs>
        <w:spacing w:after="240"/>
      </w:pPr>
      <w:r>
        <w:t>Report provozu, který se do jednotlivých tříd nevešel (drops) [kbit/s].</w:t>
      </w:r>
    </w:p>
    <w:p w:rsidR="00215B20" w:rsidRDefault="00FD0AA3">
      <w:pPr>
        <w:pStyle w:val="Nadpis60"/>
        <w:keepNext/>
        <w:keepLines/>
        <w:numPr>
          <w:ilvl w:val="0"/>
          <w:numId w:val="8"/>
        </w:numPr>
        <w:shd w:val="clear" w:color="auto" w:fill="auto"/>
        <w:tabs>
          <w:tab w:val="left" w:pos="696"/>
        </w:tabs>
        <w:spacing w:after="160" w:line="240" w:lineRule="auto"/>
      </w:pPr>
      <w:bookmarkStart w:id="164" w:name="bookmark164"/>
      <w:bookmarkStart w:id="165" w:name="bookmark165"/>
      <w:r>
        <w:rPr>
          <w:color w:val="231F20"/>
          <w:lang w:val="en-US" w:eastAsia="en-US" w:bidi="en-US"/>
        </w:rPr>
        <w:t xml:space="preserve">IP </w:t>
      </w:r>
      <w:r>
        <w:rPr>
          <w:color w:val="231F20"/>
        </w:rPr>
        <w:t xml:space="preserve">SLA </w:t>
      </w:r>
      <w:r>
        <w:rPr>
          <w:color w:val="231F20"/>
          <w:lang w:val="en-US" w:eastAsia="en-US" w:bidi="en-US"/>
        </w:rPr>
        <w:t>Measurement</w:t>
      </w:r>
      <w:bookmarkEnd w:id="164"/>
      <w:bookmarkEnd w:id="165"/>
    </w:p>
    <w:p w:rsidR="00215B20" w:rsidRDefault="00FD0AA3">
      <w:pPr>
        <w:pStyle w:val="Zkladntext20"/>
        <w:shd w:val="clear" w:color="auto" w:fill="auto"/>
        <w:spacing w:after="60"/>
      </w:pPr>
      <w:r>
        <w:t>Reporty IP SLA měření jsou odlišné pro třídu Diamond a ostatní třídy:</w:t>
      </w:r>
    </w:p>
    <w:p w:rsidR="00215B20" w:rsidRDefault="00FD0AA3">
      <w:pPr>
        <w:pStyle w:val="Zkladntext20"/>
        <w:numPr>
          <w:ilvl w:val="0"/>
          <w:numId w:val="2"/>
        </w:numPr>
        <w:shd w:val="clear" w:color="auto" w:fill="auto"/>
        <w:tabs>
          <w:tab w:val="left" w:pos="696"/>
        </w:tabs>
        <w:spacing w:after="0"/>
        <w:ind w:firstLine="380"/>
      </w:pPr>
      <w:r>
        <w:t>Reporty IP SLA pro třídu Diamond</w:t>
      </w:r>
    </w:p>
    <w:p w:rsidR="00215B20" w:rsidRDefault="00FD0AA3">
      <w:pPr>
        <w:pStyle w:val="Zkladntext20"/>
        <w:numPr>
          <w:ilvl w:val="0"/>
          <w:numId w:val="2"/>
        </w:numPr>
        <w:shd w:val="clear" w:color="auto" w:fill="auto"/>
        <w:tabs>
          <w:tab w:val="left" w:pos="1425"/>
        </w:tabs>
        <w:spacing w:after="0"/>
        <w:ind w:left="1100"/>
      </w:pPr>
      <w:r>
        <w:t>Průměrné paketovézpoždění [ms];</w:t>
      </w:r>
    </w:p>
    <w:p w:rsidR="00215B20" w:rsidRDefault="00FD0AA3">
      <w:pPr>
        <w:pStyle w:val="Zkladntext20"/>
        <w:numPr>
          <w:ilvl w:val="0"/>
          <w:numId w:val="2"/>
        </w:numPr>
        <w:shd w:val="clear" w:color="auto" w:fill="auto"/>
        <w:tabs>
          <w:tab w:val="left" w:pos="1425"/>
        </w:tabs>
        <w:spacing w:after="0"/>
        <w:ind w:left="1100"/>
      </w:pPr>
      <w:r>
        <w:t>P</w:t>
      </w:r>
      <w:r>
        <w:t>růměrná ztrátovost paketů [%];</w:t>
      </w:r>
    </w:p>
    <w:p w:rsidR="00215B20" w:rsidRDefault="00FD0AA3">
      <w:pPr>
        <w:pStyle w:val="Zkladntext20"/>
        <w:numPr>
          <w:ilvl w:val="0"/>
          <w:numId w:val="2"/>
        </w:numPr>
        <w:shd w:val="clear" w:color="auto" w:fill="auto"/>
        <w:tabs>
          <w:tab w:val="left" w:pos="1425"/>
        </w:tabs>
        <w:spacing w:after="0"/>
        <w:ind w:left="1100"/>
      </w:pPr>
      <w:r>
        <w:t xml:space="preserve">Průměrný pozitivní </w:t>
      </w:r>
      <w:r>
        <w:rPr>
          <w:lang w:val="en-US" w:eastAsia="en-US" w:bidi="en-US"/>
        </w:rPr>
        <w:t xml:space="preserve">jitter </w:t>
      </w:r>
      <w:r>
        <w:t>[ms];</w:t>
      </w:r>
    </w:p>
    <w:p w:rsidR="00215B20" w:rsidRDefault="00FD0AA3">
      <w:pPr>
        <w:pStyle w:val="Zkladntext20"/>
        <w:numPr>
          <w:ilvl w:val="0"/>
          <w:numId w:val="2"/>
        </w:numPr>
        <w:shd w:val="clear" w:color="auto" w:fill="auto"/>
        <w:tabs>
          <w:tab w:val="left" w:pos="1425"/>
        </w:tabs>
        <w:spacing w:after="240"/>
        <w:ind w:left="1100"/>
      </w:pPr>
      <w:r>
        <w:t>Měření MOS skóre.</w:t>
      </w:r>
    </w:p>
    <w:p w:rsidR="00215B20" w:rsidRDefault="00FD0AA3">
      <w:pPr>
        <w:pStyle w:val="Zkladntext20"/>
        <w:numPr>
          <w:ilvl w:val="0"/>
          <w:numId w:val="2"/>
        </w:numPr>
        <w:shd w:val="clear" w:color="auto" w:fill="auto"/>
        <w:tabs>
          <w:tab w:val="left" w:pos="696"/>
        </w:tabs>
        <w:spacing w:after="0"/>
        <w:ind w:firstLine="380"/>
      </w:pPr>
      <w:r>
        <w:t xml:space="preserve">Reporty IP SLA pro třídy </w:t>
      </w:r>
      <w:r>
        <w:rPr>
          <w:lang w:val="en-US" w:eastAsia="en-US" w:bidi="en-US"/>
        </w:rPr>
        <w:t xml:space="preserve">Silver, </w:t>
      </w:r>
      <w:r>
        <w:t xml:space="preserve">Bronze, </w:t>
      </w:r>
      <w:r>
        <w:rPr>
          <w:lang w:val="en-US" w:eastAsia="en-US" w:bidi="en-US"/>
        </w:rPr>
        <w:t>Silver a Platinum</w:t>
      </w:r>
    </w:p>
    <w:p w:rsidR="00215B20" w:rsidRDefault="00FD0AA3">
      <w:pPr>
        <w:pStyle w:val="Zkladntext20"/>
        <w:numPr>
          <w:ilvl w:val="0"/>
          <w:numId w:val="2"/>
        </w:numPr>
        <w:shd w:val="clear" w:color="auto" w:fill="auto"/>
        <w:tabs>
          <w:tab w:val="left" w:pos="1425"/>
        </w:tabs>
        <w:spacing w:after="0"/>
        <w:ind w:left="1100"/>
      </w:pPr>
      <w:r>
        <w:t>Průměrné paketovézpoždění [ms];</w:t>
      </w:r>
    </w:p>
    <w:p w:rsidR="00215B20" w:rsidRDefault="00FD0AA3">
      <w:pPr>
        <w:pStyle w:val="Zkladntext20"/>
        <w:numPr>
          <w:ilvl w:val="0"/>
          <w:numId w:val="2"/>
        </w:numPr>
        <w:shd w:val="clear" w:color="auto" w:fill="auto"/>
        <w:tabs>
          <w:tab w:val="left" w:pos="1425"/>
        </w:tabs>
        <w:spacing w:after="240"/>
        <w:ind w:left="1100"/>
      </w:pPr>
      <w:r>
        <w:t>Průměrná ztrátovost paketů [%].</w:t>
      </w:r>
    </w:p>
    <w:p w:rsidR="00215B20" w:rsidRDefault="00FD0AA3">
      <w:pPr>
        <w:pStyle w:val="Zkladntext1"/>
        <w:numPr>
          <w:ilvl w:val="1"/>
          <w:numId w:val="6"/>
        </w:numPr>
        <w:shd w:val="clear" w:color="auto" w:fill="auto"/>
        <w:tabs>
          <w:tab w:val="left" w:pos="411"/>
        </w:tabs>
        <w:spacing w:after="160" w:line="240" w:lineRule="auto"/>
      </w:pPr>
      <w:r>
        <w:rPr>
          <w:b/>
          <w:bCs/>
        </w:rPr>
        <w:t>Měřené veličiny</w:t>
      </w:r>
    </w:p>
    <w:p w:rsidR="00215B20" w:rsidRDefault="00FD0AA3">
      <w:pPr>
        <w:pStyle w:val="Zkladntext1"/>
        <w:shd w:val="clear" w:color="auto" w:fill="auto"/>
        <w:spacing w:line="360" w:lineRule="auto"/>
        <w:rPr>
          <w:sz w:val="14"/>
          <w:szCs w:val="14"/>
        </w:rPr>
      </w:pPr>
      <w:r>
        <w:rPr>
          <w:b/>
          <w:bCs/>
          <w:sz w:val="14"/>
          <w:szCs w:val="14"/>
        </w:rPr>
        <w:t xml:space="preserve">Provoz </w:t>
      </w:r>
      <w:r>
        <w:rPr>
          <w:b/>
          <w:bCs/>
          <w:sz w:val="14"/>
          <w:szCs w:val="14"/>
          <w:lang w:val="en-US" w:eastAsia="en-US" w:bidi="en-US"/>
        </w:rPr>
        <w:t>(Traffic)</w:t>
      </w:r>
    </w:p>
    <w:p w:rsidR="00215B20" w:rsidRDefault="00FD0AA3">
      <w:pPr>
        <w:pStyle w:val="Zkladntext20"/>
        <w:shd w:val="clear" w:color="auto" w:fill="auto"/>
        <w:spacing w:after="240"/>
      </w:pPr>
      <w:proofErr w:type="gramStart"/>
      <w:r>
        <w:t>Provoz, nebo</w:t>
      </w:r>
      <w:proofErr w:type="gramEnd"/>
      <w:r>
        <w:t>-</w:t>
      </w:r>
      <w:proofErr w:type="gramStart"/>
      <w:r>
        <w:t>li</w:t>
      </w:r>
      <w:proofErr w:type="gramEnd"/>
      <w:r>
        <w:t xml:space="preserve"> </w:t>
      </w:r>
      <w:r w:rsidRPr="00920265">
        <w:rPr>
          <w:lang w:eastAsia="en-US" w:bidi="en-US"/>
        </w:rPr>
        <w:t xml:space="preserve">Traffic </w:t>
      </w:r>
      <w:r>
        <w:t>na rozhraní zařízení - zobrazuje přenesená data směrem ven a dovnitř ze zařízení - zobrazená v kbit/s nebo Mbit/s.</w:t>
      </w:r>
    </w:p>
    <w:p w:rsidR="00215B20" w:rsidRDefault="00FD0AA3">
      <w:pPr>
        <w:pStyle w:val="Zkladntext20"/>
        <w:shd w:val="clear" w:color="auto" w:fill="auto"/>
        <w:spacing w:after="60" w:line="360" w:lineRule="auto"/>
        <w:rPr>
          <w:sz w:val="14"/>
          <w:szCs w:val="14"/>
        </w:rPr>
      </w:pPr>
      <w:r>
        <w:rPr>
          <w:b/>
          <w:bCs/>
          <w:sz w:val="14"/>
          <w:szCs w:val="14"/>
        </w:rPr>
        <w:t xml:space="preserve">Utilizace </w:t>
      </w:r>
      <w:r w:rsidRPr="00920265">
        <w:rPr>
          <w:b/>
          <w:bCs/>
          <w:sz w:val="14"/>
          <w:szCs w:val="14"/>
          <w:lang w:eastAsia="en-US" w:bidi="en-US"/>
        </w:rPr>
        <w:t>(Utilization)</w:t>
      </w:r>
    </w:p>
    <w:p w:rsidR="00215B20" w:rsidRDefault="00FD0AA3">
      <w:pPr>
        <w:pStyle w:val="Zkladntext20"/>
        <w:shd w:val="clear" w:color="auto" w:fill="auto"/>
        <w:spacing w:after="240"/>
      </w:pPr>
      <w:r>
        <w:t>Parametr ukazující v procentech vytíženostjednotlivých měřených rozhraní vzhledem kjejich maximální kapacitě.</w:t>
      </w:r>
    </w:p>
    <w:p w:rsidR="00215B20" w:rsidRDefault="00FD0AA3">
      <w:pPr>
        <w:pStyle w:val="Zkladntext20"/>
        <w:shd w:val="clear" w:color="auto" w:fill="auto"/>
        <w:spacing w:after="60" w:line="360" w:lineRule="auto"/>
        <w:rPr>
          <w:sz w:val="14"/>
          <w:szCs w:val="14"/>
        </w:rPr>
      </w:pPr>
      <w:r>
        <w:rPr>
          <w:b/>
          <w:bCs/>
          <w:sz w:val="14"/>
          <w:szCs w:val="14"/>
        </w:rPr>
        <w:t xml:space="preserve">Zpoždění paketů </w:t>
      </w:r>
      <w:r w:rsidRPr="00920265">
        <w:rPr>
          <w:b/>
          <w:bCs/>
          <w:sz w:val="14"/>
          <w:szCs w:val="14"/>
          <w:lang w:eastAsia="en-US" w:bidi="en-US"/>
        </w:rPr>
        <w:t>(Packet Delay)</w:t>
      </w:r>
    </w:p>
    <w:p w:rsidR="00215B20" w:rsidRDefault="00FD0AA3">
      <w:pPr>
        <w:pStyle w:val="Zkladntext20"/>
        <w:shd w:val="clear" w:color="auto" w:fill="auto"/>
        <w:spacing w:after="240"/>
      </w:pPr>
      <w:r>
        <w:t xml:space="preserve">Parametr Zpoždění </w:t>
      </w:r>
      <w:proofErr w:type="gramStart"/>
      <w:r>
        <w:t>paketů, nebo</w:t>
      </w:r>
      <w:proofErr w:type="gramEnd"/>
      <w:r>
        <w:t>-</w:t>
      </w:r>
      <w:proofErr w:type="gramStart"/>
      <w:r>
        <w:t>li</w:t>
      </w:r>
      <w:proofErr w:type="gramEnd"/>
      <w:r>
        <w:t xml:space="preserve"> </w:t>
      </w:r>
      <w:r w:rsidRPr="00920265">
        <w:rPr>
          <w:lang w:eastAsia="en-US" w:bidi="en-US"/>
        </w:rPr>
        <w:t xml:space="preserve">Packet Delay, </w:t>
      </w:r>
      <w:r>
        <w:t xml:space="preserve">ukazuje časovou prodlevu paketů v dané třídě v rámci sítě poskytovatele. Zpoždění v síti se počítá jako časový rozdíl mezi odesláním paketu z </w:t>
      </w:r>
      <w:proofErr w:type="gramStart"/>
      <w:r>
        <w:t>ethernet</w:t>
      </w:r>
      <w:proofErr w:type="gramEnd"/>
      <w:r>
        <w:t xml:space="preserve"> portu originujícího zaříz</w:t>
      </w:r>
      <w:r>
        <w:t>ení a přijetím celého paketu na ethernet portu terminujícího zařízení.</w:t>
      </w:r>
    </w:p>
    <w:p w:rsidR="00215B20" w:rsidRDefault="00FD0AA3">
      <w:pPr>
        <w:pStyle w:val="Zkladntext20"/>
        <w:shd w:val="clear" w:color="auto" w:fill="auto"/>
        <w:spacing w:after="60" w:line="360" w:lineRule="auto"/>
        <w:rPr>
          <w:sz w:val="14"/>
          <w:szCs w:val="14"/>
        </w:rPr>
      </w:pPr>
      <w:r>
        <w:rPr>
          <w:b/>
          <w:bCs/>
          <w:sz w:val="14"/>
          <w:szCs w:val="14"/>
        </w:rPr>
        <w:t xml:space="preserve">Ztrátovost paketů </w:t>
      </w:r>
      <w:r w:rsidRPr="00920265">
        <w:rPr>
          <w:b/>
          <w:bCs/>
          <w:sz w:val="14"/>
          <w:szCs w:val="14"/>
          <w:lang w:eastAsia="en-US" w:bidi="en-US"/>
        </w:rPr>
        <w:t>(Packet Loss)</w:t>
      </w:r>
    </w:p>
    <w:p w:rsidR="00215B20" w:rsidRDefault="00FD0AA3">
      <w:pPr>
        <w:pStyle w:val="Zkladntext20"/>
        <w:shd w:val="clear" w:color="auto" w:fill="auto"/>
        <w:spacing w:after="240"/>
      </w:pPr>
      <w:r>
        <w:t xml:space="preserve">Ztrátovost </w:t>
      </w:r>
      <w:proofErr w:type="gramStart"/>
      <w:r>
        <w:t>paketů, nebo</w:t>
      </w:r>
      <w:proofErr w:type="gramEnd"/>
      <w:r>
        <w:t>-</w:t>
      </w:r>
      <w:proofErr w:type="gramStart"/>
      <w:r>
        <w:t>li</w:t>
      </w:r>
      <w:proofErr w:type="gramEnd"/>
      <w:r>
        <w:t xml:space="preserve"> </w:t>
      </w:r>
      <w:r w:rsidRPr="00920265">
        <w:rPr>
          <w:lang w:eastAsia="en-US" w:bidi="en-US"/>
        </w:rPr>
        <w:t xml:space="preserve">Packet Loss, </w:t>
      </w:r>
      <w:r>
        <w:t>je parametr, který ukazuje absolutní počet nedoručených paketů v dané třídě nedoručených na cílové zařízení. Tato</w:t>
      </w:r>
      <w:r>
        <w:t xml:space="preserve"> ztrátovost může být zapříčiněna např. nedostupností linky, chybovostí linky, momentálním přetížením linky (ne/úmyslné přetěžování, viry, </w:t>
      </w:r>
      <w:r w:rsidRPr="00920265">
        <w:rPr>
          <w:lang w:eastAsia="en-US" w:bidi="en-US"/>
        </w:rPr>
        <w:t xml:space="preserve">SPAM, DoS </w:t>
      </w:r>
      <w:r>
        <w:t xml:space="preserve">útoky </w:t>
      </w:r>
      <w:r w:rsidRPr="00920265">
        <w:rPr>
          <w:lang w:eastAsia="en-US" w:bidi="en-US"/>
        </w:rPr>
        <w:t xml:space="preserve">apod.), </w:t>
      </w:r>
      <w:r>
        <w:t>opakovanými výpadky na dané přípojce apod.</w:t>
      </w:r>
    </w:p>
    <w:p w:rsidR="00215B20" w:rsidRDefault="00FD0AA3">
      <w:pPr>
        <w:pStyle w:val="Zkladntext20"/>
        <w:shd w:val="clear" w:color="auto" w:fill="auto"/>
        <w:spacing w:after="60" w:line="360" w:lineRule="auto"/>
        <w:rPr>
          <w:sz w:val="14"/>
          <w:szCs w:val="14"/>
        </w:rPr>
      </w:pPr>
      <w:r>
        <w:rPr>
          <w:b/>
          <w:bCs/>
          <w:sz w:val="14"/>
          <w:szCs w:val="14"/>
        </w:rPr>
        <w:t xml:space="preserve">Časová nejistota zpoždění </w:t>
      </w:r>
      <w:r w:rsidRPr="00920265">
        <w:rPr>
          <w:b/>
          <w:bCs/>
          <w:sz w:val="14"/>
          <w:szCs w:val="14"/>
          <w:lang w:eastAsia="en-US" w:bidi="en-US"/>
        </w:rPr>
        <w:t>(Jitter)</w:t>
      </w:r>
    </w:p>
    <w:p w:rsidR="00215B20" w:rsidRDefault="00FD0AA3">
      <w:pPr>
        <w:pStyle w:val="Zkladntext20"/>
        <w:shd w:val="clear" w:color="auto" w:fill="auto"/>
        <w:spacing w:after="240"/>
      </w:pPr>
      <w:r>
        <w:t xml:space="preserve">Kolísání velikosti zpoždění paketů neboli </w:t>
      </w:r>
      <w:r w:rsidRPr="00920265">
        <w:rPr>
          <w:lang w:eastAsia="en-US" w:bidi="en-US"/>
        </w:rPr>
        <w:t xml:space="preserve">Jitter </w:t>
      </w:r>
      <w:r>
        <w:t>ukazuje rozptyl zpoždění paketů v měřeném časovém období a v rámci dané třídy.</w:t>
      </w:r>
    </w:p>
    <w:p w:rsidR="00215B20" w:rsidRDefault="00FD0AA3">
      <w:pPr>
        <w:pStyle w:val="Zkladntext20"/>
        <w:shd w:val="clear" w:color="auto" w:fill="auto"/>
        <w:spacing w:after="60" w:line="360" w:lineRule="auto"/>
        <w:rPr>
          <w:sz w:val="14"/>
          <w:szCs w:val="14"/>
        </w:rPr>
      </w:pPr>
      <w:r w:rsidRPr="00920265">
        <w:rPr>
          <w:b/>
          <w:bCs/>
          <w:sz w:val="14"/>
          <w:szCs w:val="14"/>
          <w:lang w:eastAsia="en-US" w:bidi="en-US"/>
        </w:rPr>
        <w:t>MOS (Mean Oppinion Score, standard die ITU-T)</w:t>
      </w:r>
    </w:p>
    <w:p w:rsidR="00215B20" w:rsidRDefault="00FD0AA3">
      <w:pPr>
        <w:pStyle w:val="Zkladntext20"/>
        <w:shd w:val="clear" w:color="auto" w:fill="auto"/>
        <w:spacing w:after="160" w:line="394" w:lineRule="auto"/>
      </w:pPr>
      <w:r>
        <w:t>Parametr ukazující vhodnost dané třídy pro provoz aplikací pracujících v reálném č</w:t>
      </w:r>
      <w:r>
        <w:t xml:space="preserve">ase např. </w:t>
      </w:r>
      <w:r>
        <w:rPr>
          <w:lang w:val="en-US" w:eastAsia="en-US" w:bidi="en-US"/>
        </w:rPr>
        <w:t xml:space="preserve">VoIP. </w:t>
      </w:r>
      <w:r>
        <w:t xml:space="preserve">Numerická hodnota (1-5) vyjadřující kvalitu přípojky pro přenos </w:t>
      </w:r>
      <w:r>
        <w:rPr>
          <w:lang w:val="en-US" w:eastAsia="en-US" w:bidi="en-US"/>
        </w:rPr>
        <w:t xml:space="preserve">real-time </w:t>
      </w:r>
      <w:r>
        <w:t xml:space="preserve">aplikací (např. </w:t>
      </w:r>
      <w:r w:rsidRPr="00920265">
        <w:rPr>
          <w:lang w:eastAsia="en-US" w:bidi="en-US"/>
        </w:rPr>
        <w:t xml:space="preserve">VoIP); </w:t>
      </w:r>
      <w:r>
        <w:t>hodnota 5 znamená nejvyšší kvalitu, hodnota 1 - nejnižší.</w:t>
      </w:r>
    </w:p>
    <w:p w:rsidR="00215B20" w:rsidRDefault="00FD0AA3">
      <w:pPr>
        <w:pStyle w:val="Zkladntext20"/>
        <w:shd w:val="clear" w:color="auto" w:fill="auto"/>
        <w:spacing w:after="60" w:line="360" w:lineRule="auto"/>
        <w:rPr>
          <w:sz w:val="14"/>
          <w:szCs w:val="14"/>
        </w:rPr>
      </w:pPr>
      <w:r>
        <w:rPr>
          <w:b/>
          <w:bCs/>
          <w:sz w:val="14"/>
          <w:szCs w:val="14"/>
        </w:rPr>
        <w:t>Průměrné hodnoty</w:t>
      </w:r>
    </w:p>
    <w:p w:rsidR="00215B20" w:rsidRDefault="00FD0AA3">
      <w:pPr>
        <w:pStyle w:val="Zkladntext20"/>
        <w:shd w:val="clear" w:color="auto" w:fill="auto"/>
        <w:spacing w:after="60"/>
      </w:pPr>
      <w:r>
        <w:t xml:space="preserve">Hodnoty jsou vna grafech prezentovány jako průměrné hodnoty za </w:t>
      </w:r>
      <w:r>
        <w:t>zvolené období:</w:t>
      </w:r>
    </w:p>
    <w:p w:rsidR="00215B20" w:rsidRDefault="00FD0AA3">
      <w:pPr>
        <w:pStyle w:val="Zkladntext20"/>
        <w:numPr>
          <w:ilvl w:val="0"/>
          <w:numId w:val="2"/>
        </w:numPr>
        <w:shd w:val="clear" w:color="auto" w:fill="auto"/>
        <w:tabs>
          <w:tab w:val="left" w:pos="1425"/>
        </w:tabs>
        <w:spacing w:after="0"/>
        <w:ind w:left="1100"/>
      </w:pPr>
      <w:r>
        <w:t xml:space="preserve">Zvolený den </w:t>
      </w:r>
      <w:r w:rsidRPr="00920265">
        <w:rPr>
          <w:lang w:eastAsia="en-US" w:bidi="en-US"/>
        </w:rPr>
        <w:t xml:space="preserve">(DAY) </w:t>
      </w:r>
      <w:r>
        <w:t>- předložené průměrné hodnoty jsou vypočítávány za 15 minut období;</w:t>
      </w:r>
    </w:p>
    <w:p w:rsidR="00215B20" w:rsidRDefault="00FD0AA3">
      <w:pPr>
        <w:pStyle w:val="Zkladntext20"/>
        <w:numPr>
          <w:ilvl w:val="0"/>
          <w:numId w:val="2"/>
        </w:numPr>
        <w:shd w:val="clear" w:color="auto" w:fill="auto"/>
        <w:tabs>
          <w:tab w:val="left" w:pos="1425"/>
        </w:tabs>
        <w:spacing w:after="0"/>
        <w:ind w:left="1100"/>
      </w:pPr>
      <w:r>
        <w:t xml:space="preserve">Zvolený týden </w:t>
      </w:r>
      <w:r w:rsidRPr="00920265">
        <w:rPr>
          <w:lang w:eastAsia="en-US" w:bidi="en-US"/>
        </w:rPr>
        <w:t xml:space="preserve">(WEEK) </w:t>
      </w:r>
      <w:r>
        <w:t>- předložené průměrné hodnoty jsou vypočítávány za období 2 hodiny;</w:t>
      </w:r>
    </w:p>
    <w:p w:rsidR="00215B20" w:rsidRDefault="00FD0AA3">
      <w:pPr>
        <w:pStyle w:val="Zkladntext20"/>
        <w:numPr>
          <w:ilvl w:val="0"/>
          <w:numId w:val="2"/>
        </w:numPr>
        <w:shd w:val="clear" w:color="auto" w:fill="auto"/>
        <w:tabs>
          <w:tab w:val="left" w:pos="1425"/>
        </w:tabs>
        <w:spacing w:after="0"/>
        <w:ind w:left="1100"/>
      </w:pPr>
      <w:r>
        <w:t xml:space="preserve">Zvolený měsíc </w:t>
      </w:r>
      <w:r w:rsidRPr="00920265">
        <w:rPr>
          <w:lang w:eastAsia="en-US" w:bidi="en-US"/>
        </w:rPr>
        <w:t xml:space="preserve">(MONTH) </w:t>
      </w:r>
      <w:r>
        <w:t>- předložené průměrné hodnoty jsou vypočítá</w:t>
      </w:r>
      <w:r>
        <w:t>vány za období 12 hodin;</w:t>
      </w:r>
    </w:p>
    <w:p w:rsidR="00215B20" w:rsidRDefault="00FD0AA3">
      <w:pPr>
        <w:pStyle w:val="Zkladntext20"/>
        <w:numPr>
          <w:ilvl w:val="0"/>
          <w:numId w:val="2"/>
        </w:numPr>
        <w:shd w:val="clear" w:color="auto" w:fill="auto"/>
        <w:tabs>
          <w:tab w:val="left" w:pos="1425"/>
        </w:tabs>
        <w:spacing w:after="160"/>
        <w:ind w:left="1100"/>
      </w:pPr>
      <w:r>
        <w:t xml:space="preserve">Zvolený rok </w:t>
      </w:r>
      <w:r w:rsidRPr="00920265">
        <w:rPr>
          <w:lang w:eastAsia="en-US" w:bidi="en-US"/>
        </w:rPr>
        <w:t xml:space="preserve">(YEAR) </w:t>
      </w:r>
      <w:r>
        <w:t>- předložené průměrné hodnoty jsou vypočítávány za období 7 dní.</w:t>
      </w:r>
    </w:p>
    <w:p w:rsidR="00215B20" w:rsidRDefault="00FD0AA3">
      <w:pPr>
        <w:rPr>
          <w:sz w:val="2"/>
          <w:szCs w:val="2"/>
        </w:rPr>
      </w:pPr>
      <w:r>
        <w:rPr>
          <w:noProof/>
          <w:lang w:bidi="ar-SA"/>
        </w:rPr>
        <w:lastRenderedPageBreak/>
        <w:drawing>
          <wp:inline distT="0" distB="0" distL="0" distR="0">
            <wp:extent cx="877570" cy="43307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63"/>
                    <a:stretch/>
                  </pic:blipFill>
                  <pic:spPr>
                    <a:xfrm>
                      <a:off x="0" y="0"/>
                      <a:ext cx="877570" cy="433070"/>
                    </a:xfrm>
                    <a:prstGeom prst="rect">
                      <a:avLst/>
                    </a:prstGeom>
                  </pic:spPr>
                </pic:pic>
              </a:graphicData>
            </a:graphic>
          </wp:inline>
        </w:drawing>
      </w:r>
    </w:p>
    <w:p w:rsidR="00215B20" w:rsidRDefault="00215B20">
      <w:pPr>
        <w:spacing w:after="259" w:line="1" w:lineRule="exact"/>
      </w:pPr>
    </w:p>
    <w:p w:rsidR="00215B20" w:rsidRDefault="00FD0AA3">
      <w:pPr>
        <w:pStyle w:val="Nadpis30"/>
        <w:keepNext/>
        <w:keepLines/>
        <w:shd w:val="clear" w:color="auto" w:fill="auto"/>
        <w:spacing w:after="0"/>
      </w:pPr>
      <w:bookmarkStart w:id="166" w:name="bookmark166"/>
      <w:bookmarkStart w:id="167" w:name="bookmark167"/>
      <w:r>
        <w:t>Provozní statistiky - Uživatelský manuál</w:t>
      </w:r>
      <w:bookmarkEnd w:id="166"/>
      <w:bookmarkEnd w:id="167"/>
    </w:p>
    <w:p w:rsidR="00215B20" w:rsidRDefault="00FD0AA3">
      <w:pPr>
        <w:pStyle w:val="Zkladntext20"/>
        <w:shd w:val="clear" w:color="auto" w:fill="auto"/>
        <w:spacing w:after="260" w:line="240" w:lineRule="auto"/>
        <w:rPr>
          <w:sz w:val="14"/>
          <w:szCs w:val="14"/>
        </w:rPr>
      </w:pPr>
      <w:r>
        <w:rPr>
          <w:b/>
          <w:bCs/>
          <w:sz w:val="14"/>
          <w:szCs w:val="14"/>
        </w:rPr>
        <w:t>Platnost od 1. 6. 2018</w:t>
      </w:r>
    </w:p>
    <w:p w:rsidR="00215B20" w:rsidRDefault="00FD0AA3">
      <w:pPr>
        <w:pStyle w:val="Nadpis60"/>
        <w:keepNext/>
        <w:keepLines/>
        <w:numPr>
          <w:ilvl w:val="0"/>
          <w:numId w:val="6"/>
        </w:numPr>
        <w:shd w:val="clear" w:color="auto" w:fill="auto"/>
        <w:tabs>
          <w:tab w:val="left" w:pos="437"/>
        </w:tabs>
        <w:spacing w:after="160" w:line="240" w:lineRule="auto"/>
      </w:pPr>
      <w:bookmarkStart w:id="168" w:name="bookmark168"/>
      <w:bookmarkStart w:id="169" w:name="bookmark169"/>
      <w:r>
        <w:t>Přínosy pro Smluvní partnery</w:t>
      </w:r>
      <w:bookmarkEnd w:id="168"/>
      <w:bookmarkEnd w:id="169"/>
    </w:p>
    <w:p w:rsidR="00215B20" w:rsidRDefault="00FD0AA3">
      <w:pPr>
        <w:pStyle w:val="Zkladntext20"/>
        <w:shd w:val="clear" w:color="auto" w:fill="auto"/>
        <w:spacing w:after="260"/>
        <w:jc w:val="both"/>
      </w:pPr>
      <w:r>
        <w:t xml:space="preserve">Smluvním partnerům je dostupný stejný náhled na </w:t>
      </w:r>
      <w:r>
        <w:t>aktuální statistiky dostupnosti jednotlivých lokalit, jako je dostupný pracovníkům dohledového centra T- Mobile. Při nahlašování poruchy tak nedochází k možnému zkreslení údajů díky odlišnému zákaznickému monitoringu. Zákaznický pohled na reporty je rozděl</w:t>
      </w:r>
      <w:r>
        <w:t>en tak, aby si uživatel mohl vybrat, jaká data jsou důležitá pro sledování.</w:t>
      </w:r>
    </w:p>
    <w:p w:rsidR="00215B20" w:rsidRDefault="00FD0AA3">
      <w:pPr>
        <w:pStyle w:val="Zkladntext20"/>
        <w:shd w:val="clear" w:color="auto" w:fill="auto"/>
        <w:spacing w:after="60" w:line="360" w:lineRule="auto"/>
        <w:rPr>
          <w:sz w:val="14"/>
          <w:szCs w:val="14"/>
        </w:rPr>
      </w:pPr>
      <w:r>
        <w:rPr>
          <w:b/>
          <w:bCs/>
          <w:sz w:val="14"/>
          <w:szCs w:val="14"/>
        </w:rPr>
        <w:t xml:space="preserve">Základní měření (Basic </w:t>
      </w:r>
      <w:r w:rsidRPr="00920265">
        <w:rPr>
          <w:b/>
          <w:bCs/>
          <w:sz w:val="14"/>
          <w:szCs w:val="14"/>
          <w:lang w:eastAsia="en-US" w:bidi="en-US"/>
        </w:rPr>
        <w:t>measurement)</w:t>
      </w:r>
    </w:p>
    <w:p w:rsidR="00215B20" w:rsidRDefault="00FD0AA3">
      <w:pPr>
        <w:pStyle w:val="Zkladntext20"/>
        <w:shd w:val="clear" w:color="auto" w:fill="auto"/>
        <w:spacing w:after="260" w:line="389" w:lineRule="auto"/>
        <w:jc w:val="both"/>
      </w:pPr>
      <w:r>
        <w:t xml:space="preserve">Tento typ reportů umožní zjistit, jestli jsou přípojky jednotlivých lokalit dostatečně dimenzovány pro provoz. Je možné sledovat nejvytíženější </w:t>
      </w:r>
      <w:r>
        <w:t>pobočky, systém upozorní na možný problém při komunikaci pobočky. Pomáhá identifikovat, kterým zařízením/lokalitám je vhodné se více věnovat a sledovat či jestli některé z přípojek nemají komunikační problém.</w:t>
      </w:r>
    </w:p>
    <w:p w:rsidR="00215B20" w:rsidRDefault="00FD0AA3">
      <w:pPr>
        <w:pStyle w:val="Zkladntext20"/>
        <w:shd w:val="clear" w:color="auto" w:fill="auto"/>
        <w:spacing w:after="60" w:line="360" w:lineRule="auto"/>
        <w:rPr>
          <w:sz w:val="14"/>
          <w:szCs w:val="14"/>
        </w:rPr>
      </w:pPr>
      <w:r>
        <w:rPr>
          <w:b/>
          <w:bCs/>
          <w:sz w:val="14"/>
          <w:szCs w:val="14"/>
        </w:rPr>
        <w:t xml:space="preserve">QoS měření </w:t>
      </w:r>
      <w:r w:rsidRPr="00920265">
        <w:rPr>
          <w:b/>
          <w:bCs/>
          <w:sz w:val="14"/>
          <w:szCs w:val="14"/>
          <w:lang w:eastAsia="en-US" w:bidi="en-US"/>
        </w:rPr>
        <w:t>(QoS measurement)</w:t>
      </w:r>
    </w:p>
    <w:p w:rsidR="00215B20" w:rsidRDefault="00FD0AA3">
      <w:pPr>
        <w:pStyle w:val="Zkladntext20"/>
        <w:shd w:val="clear" w:color="auto" w:fill="auto"/>
        <w:spacing w:after="260" w:line="389" w:lineRule="auto"/>
        <w:jc w:val="both"/>
      </w:pPr>
      <w:r>
        <w:t xml:space="preserve">Tento typ reportů </w:t>
      </w:r>
      <w:r>
        <w:t>umožní zjistit, jestli jsou QoS, které má Smluvní partner definovány a nastaveny, dostatečně dimenzovány pro provoz, je možné sledovat vytížení i ztrátovost v rámci jednotlivých tříd a na základě toho se rozhodnout o zavedení nové třídy či přenastavení stá</w:t>
      </w:r>
      <w:r>
        <w:t>vajících tříd jiným způsobem nebo převedení provozu do jiné třídy.</w:t>
      </w:r>
    </w:p>
    <w:p w:rsidR="00215B20" w:rsidRDefault="00FD0AA3">
      <w:pPr>
        <w:pStyle w:val="Zkladntext20"/>
        <w:shd w:val="clear" w:color="auto" w:fill="auto"/>
        <w:spacing w:after="60" w:line="360" w:lineRule="auto"/>
        <w:rPr>
          <w:sz w:val="14"/>
          <w:szCs w:val="14"/>
        </w:rPr>
      </w:pPr>
      <w:r>
        <w:rPr>
          <w:b/>
          <w:bCs/>
          <w:sz w:val="14"/>
          <w:szCs w:val="14"/>
        </w:rPr>
        <w:t xml:space="preserve">IP SLA měření </w:t>
      </w:r>
      <w:r>
        <w:rPr>
          <w:b/>
          <w:bCs/>
          <w:sz w:val="14"/>
          <w:szCs w:val="14"/>
          <w:lang w:val="en-US" w:eastAsia="en-US" w:bidi="en-US"/>
        </w:rPr>
        <w:t xml:space="preserve">(IP </w:t>
      </w:r>
      <w:r>
        <w:rPr>
          <w:b/>
          <w:bCs/>
          <w:sz w:val="14"/>
          <w:szCs w:val="14"/>
        </w:rPr>
        <w:t xml:space="preserve">SLA </w:t>
      </w:r>
      <w:r>
        <w:rPr>
          <w:b/>
          <w:bCs/>
          <w:sz w:val="14"/>
          <w:szCs w:val="14"/>
          <w:lang w:val="en-US" w:eastAsia="en-US" w:bidi="en-US"/>
        </w:rPr>
        <w:t>measurement)</w:t>
      </w:r>
    </w:p>
    <w:p w:rsidR="00215B20" w:rsidRDefault="00FD0AA3">
      <w:pPr>
        <w:pStyle w:val="Zkladntext20"/>
        <w:shd w:val="clear" w:color="auto" w:fill="auto"/>
        <w:spacing w:after="260" w:line="389" w:lineRule="auto"/>
        <w:jc w:val="both"/>
      </w:pPr>
      <w:r>
        <w:t>Tento report je velmi přínosný obzvláště pro zákazníky, kteří chtějí definovat/sledovat QoS pro IP telefonii a v rámci této třídy potřebují mít splněné pa</w:t>
      </w:r>
      <w:r>
        <w:t xml:space="preserve">rametry pro provozování IP telefonie - </w:t>
      </w:r>
      <w:r w:rsidRPr="00920265">
        <w:rPr>
          <w:lang w:eastAsia="en-US" w:bidi="en-US"/>
        </w:rPr>
        <w:t xml:space="preserve">Jitter, Delay, Packet Loss. U </w:t>
      </w:r>
      <w:r>
        <w:t>zbylých tříd je možné sledovat, jestli jsou správně používané a nastavené vzhledem k potřebám zákazníka a jestli není vhodné převést nějaký provoz do jiné (méně vytížené) třídy.</w:t>
      </w:r>
    </w:p>
    <w:p w:rsidR="00215B20" w:rsidRDefault="00FD0AA3">
      <w:pPr>
        <w:pStyle w:val="Nadpis60"/>
        <w:keepNext/>
        <w:keepLines/>
        <w:numPr>
          <w:ilvl w:val="0"/>
          <w:numId w:val="6"/>
        </w:numPr>
        <w:shd w:val="clear" w:color="auto" w:fill="auto"/>
        <w:tabs>
          <w:tab w:val="left" w:pos="437"/>
        </w:tabs>
        <w:spacing w:after="160" w:line="240" w:lineRule="auto"/>
      </w:pPr>
      <w:bookmarkStart w:id="170" w:name="bookmark170"/>
      <w:bookmarkStart w:id="171" w:name="bookmark171"/>
      <w:r>
        <w:t>Popis zák</w:t>
      </w:r>
      <w:r>
        <w:t>aznického rozhraní</w:t>
      </w:r>
      <w:bookmarkEnd w:id="170"/>
      <w:bookmarkEnd w:id="171"/>
    </w:p>
    <w:p w:rsidR="00215B20" w:rsidRDefault="00FD0AA3">
      <w:pPr>
        <w:pStyle w:val="Zkladntext20"/>
        <w:shd w:val="clear" w:color="auto" w:fill="auto"/>
        <w:spacing w:after="440" w:line="240" w:lineRule="auto"/>
      </w:pPr>
      <w:r>
        <w:t xml:space="preserve">Do rozhraní aplikace Provozní statistiky má Smluvní partner přístup pomocí internetového prohlížeče z internetových </w:t>
      </w:r>
      <w:r>
        <w:rPr>
          <w:color w:val="E97423"/>
          <w:u w:val="single"/>
        </w:rPr>
        <w:t>httDs://</w:t>
      </w:r>
      <w:proofErr w:type="gramStart"/>
      <w:r>
        <w:rPr>
          <w:color w:val="E97423"/>
          <w:u w:val="single"/>
        </w:rPr>
        <w:t>performance.t-mobile</w:t>
      </w:r>
      <w:proofErr w:type="gramEnd"/>
      <w:r>
        <w:rPr>
          <w:color w:val="E97423"/>
          <w:u w:val="single"/>
        </w:rPr>
        <w:t>.cz</w:t>
      </w:r>
    </w:p>
    <w:p w:rsidR="00215B20" w:rsidRDefault="00FD0AA3">
      <w:pPr>
        <w:jc w:val="center"/>
        <w:rPr>
          <w:sz w:val="2"/>
          <w:szCs w:val="2"/>
        </w:rPr>
      </w:pPr>
      <w:r>
        <w:rPr>
          <w:noProof/>
          <w:lang w:bidi="ar-SA"/>
        </w:rPr>
        <w:drawing>
          <wp:inline distT="0" distB="0" distL="0" distR="0">
            <wp:extent cx="3328670" cy="181038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74"/>
                    <a:stretch/>
                  </pic:blipFill>
                  <pic:spPr>
                    <a:xfrm>
                      <a:off x="0" y="0"/>
                      <a:ext cx="3328670" cy="1810385"/>
                    </a:xfrm>
                    <a:prstGeom prst="rect">
                      <a:avLst/>
                    </a:prstGeom>
                  </pic:spPr>
                </pic:pic>
              </a:graphicData>
            </a:graphic>
          </wp:inline>
        </w:drawing>
      </w:r>
    </w:p>
    <w:p w:rsidR="00215B20" w:rsidRDefault="00215B20">
      <w:pPr>
        <w:spacing w:after="439" w:line="1" w:lineRule="exact"/>
      </w:pPr>
    </w:p>
    <w:p w:rsidR="00215B20" w:rsidRDefault="00FD0AA3">
      <w:pPr>
        <w:pStyle w:val="Zkladntext20"/>
        <w:shd w:val="clear" w:color="auto" w:fill="auto"/>
        <w:spacing w:after="260"/>
        <w:sectPr w:rsidR="00215B20">
          <w:headerReference w:type="even" r:id="rId75"/>
          <w:headerReference w:type="default" r:id="rId76"/>
          <w:footerReference w:type="even" r:id="rId77"/>
          <w:footerReference w:type="default" r:id="rId78"/>
          <w:pgSz w:w="11900" w:h="16840"/>
          <w:pgMar w:top="400" w:right="1111" w:bottom="1105" w:left="1094" w:header="0" w:footer="3" w:gutter="0"/>
          <w:cols w:space="720"/>
          <w:noEndnote/>
          <w:docGrid w:linePitch="360"/>
        </w:sectPr>
      </w:pPr>
      <w:r>
        <w:t>Pro autorizaci a identifikaci uživatele je použito jméno a heslo, které Smluvní partner obdrží při zřízení doplňkové služby Provozní stati</w:t>
      </w:r>
      <w:r>
        <w:t>stiky. Po zadání jména a heslaje Smluvnímu partnerovi zobrazeno zákaznické rozhraní Provozních statistik.</w:t>
      </w:r>
    </w:p>
    <w:p w:rsidR="00215B20" w:rsidRDefault="00FD0AA3">
      <w:pPr>
        <w:pStyle w:val="Zkladntext20"/>
        <w:shd w:val="clear" w:color="auto" w:fill="auto"/>
        <w:spacing w:after="0" w:line="240" w:lineRule="auto"/>
        <w:jc w:val="center"/>
      </w:pPr>
      <w:r>
        <w:lastRenderedPageBreak/>
        <w:t>Struktura zákaznického rozhraní</w:t>
      </w:r>
    </w:p>
    <w:p w:rsidR="00215B20" w:rsidRDefault="00FD0AA3">
      <w:pPr>
        <w:spacing w:line="1" w:lineRule="exact"/>
        <w:sectPr w:rsidR="00215B20">
          <w:headerReference w:type="even" r:id="rId79"/>
          <w:headerReference w:type="default" r:id="rId80"/>
          <w:footerReference w:type="even" r:id="rId81"/>
          <w:footerReference w:type="default" r:id="rId82"/>
          <w:pgSz w:w="11900" w:h="16840"/>
          <w:pgMar w:top="2122" w:right="1117" w:bottom="2122" w:left="1111" w:header="0" w:footer="3" w:gutter="0"/>
          <w:cols w:space="720"/>
          <w:noEndnote/>
          <w:docGrid w:linePitch="360"/>
        </w:sectPr>
      </w:pPr>
      <w:r>
        <w:rPr>
          <w:noProof/>
          <w:lang w:bidi="ar-SA"/>
        </w:rPr>
        <w:drawing>
          <wp:anchor distT="140970" distB="2115820" distL="0" distR="0" simplePos="0" relativeHeight="125829388" behindDoc="0" locked="0" layoutInCell="1" allowOverlap="1">
            <wp:simplePos x="0" y="0"/>
            <wp:positionH relativeFrom="page">
              <wp:posOffset>766445</wp:posOffset>
            </wp:positionH>
            <wp:positionV relativeFrom="paragraph">
              <wp:posOffset>140970</wp:posOffset>
            </wp:positionV>
            <wp:extent cx="475615" cy="255905"/>
            <wp:effectExtent l="0" t="0" r="0" b="0"/>
            <wp:wrapTopAndBottom/>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83"/>
                    <a:stretch/>
                  </pic:blipFill>
                  <pic:spPr>
                    <a:xfrm>
                      <a:off x="0" y="0"/>
                      <a:ext cx="475615" cy="255905"/>
                    </a:xfrm>
                    <a:prstGeom prst="rect">
                      <a:avLst/>
                    </a:prstGeom>
                  </pic:spPr>
                </pic:pic>
              </a:graphicData>
            </a:graphic>
          </wp:anchor>
        </w:drawing>
      </w:r>
      <w:r>
        <w:rPr>
          <w:noProof/>
          <w:lang w:bidi="ar-SA"/>
        </w:rPr>
        <w:drawing>
          <wp:anchor distT="101600" distB="1969135" distL="0" distR="0" simplePos="0" relativeHeight="125829389" behindDoc="0" locked="0" layoutInCell="1" allowOverlap="1">
            <wp:simplePos x="0" y="0"/>
            <wp:positionH relativeFrom="page">
              <wp:posOffset>5761990</wp:posOffset>
            </wp:positionH>
            <wp:positionV relativeFrom="paragraph">
              <wp:posOffset>101600</wp:posOffset>
            </wp:positionV>
            <wp:extent cx="1292225" cy="445135"/>
            <wp:effectExtent l="0" t="0" r="0" b="0"/>
            <wp:wrapTopAndBottom/>
            <wp:docPr id="185" name="Shape 185"/>
            <wp:cNvGraphicFramePr/>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84"/>
                    <a:stretch/>
                  </pic:blipFill>
                  <pic:spPr>
                    <a:xfrm>
                      <a:off x="0" y="0"/>
                      <a:ext cx="1292225" cy="445135"/>
                    </a:xfrm>
                    <a:prstGeom prst="rect">
                      <a:avLst/>
                    </a:prstGeom>
                  </pic:spPr>
                </pic:pic>
              </a:graphicData>
            </a:graphic>
          </wp:anchor>
        </w:drawing>
      </w:r>
      <w:r>
        <w:rPr>
          <w:noProof/>
          <w:lang w:bidi="ar-SA"/>
        </w:rPr>
        <w:drawing>
          <wp:anchor distT="613410" distB="146685" distL="0" distR="0" simplePos="0" relativeHeight="125829390" behindDoc="0" locked="0" layoutInCell="1" allowOverlap="1">
            <wp:simplePos x="0" y="0"/>
            <wp:positionH relativeFrom="page">
              <wp:posOffset>705485</wp:posOffset>
            </wp:positionH>
            <wp:positionV relativeFrom="paragraph">
              <wp:posOffset>613410</wp:posOffset>
            </wp:positionV>
            <wp:extent cx="5132705" cy="1755775"/>
            <wp:effectExtent l="0" t="0" r="0" b="0"/>
            <wp:wrapTopAndBottom/>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85"/>
                    <a:stretch/>
                  </pic:blipFill>
                  <pic:spPr>
                    <a:xfrm>
                      <a:off x="0" y="0"/>
                      <a:ext cx="5132705" cy="1755775"/>
                    </a:xfrm>
                    <a:prstGeom prst="rect">
                      <a:avLst/>
                    </a:prstGeom>
                  </pic:spPr>
                </pic:pic>
              </a:graphicData>
            </a:graphic>
          </wp:anchor>
        </w:drawing>
      </w:r>
      <w:r>
        <w:rPr>
          <w:noProof/>
          <w:lang w:bidi="ar-SA"/>
        </w:rPr>
        <mc:AlternateContent>
          <mc:Choice Requires="wps">
            <w:drawing>
              <wp:anchor distT="0" distB="0" distL="0" distR="0" simplePos="0" relativeHeight="251661312" behindDoc="0" locked="0" layoutInCell="1" allowOverlap="1">
                <wp:simplePos x="0" y="0"/>
                <wp:positionH relativeFrom="page">
                  <wp:posOffset>732790</wp:posOffset>
                </wp:positionH>
                <wp:positionV relativeFrom="paragraph">
                  <wp:posOffset>762635</wp:posOffset>
                </wp:positionV>
                <wp:extent cx="1454150" cy="1728470"/>
                <wp:effectExtent l="0" t="0" r="0" b="0"/>
                <wp:wrapNone/>
                <wp:docPr id="189" name="Shape 189"/>
                <wp:cNvGraphicFramePr/>
                <a:graphic xmlns:a="http://schemas.openxmlformats.org/drawingml/2006/main">
                  <a:graphicData uri="http://schemas.microsoft.com/office/word/2010/wordprocessingShape">
                    <wps:wsp>
                      <wps:cNvSpPr txBox="1"/>
                      <wps:spPr>
                        <a:xfrm>
                          <a:off x="0" y="0"/>
                          <a:ext cx="1454150" cy="1728470"/>
                        </a:xfrm>
                        <a:prstGeom prst="rect">
                          <a:avLst/>
                        </a:prstGeom>
                        <a:noFill/>
                      </wps:spPr>
                      <wps:txbx>
                        <w:txbxContent>
                          <w:p w:rsidR="00215B20" w:rsidRDefault="00FD0AA3">
                            <w:pPr>
                              <w:pStyle w:val="Titulekobrzku0"/>
                              <w:shd w:val="clear" w:color="auto" w:fill="auto"/>
                              <w:ind w:firstLine="0"/>
                            </w:pPr>
                            <w:r>
                              <w:rPr>
                                <w:lang w:val="en-US" w:eastAsia="en-US" w:bidi="en-US"/>
                              </w:rPr>
                              <w:t xml:space="preserve">• status </w:t>
                            </w:r>
                            <w:r>
                              <w:rPr>
                                <w:lang w:val="en-US" w:eastAsia="en-US" w:bidi="en-US"/>
                              </w:rPr>
                              <w:t>summary</w:t>
                            </w:r>
                          </w:p>
                          <w:p w:rsidR="00215B20" w:rsidRDefault="00FD0AA3">
                            <w:pPr>
                              <w:pStyle w:val="Titulekobrzku0"/>
                              <w:shd w:val="clear" w:color="auto" w:fill="auto"/>
                              <w:ind w:firstLine="0"/>
                            </w:pPr>
                            <w:r>
                              <w:rPr>
                                <w:lang w:val="en-US" w:eastAsia="en-US" w:bidi="en-US"/>
                              </w:rPr>
                              <w:t>L_| Business Internet</w:t>
                            </w:r>
                          </w:p>
                          <w:p w:rsidR="00215B20" w:rsidRDefault="00FD0AA3">
                            <w:pPr>
                              <w:pStyle w:val="Titulekobrzku0"/>
                              <w:numPr>
                                <w:ilvl w:val="0"/>
                                <w:numId w:val="9"/>
                              </w:numPr>
                              <w:shd w:val="clear" w:color="auto" w:fill="auto"/>
                              <w:tabs>
                                <w:tab w:val="left" w:pos="281"/>
                              </w:tabs>
                              <w:ind w:firstLine="180"/>
                            </w:pPr>
                            <w:r>
                              <w:rPr>
                                <w:lang w:val="en-US" w:eastAsia="en-US" w:bidi="en-US"/>
                              </w:rPr>
                              <w:t>Network Map</w:t>
                            </w:r>
                          </w:p>
                          <w:p w:rsidR="00215B20" w:rsidRDefault="00FD0AA3">
                            <w:pPr>
                              <w:pStyle w:val="Titulekobrzku0"/>
                              <w:numPr>
                                <w:ilvl w:val="0"/>
                                <w:numId w:val="9"/>
                              </w:numPr>
                              <w:shd w:val="clear" w:color="auto" w:fill="auto"/>
                              <w:tabs>
                                <w:tab w:val="left" w:pos="270"/>
                              </w:tabs>
                              <w:ind w:left="140"/>
                            </w:pPr>
                            <w:r>
                              <w:rPr>
                                <w:lang w:val="en-US" w:eastAsia="en-US" w:bidi="en-US"/>
                              </w:rPr>
                              <w:t xml:space="preserve">Status Table </w:t>
                            </w:r>
                            <w:r>
                              <w:rPr>
                                <w:b/>
                                <w:bCs/>
                                <w:u w:val="single"/>
                                <w:lang w:val="en-US" w:eastAsia="en-US" w:bidi="en-US"/>
                              </w:rPr>
                              <w:t>hJ</w:t>
                            </w:r>
                            <w:r>
                              <w:rPr>
                                <w:b/>
                                <w:bCs/>
                                <w:lang w:val="en-US" w:eastAsia="en-US" w:bidi="en-US"/>
                              </w:rPr>
                              <w:t xml:space="preserve"> CZ</w:t>
                            </w:r>
                          </w:p>
                          <w:p w:rsidR="00215B20" w:rsidRDefault="00FD0AA3">
                            <w:pPr>
                              <w:pStyle w:val="Titulekobrzku0"/>
                              <w:numPr>
                                <w:ilvl w:val="0"/>
                                <w:numId w:val="9"/>
                              </w:numPr>
                              <w:shd w:val="clear" w:color="auto" w:fill="auto"/>
                              <w:tabs>
                                <w:tab w:val="left" w:pos="381"/>
                              </w:tabs>
                              <w:ind w:firstLine="280"/>
                            </w:pPr>
                            <w:r>
                              <w:rPr>
                                <w:lang w:val="en-US" w:eastAsia="en-US" w:bidi="en-US"/>
                              </w:rPr>
                              <w:t>Praha</w:t>
                            </w:r>
                          </w:p>
                          <w:p w:rsidR="00215B20" w:rsidRDefault="00FD0AA3">
                            <w:pPr>
                              <w:pStyle w:val="Titulekobrzku0"/>
                              <w:numPr>
                                <w:ilvl w:val="0"/>
                                <w:numId w:val="9"/>
                              </w:numPr>
                              <w:shd w:val="clear" w:color="auto" w:fill="auto"/>
                              <w:tabs>
                                <w:tab w:val="left" w:pos="480"/>
                              </w:tabs>
                              <w:ind w:firstLine="400"/>
                            </w:pPr>
                            <w:r w:rsidRPr="00920265">
                              <w:rPr>
                                <w:lang w:eastAsia="en-US" w:bidi="en-US"/>
                              </w:rPr>
                              <w:t xml:space="preserve">GN435444 - Pripotocni 66e (GN80990) </w:t>
                            </w:r>
                            <w:r w:rsidRPr="00920265">
                              <w:rPr>
                                <w:b/>
                                <w:bCs/>
                                <w:color w:val="929292"/>
                                <w:lang w:eastAsia="en-US" w:bidi="en-US"/>
                              </w:rPr>
                              <w:t xml:space="preserve">tj </w:t>
                            </w:r>
                            <w:r w:rsidRPr="00920265">
                              <w:rPr>
                                <w:b/>
                                <w:bCs/>
                                <w:lang w:eastAsia="en-US" w:bidi="en-US"/>
                              </w:rPr>
                              <w:t>IP VPN</w:t>
                            </w:r>
                          </w:p>
                          <w:p w:rsidR="00215B20" w:rsidRDefault="00FD0AA3">
                            <w:pPr>
                              <w:pStyle w:val="Titulekobrzku0"/>
                              <w:numPr>
                                <w:ilvl w:val="0"/>
                                <w:numId w:val="9"/>
                              </w:numPr>
                              <w:shd w:val="clear" w:color="auto" w:fill="auto"/>
                              <w:tabs>
                                <w:tab w:val="left" w:pos="281"/>
                              </w:tabs>
                              <w:ind w:firstLine="180"/>
                            </w:pPr>
                            <w:r>
                              <w:rPr>
                                <w:lang w:val="en-US" w:eastAsia="en-US" w:bidi="en-US"/>
                              </w:rPr>
                              <w:t>Network Map</w:t>
                            </w:r>
                          </w:p>
                          <w:p w:rsidR="00215B20" w:rsidRDefault="00FD0AA3">
                            <w:pPr>
                              <w:pStyle w:val="Titulekobrzku0"/>
                              <w:numPr>
                                <w:ilvl w:val="0"/>
                                <w:numId w:val="9"/>
                              </w:numPr>
                              <w:shd w:val="clear" w:color="auto" w:fill="auto"/>
                              <w:tabs>
                                <w:tab w:val="left" w:pos="270"/>
                              </w:tabs>
                              <w:ind w:left="140"/>
                            </w:pPr>
                            <w:r>
                              <w:rPr>
                                <w:lang w:val="en-US" w:eastAsia="en-US" w:bidi="en-US"/>
                              </w:rPr>
                              <w:t xml:space="preserve">Status Table </w:t>
                            </w:r>
                            <w:r>
                              <w:rPr>
                                <w:b/>
                                <w:bCs/>
                                <w:color w:val="929292"/>
                              </w:rPr>
                              <w:t xml:space="preserve">tí </w:t>
                            </w:r>
                            <w:r>
                              <w:rPr>
                                <w:b/>
                                <w:bCs/>
                                <w:lang w:val="en-US" w:eastAsia="en-US" w:bidi="en-US"/>
                              </w:rPr>
                              <w:t>CZ</w:t>
                            </w:r>
                          </w:p>
                          <w:p w:rsidR="00215B20" w:rsidRDefault="00FD0AA3">
                            <w:pPr>
                              <w:pStyle w:val="Titulekobrzku0"/>
                              <w:numPr>
                                <w:ilvl w:val="0"/>
                                <w:numId w:val="9"/>
                              </w:numPr>
                              <w:shd w:val="clear" w:color="auto" w:fill="auto"/>
                              <w:tabs>
                                <w:tab w:val="left" w:pos="376"/>
                              </w:tabs>
                              <w:ind w:firstLine="280"/>
                            </w:pPr>
                            <w:r>
                              <w:t>Třinec</w:t>
                            </w:r>
                          </w:p>
                          <w:p w:rsidR="00215B20" w:rsidRDefault="00FD0AA3">
                            <w:pPr>
                              <w:pStyle w:val="Titulekobrzku0"/>
                              <w:numPr>
                                <w:ilvl w:val="0"/>
                                <w:numId w:val="10"/>
                              </w:numPr>
                              <w:shd w:val="clear" w:color="auto" w:fill="auto"/>
                              <w:tabs>
                                <w:tab w:val="left" w:pos="496"/>
                              </w:tabs>
                              <w:ind w:firstLine="400"/>
                            </w:pPr>
                            <w:r>
                              <w:t xml:space="preserve">Dostojevského </w:t>
                            </w:r>
                            <w:r>
                              <w:rPr>
                                <w:lang w:val="en-US" w:eastAsia="en-US" w:bidi="en-US"/>
                              </w:rPr>
                              <w:t>45 {GN61176).</w:t>
                            </w:r>
                          </w:p>
                          <w:p w:rsidR="00215B20" w:rsidRDefault="00FD0AA3">
                            <w:pPr>
                              <w:pStyle w:val="Titulekobrzku0"/>
                              <w:shd w:val="clear" w:color="auto" w:fill="auto"/>
                              <w:ind w:firstLine="140"/>
                            </w:pPr>
                            <w:r>
                              <w:rPr>
                                <w:b/>
                                <w:bCs/>
                                <w:color w:val="929292"/>
                              </w:rPr>
                              <w:t xml:space="preserve">tí </w:t>
                            </w:r>
                            <w:r>
                              <w:rPr>
                                <w:b/>
                                <w:bCs/>
                                <w:lang w:val="en-US" w:eastAsia="en-US" w:bidi="en-US"/>
                              </w:rPr>
                              <w:t>HU</w:t>
                            </w:r>
                          </w:p>
                          <w:p w:rsidR="00215B20" w:rsidRDefault="00FD0AA3">
                            <w:pPr>
                              <w:pStyle w:val="Titulekobrzku0"/>
                              <w:shd w:val="clear" w:color="auto" w:fill="auto"/>
                              <w:ind w:firstLine="280"/>
                            </w:pPr>
                            <w:r>
                              <w:rPr>
                                <w:b/>
                                <w:bCs/>
                                <w:lang w:val="en-US" w:eastAsia="en-US" w:bidi="en-US"/>
                              </w:rPr>
                              <w:t>L_l Budapest</w:t>
                            </w:r>
                          </w:p>
                          <w:p w:rsidR="00215B20" w:rsidRDefault="00FD0AA3">
                            <w:pPr>
                              <w:pStyle w:val="Titulekobrzku0"/>
                              <w:shd w:val="clear" w:color="auto" w:fill="auto"/>
                              <w:ind w:firstLine="280"/>
                            </w:pPr>
                            <w:r>
                              <w:rPr>
                                <w:lang w:val="en-US" w:eastAsia="en-US" w:bidi="en-US"/>
                              </w:rPr>
                              <w:t>iJ Debrecen</w:t>
                            </w:r>
                          </w:p>
                          <w:p w:rsidR="00215B20" w:rsidRDefault="00FD0AA3">
                            <w:pPr>
                              <w:pStyle w:val="Titulekobrzku0"/>
                              <w:shd w:val="clear" w:color="auto" w:fill="auto"/>
                              <w:spacing w:line="240" w:lineRule="auto"/>
                              <w:ind w:firstLine="280"/>
                            </w:pPr>
                            <w:r>
                              <w:rPr>
                                <w:smallCaps/>
                                <w:color w:val="6B6C6F"/>
                                <w:sz w:val="12"/>
                                <w:szCs w:val="12"/>
                                <w:lang w:val="en-US" w:eastAsia="en-US" w:bidi="en-US"/>
                              </w:rPr>
                              <w:t>Lj</w:t>
                            </w:r>
                            <w:r>
                              <w:rPr>
                                <w:b/>
                                <w:bCs/>
                                <w:color w:val="6B6C6F"/>
                                <w:lang w:val="en-US" w:eastAsia="en-US" w:bidi="en-US"/>
                              </w:rPr>
                              <w:t xml:space="preserve"> </w:t>
                            </w:r>
                            <w:r>
                              <w:rPr>
                                <w:b/>
                                <w:bCs/>
                                <w:lang w:val="en-US" w:eastAsia="en-US" w:bidi="en-US"/>
                              </w:rPr>
                              <w:t>Szom bathe ly</w:t>
                            </w:r>
                          </w:p>
                          <w:p w:rsidR="00215B20" w:rsidRDefault="00FD0AA3">
                            <w:pPr>
                              <w:pStyle w:val="Titulekobrzku0"/>
                              <w:shd w:val="clear" w:color="auto" w:fill="auto"/>
                              <w:ind w:firstLine="140"/>
                            </w:pPr>
                            <w:r>
                              <w:rPr>
                                <w:b/>
                                <w:bCs/>
                                <w:color w:val="929292"/>
                                <w:lang w:val="en-US" w:eastAsia="en-US" w:bidi="en-US"/>
                              </w:rPr>
                              <w:t xml:space="preserve">y </w:t>
                            </w:r>
                            <w:r>
                              <w:rPr>
                                <w:b/>
                                <w:bCs/>
                                <w:lang w:val="en-US" w:eastAsia="en-US" w:bidi="en-US"/>
                              </w:rPr>
                              <w:t>PL</w:t>
                            </w:r>
                          </w:p>
                          <w:p w:rsidR="00215B20" w:rsidRDefault="00FD0AA3">
                            <w:pPr>
                              <w:pStyle w:val="Titulekobrzku0"/>
                              <w:shd w:val="clear" w:color="auto" w:fill="auto"/>
                              <w:ind w:firstLine="280"/>
                            </w:pPr>
                            <w:r>
                              <w:rPr>
                                <w:b/>
                                <w:bCs/>
                                <w:lang w:val="en-US" w:eastAsia="en-US" w:bidi="en-US"/>
                              </w:rPr>
                              <w:t>RO</w:t>
                            </w:r>
                          </w:p>
                          <w:p w:rsidR="00215B20" w:rsidRDefault="00FD0AA3">
                            <w:pPr>
                              <w:pStyle w:val="Titulekobrzku0"/>
                              <w:shd w:val="clear" w:color="auto" w:fill="auto"/>
                              <w:ind w:firstLine="140"/>
                            </w:pPr>
                            <w:r>
                              <w:rPr>
                                <w:u w:val="single"/>
                              </w:rPr>
                              <w:t>Ěď</w:t>
                            </w:r>
                            <w:r>
                              <w:t xml:space="preserve"> </w:t>
                            </w:r>
                            <w:r>
                              <w:rPr>
                                <w:b/>
                                <w:bCs/>
                              </w:rPr>
                              <w:t>SK</w:t>
                            </w:r>
                          </w:p>
                        </w:txbxContent>
                      </wps:txbx>
                      <wps:bodyPr lIns="0" tIns="0" rIns="0" bIns="0"/>
                    </wps:wsp>
                  </a:graphicData>
                </a:graphic>
              </wp:anchor>
            </w:drawing>
          </mc:Choice>
          <mc:Fallback>
            <w:pict>
              <v:shape id="_x0000_s1215" type="#_x0000_t202" style="position:absolute;margin-left:57.700000000000003pt;margin-top:60.049999999999997pt;width:114.5pt;height:136.09999999999999pt;z-index:25165773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ind w:left="0" w:right="0" w:firstLine="0"/>
                        <w:jc w:val="left"/>
                      </w:pPr>
                      <w:r>
                        <w:rPr>
                          <w:spacing w:val="0"/>
                          <w:w w:val="100"/>
                          <w:position w:val="0"/>
                          <w:shd w:val="clear" w:color="auto" w:fill="auto"/>
                          <w:lang w:val="en-US" w:eastAsia="en-US" w:bidi="en-US"/>
                        </w:rPr>
                        <w:t>• status summary</w:t>
                      </w:r>
                    </w:p>
                    <w:p>
                      <w:pPr>
                        <w:pStyle w:val="Style2"/>
                        <w:keepNext w:val="0"/>
                        <w:keepLines w:val="0"/>
                        <w:widowControl w:val="0"/>
                        <w:shd w:val="clear" w:color="auto" w:fill="auto"/>
                        <w:bidi w:val="0"/>
                        <w:spacing w:before="0" w:after="0"/>
                        <w:ind w:left="0" w:right="0" w:firstLine="0"/>
                        <w:jc w:val="left"/>
                      </w:pPr>
                      <w:r>
                        <w:rPr>
                          <w:spacing w:val="0"/>
                          <w:w w:val="100"/>
                          <w:position w:val="0"/>
                          <w:shd w:val="clear" w:color="auto" w:fill="auto"/>
                          <w:lang w:val="en-US" w:eastAsia="en-US" w:bidi="en-US"/>
                        </w:rPr>
                        <w:t>L_| Business Internet</w:t>
                      </w:r>
                    </w:p>
                    <w:p>
                      <w:pPr>
                        <w:pStyle w:val="Style2"/>
                        <w:keepNext w:val="0"/>
                        <w:keepLines w:val="0"/>
                        <w:widowControl w:val="0"/>
                        <w:numPr>
                          <w:ilvl w:val="0"/>
                          <w:numId w:val="17"/>
                        </w:numPr>
                        <w:shd w:val="clear" w:color="auto" w:fill="auto"/>
                        <w:tabs>
                          <w:tab w:pos="281" w:val="left"/>
                        </w:tabs>
                        <w:bidi w:val="0"/>
                        <w:spacing w:before="0" w:after="0"/>
                        <w:ind w:left="0" w:right="0" w:firstLine="180"/>
                        <w:jc w:val="left"/>
                      </w:pPr>
                      <w:r>
                        <w:rPr>
                          <w:spacing w:val="0"/>
                          <w:w w:val="100"/>
                          <w:position w:val="0"/>
                          <w:shd w:val="clear" w:color="auto" w:fill="auto"/>
                          <w:lang w:val="en-US" w:eastAsia="en-US" w:bidi="en-US"/>
                        </w:rPr>
                        <w:t>Network Map</w:t>
                      </w:r>
                    </w:p>
                    <w:p>
                      <w:pPr>
                        <w:pStyle w:val="Style2"/>
                        <w:keepNext w:val="0"/>
                        <w:keepLines w:val="0"/>
                        <w:widowControl w:val="0"/>
                        <w:numPr>
                          <w:ilvl w:val="0"/>
                          <w:numId w:val="17"/>
                        </w:numPr>
                        <w:shd w:val="clear" w:color="auto" w:fill="auto"/>
                        <w:tabs>
                          <w:tab w:pos="270" w:val="left"/>
                        </w:tabs>
                        <w:bidi w:val="0"/>
                        <w:spacing w:before="0" w:after="0"/>
                        <w:ind w:left="140" w:right="0"/>
                        <w:jc w:val="left"/>
                      </w:pPr>
                      <w:r>
                        <w:rPr>
                          <w:spacing w:val="0"/>
                          <w:w w:val="100"/>
                          <w:position w:val="0"/>
                          <w:shd w:val="clear" w:color="auto" w:fill="auto"/>
                          <w:lang w:val="en-US" w:eastAsia="en-US" w:bidi="en-US"/>
                        </w:rPr>
                        <w:t xml:space="preserve">Status Table </w:t>
                      </w:r>
                      <w:r>
                        <w:rPr>
                          <w:b/>
                          <w:bCs/>
                          <w:spacing w:val="0"/>
                          <w:w w:val="100"/>
                          <w:position w:val="0"/>
                          <w:u w:val="single"/>
                          <w:shd w:val="clear" w:color="auto" w:fill="auto"/>
                          <w:lang w:val="en-US" w:eastAsia="en-US" w:bidi="en-US"/>
                        </w:rPr>
                        <w:t>hJ</w:t>
                      </w:r>
                      <w:r>
                        <w:rPr>
                          <w:b/>
                          <w:bCs/>
                          <w:spacing w:val="0"/>
                          <w:w w:val="100"/>
                          <w:position w:val="0"/>
                          <w:shd w:val="clear" w:color="auto" w:fill="auto"/>
                          <w:lang w:val="en-US" w:eastAsia="en-US" w:bidi="en-US"/>
                        </w:rPr>
                        <w:t xml:space="preserve"> CZ</w:t>
                      </w:r>
                    </w:p>
                    <w:p>
                      <w:pPr>
                        <w:pStyle w:val="Style2"/>
                        <w:keepNext w:val="0"/>
                        <w:keepLines w:val="0"/>
                        <w:widowControl w:val="0"/>
                        <w:numPr>
                          <w:ilvl w:val="0"/>
                          <w:numId w:val="17"/>
                        </w:numPr>
                        <w:shd w:val="clear" w:color="auto" w:fill="auto"/>
                        <w:tabs>
                          <w:tab w:pos="381" w:val="left"/>
                        </w:tabs>
                        <w:bidi w:val="0"/>
                        <w:spacing w:before="0" w:after="0"/>
                        <w:ind w:left="0" w:right="0" w:firstLine="280"/>
                        <w:jc w:val="left"/>
                      </w:pPr>
                      <w:r>
                        <w:rPr>
                          <w:spacing w:val="0"/>
                          <w:w w:val="100"/>
                          <w:position w:val="0"/>
                          <w:shd w:val="clear" w:color="auto" w:fill="auto"/>
                          <w:lang w:val="en-US" w:eastAsia="en-US" w:bidi="en-US"/>
                        </w:rPr>
                        <w:t>Praha</w:t>
                      </w:r>
                    </w:p>
                    <w:p>
                      <w:pPr>
                        <w:pStyle w:val="Style2"/>
                        <w:keepNext w:val="0"/>
                        <w:keepLines w:val="0"/>
                        <w:widowControl w:val="0"/>
                        <w:numPr>
                          <w:ilvl w:val="0"/>
                          <w:numId w:val="17"/>
                        </w:numPr>
                        <w:shd w:val="clear" w:color="auto" w:fill="auto"/>
                        <w:tabs>
                          <w:tab w:pos="480" w:val="left"/>
                        </w:tabs>
                        <w:bidi w:val="0"/>
                        <w:spacing w:before="0" w:after="0"/>
                        <w:ind w:left="0" w:right="0" w:firstLine="400"/>
                        <w:jc w:val="left"/>
                      </w:pPr>
                      <w:r>
                        <w:rPr>
                          <w:spacing w:val="0"/>
                          <w:w w:val="100"/>
                          <w:position w:val="0"/>
                          <w:shd w:val="clear" w:color="auto" w:fill="auto"/>
                          <w:lang w:val="en-US" w:eastAsia="en-US" w:bidi="en-US"/>
                        </w:rPr>
                        <w:t xml:space="preserve">GN435444 - Pripotocni 66e (GN80990) </w:t>
                      </w:r>
                      <w:r>
                        <w:rPr>
                          <w:b/>
                          <w:bCs/>
                          <w:color w:val="929292"/>
                          <w:spacing w:val="0"/>
                          <w:w w:val="100"/>
                          <w:position w:val="0"/>
                          <w:shd w:val="clear" w:color="auto" w:fill="auto"/>
                          <w:lang w:val="en-US" w:eastAsia="en-US" w:bidi="en-US"/>
                        </w:rPr>
                        <w:t xml:space="preserve">tj </w:t>
                      </w:r>
                      <w:r>
                        <w:rPr>
                          <w:b/>
                          <w:bCs/>
                          <w:spacing w:val="0"/>
                          <w:w w:val="100"/>
                          <w:position w:val="0"/>
                          <w:shd w:val="clear" w:color="auto" w:fill="auto"/>
                          <w:lang w:val="en-US" w:eastAsia="en-US" w:bidi="en-US"/>
                        </w:rPr>
                        <w:t>IP VPN</w:t>
                      </w:r>
                    </w:p>
                    <w:p>
                      <w:pPr>
                        <w:pStyle w:val="Style2"/>
                        <w:keepNext w:val="0"/>
                        <w:keepLines w:val="0"/>
                        <w:widowControl w:val="0"/>
                        <w:numPr>
                          <w:ilvl w:val="0"/>
                          <w:numId w:val="17"/>
                        </w:numPr>
                        <w:shd w:val="clear" w:color="auto" w:fill="auto"/>
                        <w:tabs>
                          <w:tab w:pos="281" w:val="left"/>
                        </w:tabs>
                        <w:bidi w:val="0"/>
                        <w:spacing w:before="0" w:after="0"/>
                        <w:ind w:left="0" w:right="0" w:firstLine="180"/>
                        <w:jc w:val="left"/>
                      </w:pPr>
                      <w:r>
                        <w:rPr>
                          <w:spacing w:val="0"/>
                          <w:w w:val="100"/>
                          <w:position w:val="0"/>
                          <w:shd w:val="clear" w:color="auto" w:fill="auto"/>
                          <w:lang w:val="en-US" w:eastAsia="en-US" w:bidi="en-US"/>
                        </w:rPr>
                        <w:t>Network Map</w:t>
                      </w:r>
                    </w:p>
                    <w:p>
                      <w:pPr>
                        <w:pStyle w:val="Style2"/>
                        <w:keepNext w:val="0"/>
                        <w:keepLines w:val="0"/>
                        <w:widowControl w:val="0"/>
                        <w:numPr>
                          <w:ilvl w:val="0"/>
                          <w:numId w:val="17"/>
                        </w:numPr>
                        <w:shd w:val="clear" w:color="auto" w:fill="auto"/>
                        <w:tabs>
                          <w:tab w:pos="270" w:val="left"/>
                        </w:tabs>
                        <w:bidi w:val="0"/>
                        <w:spacing w:before="0" w:after="0"/>
                        <w:ind w:left="140" w:right="0"/>
                        <w:jc w:val="left"/>
                      </w:pPr>
                      <w:r>
                        <w:rPr>
                          <w:spacing w:val="0"/>
                          <w:w w:val="100"/>
                          <w:position w:val="0"/>
                          <w:shd w:val="clear" w:color="auto" w:fill="auto"/>
                          <w:lang w:val="en-US" w:eastAsia="en-US" w:bidi="en-US"/>
                        </w:rPr>
                        <w:t xml:space="preserve">Status Table </w:t>
                      </w:r>
                      <w:r>
                        <w:rPr>
                          <w:b/>
                          <w:bCs/>
                          <w:color w:val="929292"/>
                          <w:spacing w:val="0"/>
                          <w:w w:val="100"/>
                          <w:position w:val="0"/>
                          <w:shd w:val="clear" w:color="auto" w:fill="auto"/>
                          <w:lang w:val="cs-CZ" w:eastAsia="cs-CZ" w:bidi="cs-CZ"/>
                        </w:rPr>
                        <w:t xml:space="preserve">tí </w:t>
                      </w:r>
                      <w:r>
                        <w:rPr>
                          <w:b/>
                          <w:bCs/>
                          <w:spacing w:val="0"/>
                          <w:w w:val="100"/>
                          <w:position w:val="0"/>
                          <w:shd w:val="clear" w:color="auto" w:fill="auto"/>
                          <w:lang w:val="en-US" w:eastAsia="en-US" w:bidi="en-US"/>
                        </w:rPr>
                        <w:t>CZ</w:t>
                      </w:r>
                    </w:p>
                    <w:p>
                      <w:pPr>
                        <w:pStyle w:val="Style2"/>
                        <w:keepNext w:val="0"/>
                        <w:keepLines w:val="0"/>
                        <w:widowControl w:val="0"/>
                        <w:numPr>
                          <w:ilvl w:val="0"/>
                          <w:numId w:val="17"/>
                        </w:numPr>
                        <w:shd w:val="clear" w:color="auto" w:fill="auto"/>
                        <w:tabs>
                          <w:tab w:pos="376" w:val="left"/>
                        </w:tabs>
                        <w:bidi w:val="0"/>
                        <w:spacing w:before="0" w:after="0"/>
                        <w:ind w:left="0" w:right="0" w:firstLine="280"/>
                        <w:jc w:val="left"/>
                      </w:pPr>
                      <w:r>
                        <w:rPr>
                          <w:spacing w:val="0"/>
                          <w:w w:val="100"/>
                          <w:position w:val="0"/>
                          <w:shd w:val="clear" w:color="auto" w:fill="auto"/>
                          <w:lang w:val="cs-CZ" w:eastAsia="cs-CZ" w:bidi="cs-CZ"/>
                        </w:rPr>
                        <w:t>Třinec</w:t>
                      </w:r>
                    </w:p>
                    <w:p>
                      <w:pPr>
                        <w:pStyle w:val="Style2"/>
                        <w:keepNext w:val="0"/>
                        <w:keepLines w:val="0"/>
                        <w:widowControl w:val="0"/>
                        <w:numPr>
                          <w:ilvl w:val="0"/>
                          <w:numId w:val="19"/>
                        </w:numPr>
                        <w:shd w:val="clear" w:color="auto" w:fill="auto"/>
                        <w:tabs>
                          <w:tab w:pos="496" w:val="left"/>
                        </w:tabs>
                        <w:bidi w:val="0"/>
                        <w:spacing w:before="0" w:after="0"/>
                        <w:ind w:left="0" w:right="0" w:firstLine="400"/>
                        <w:jc w:val="left"/>
                      </w:pPr>
                      <w:r>
                        <w:rPr>
                          <w:spacing w:val="0"/>
                          <w:w w:val="100"/>
                          <w:position w:val="0"/>
                          <w:shd w:val="clear" w:color="auto" w:fill="auto"/>
                          <w:lang w:val="cs-CZ" w:eastAsia="cs-CZ" w:bidi="cs-CZ"/>
                        </w:rPr>
                        <w:t xml:space="preserve">Dostojevského </w:t>
                      </w:r>
                      <w:r>
                        <w:rPr>
                          <w:spacing w:val="0"/>
                          <w:w w:val="100"/>
                          <w:position w:val="0"/>
                          <w:shd w:val="clear" w:color="auto" w:fill="auto"/>
                          <w:lang w:val="en-US" w:eastAsia="en-US" w:bidi="en-US"/>
                        </w:rPr>
                        <w:t>45 {GN61176).</w:t>
                      </w:r>
                    </w:p>
                    <w:p>
                      <w:pPr>
                        <w:pStyle w:val="Style2"/>
                        <w:keepNext w:val="0"/>
                        <w:keepLines w:val="0"/>
                        <w:widowControl w:val="0"/>
                        <w:shd w:val="clear" w:color="auto" w:fill="auto"/>
                        <w:bidi w:val="0"/>
                        <w:spacing w:before="0" w:after="0"/>
                        <w:ind w:left="0" w:right="0" w:firstLine="140"/>
                        <w:jc w:val="left"/>
                      </w:pPr>
                      <w:r>
                        <w:rPr>
                          <w:b/>
                          <w:bCs/>
                          <w:color w:val="929292"/>
                          <w:spacing w:val="0"/>
                          <w:w w:val="100"/>
                          <w:position w:val="0"/>
                          <w:shd w:val="clear" w:color="auto" w:fill="auto"/>
                          <w:lang w:val="cs-CZ" w:eastAsia="cs-CZ" w:bidi="cs-CZ"/>
                        </w:rPr>
                        <w:t xml:space="preserve">tí </w:t>
                      </w:r>
                      <w:r>
                        <w:rPr>
                          <w:b/>
                          <w:bCs/>
                          <w:spacing w:val="0"/>
                          <w:w w:val="100"/>
                          <w:position w:val="0"/>
                          <w:shd w:val="clear" w:color="auto" w:fill="auto"/>
                          <w:lang w:val="en-US" w:eastAsia="en-US" w:bidi="en-US"/>
                        </w:rPr>
                        <w:t>HU</w:t>
                      </w:r>
                    </w:p>
                    <w:p>
                      <w:pPr>
                        <w:pStyle w:val="Style2"/>
                        <w:keepNext w:val="0"/>
                        <w:keepLines w:val="0"/>
                        <w:widowControl w:val="0"/>
                        <w:shd w:val="clear" w:color="auto" w:fill="auto"/>
                        <w:bidi w:val="0"/>
                        <w:spacing w:before="0" w:after="0"/>
                        <w:ind w:left="0" w:right="0" w:firstLine="280"/>
                        <w:jc w:val="left"/>
                      </w:pPr>
                      <w:r>
                        <w:rPr>
                          <w:b/>
                          <w:bCs/>
                          <w:spacing w:val="0"/>
                          <w:w w:val="100"/>
                          <w:position w:val="0"/>
                          <w:shd w:val="clear" w:color="auto" w:fill="auto"/>
                          <w:lang w:val="en-US" w:eastAsia="en-US" w:bidi="en-US"/>
                        </w:rPr>
                        <w:t>L_l Budapest</w:t>
                      </w:r>
                    </w:p>
                    <w:p>
                      <w:pPr>
                        <w:pStyle w:val="Style2"/>
                        <w:keepNext w:val="0"/>
                        <w:keepLines w:val="0"/>
                        <w:widowControl w:val="0"/>
                        <w:shd w:val="clear" w:color="auto" w:fill="auto"/>
                        <w:bidi w:val="0"/>
                        <w:spacing w:before="0" w:after="0"/>
                        <w:ind w:left="0" w:right="0" w:firstLine="280"/>
                        <w:jc w:val="left"/>
                      </w:pPr>
                      <w:r>
                        <w:rPr>
                          <w:spacing w:val="0"/>
                          <w:w w:val="100"/>
                          <w:position w:val="0"/>
                          <w:shd w:val="clear" w:color="auto" w:fill="auto"/>
                          <w:lang w:val="en-US" w:eastAsia="en-US" w:bidi="en-US"/>
                        </w:rPr>
                        <w:t>iJ Debrecen</w:t>
                      </w:r>
                    </w:p>
                    <w:p>
                      <w:pPr>
                        <w:pStyle w:val="Style2"/>
                        <w:keepNext w:val="0"/>
                        <w:keepLines w:val="0"/>
                        <w:widowControl w:val="0"/>
                        <w:shd w:val="clear" w:color="auto" w:fill="auto"/>
                        <w:bidi w:val="0"/>
                        <w:spacing w:before="0" w:after="0" w:line="240" w:lineRule="auto"/>
                        <w:ind w:left="0" w:right="0" w:firstLine="280"/>
                        <w:jc w:val="left"/>
                      </w:pPr>
                      <w:r>
                        <w:rPr>
                          <w:smallCaps/>
                          <w:color w:val="6B6C6F"/>
                          <w:spacing w:val="0"/>
                          <w:w w:val="100"/>
                          <w:position w:val="0"/>
                          <w:sz w:val="12"/>
                          <w:szCs w:val="12"/>
                          <w:shd w:val="clear" w:color="auto" w:fill="auto"/>
                          <w:lang w:val="en-US" w:eastAsia="en-US" w:bidi="en-US"/>
                        </w:rPr>
                        <w:t>Lj</w:t>
                      </w:r>
                      <w:r>
                        <w:rPr>
                          <w:b/>
                          <w:bCs/>
                          <w:color w:val="6B6C6F"/>
                          <w:spacing w:val="0"/>
                          <w:w w:val="100"/>
                          <w:position w:val="0"/>
                          <w:shd w:val="clear" w:color="auto" w:fill="auto"/>
                          <w:lang w:val="en-US" w:eastAsia="en-US" w:bidi="en-US"/>
                        </w:rPr>
                        <w:t xml:space="preserve"> </w:t>
                      </w:r>
                      <w:r>
                        <w:rPr>
                          <w:b/>
                          <w:bCs/>
                          <w:spacing w:val="0"/>
                          <w:w w:val="100"/>
                          <w:position w:val="0"/>
                          <w:shd w:val="clear" w:color="auto" w:fill="auto"/>
                          <w:lang w:val="en-US" w:eastAsia="en-US" w:bidi="en-US"/>
                        </w:rPr>
                        <w:t>Szom bathe ly</w:t>
                      </w:r>
                    </w:p>
                    <w:p>
                      <w:pPr>
                        <w:pStyle w:val="Style2"/>
                        <w:keepNext w:val="0"/>
                        <w:keepLines w:val="0"/>
                        <w:widowControl w:val="0"/>
                        <w:shd w:val="clear" w:color="auto" w:fill="auto"/>
                        <w:bidi w:val="0"/>
                        <w:spacing w:before="0" w:after="0"/>
                        <w:ind w:left="0" w:right="0" w:firstLine="140"/>
                        <w:jc w:val="left"/>
                      </w:pPr>
                      <w:r>
                        <w:rPr>
                          <w:b/>
                          <w:bCs/>
                          <w:color w:val="929292"/>
                          <w:spacing w:val="0"/>
                          <w:w w:val="100"/>
                          <w:position w:val="0"/>
                          <w:shd w:val="clear" w:color="auto" w:fill="auto"/>
                          <w:lang w:val="en-US" w:eastAsia="en-US" w:bidi="en-US"/>
                        </w:rPr>
                        <w:t xml:space="preserve">y </w:t>
                      </w:r>
                      <w:r>
                        <w:rPr>
                          <w:b/>
                          <w:bCs/>
                          <w:spacing w:val="0"/>
                          <w:w w:val="100"/>
                          <w:position w:val="0"/>
                          <w:shd w:val="clear" w:color="auto" w:fill="auto"/>
                          <w:lang w:val="en-US" w:eastAsia="en-US" w:bidi="en-US"/>
                        </w:rPr>
                        <w:t>PL</w:t>
                      </w:r>
                    </w:p>
                    <w:p>
                      <w:pPr>
                        <w:pStyle w:val="Style2"/>
                        <w:keepNext w:val="0"/>
                        <w:keepLines w:val="0"/>
                        <w:widowControl w:val="0"/>
                        <w:shd w:val="clear" w:color="auto" w:fill="auto"/>
                        <w:bidi w:val="0"/>
                        <w:spacing w:before="0" w:after="0"/>
                        <w:ind w:left="0" w:right="0" w:firstLine="280"/>
                        <w:jc w:val="left"/>
                      </w:pPr>
                      <w:r>
                        <w:rPr>
                          <w:b/>
                          <w:bCs/>
                          <w:spacing w:val="0"/>
                          <w:w w:val="100"/>
                          <w:position w:val="0"/>
                          <w:shd w:val="clear" w:color="auto" w:fill="auto"/>
                          <w:lang w:val="en-US" w:eastAsia="en-US" w:bidi="en-US"/>
                        </w:rPr>
                        <w:t>RO</w:t>
                      </w:r>
                    </w:p>
                    <w:p>
                      <w:pPr>
                        <w:pStyle w:val="Style2"/>
                        <w:keepNext w:val="0"/>
                        <w:keepLines w:val="0"/>
                        <w:widowControl w:val="0"/>
                        <w:shd w:val="clear" w:color="auto" w:fill="auto"/>
                        <w:bidi w:val="0"/>
                        <w:spacing w:before="0" w:after="0"/>
                        <w:ind w:left="0" w:right="0" w:firstLine="140"/>
                        <w:jc w:val="left"/>
                      </w:pPr>
                      <w:r>
                        <w:rPr>
                          <w:spacing w:val="0"/>
                          <w:w w:val="100"/>
                          <w:position w:val="0"/>
                          <w:u w:val="single"/>
                          <w:shd w:val="clear" w:color="auto" w:fill="auto"/>
                          <w:lang w:val="cs-CZ" w:eastAsia="cs-CZ" w:bidi="cs-CZ"/>
                        </w:rPr>
                        <w:t>Ěď</w:t>
                      </w:r>
                      <w:r>
                        <w:rPr>
                          <w:spacing w:val="0"/>
                          <w:w w:val="100"/>
                          <w:position w:val="0"/>
                          <w:shd w:val="clear" w:color="auto" w:fill="auto"/>
                          <w:lang w:val="cs-CZ" w:eastAsia="cs-CZ" w:bidi="cs-CZ"/>
                        </w:rPr>
                        <w:t xml:space="preserve"> </w:t>
                      </w:r>
                      <w:r>
                        <w:rPr>
                          <w:b/>
                          <w:bCs/>
                          <w:spacing w:val="0"/>
                          <w:w w:val="100"/>
                          <w:position w:val="0"/>
                          <w:shd w:val="clear" w:color="auto" w:fill="auto"/>
                          <w:lang w:val="cs-CZ" w:eastAsia="cs-CZ" w:bidi="cs-CZ"/>
                        </w:rPr>
                        <w:t>SK</w:t>
                      </w:r>
                    </w:p>
                  </w:txbxContent>
                </v:textbox>
                <w10:wrap anchorx="page"/>
              </v:shape>
            </w:pict>
          </mc:Fallback>
        </mc:AlternateContent>
      </w:r>
      <w:r>
        <w:rPr>
          <w:noProof/>
          <w:lang w:bidi="ar-SA"/>
        </w:rPr>
        <mc:AlternateContent>
          <mc:Choice Requires="wps">
            <w:drawing>
              <wp:anchor distT="933450" distB="159385" distL="12065" distR="0" simplePos="0" relativeHeight="125829391" behindDoc="0" locked="0" layoutInCell="1" allowOverlap="1">
                <wp:simplePos x="0" y="0"/>
                <wp:positionH relativeFrom="page">
                  <wp:posOffset>2503805</wp:posOffset>
                </wp:positionH>
                <wp:positionV relativeFrom="paragraph">
                  <wp:posOffset>933450</wp:posOffset>
                </wp:positionV>
                <wp:extent cx="3020695" cy="1420495"/>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3020695" cy="14204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31"/>
                              <w:gridCol w:w="1853"/>
                              <w:gridCol w:w="802"/>
                              <w:gridCol w:w="1771"/>
                            </w:tblGrid>
                            <w:tr w:rsidR="00215B20">
                              <w:tblPrEx>
                                <w:tblCellMar>
                                  <w:top w:w="0" w:type="dxa"/>
                                  <w:bottom w:w="0" w:type="dxa"/>
                                </w:tblCellMar>
                              </w:tblPrEx>
                              <w:trPr>
                                <w:trHeight w:hRule="exact" w:val="221"/>
                                <w:tblHeader/>
                              </w:trPr>
                              <w:tc>
                                <w:tcPr>
                                  <w:tcW w:w="331" w:type="dxa"/>
                                  <w:tcBorders>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D92026"/>
                                      <w:sz w:val="26"/>
                                      <w:szCs w:val="26"/>
                                    </w:rPr>
                                    <w:t>■</w:t>
                                  </w:r>
                                </w:p>
                              </w:tc>
                              <w:tc>
                                <w:tcPr>
                                  <w:tcW w:w="1853" w:type="dxa"/>
                                  <w:tcBorders>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 xml:space="preserve">PL, Bytom, Chorzowska </w:t>
                                  </w:r>
                                  <w:r>
                                    <w:rPr>
                                      <w:color w:val="000000"/>
                                      <w:sz w:val="8"/>
                                      <w:szCs w:val="8"/>
                                    </w:rPr>
                                    <w:t>33</w:t>
                                  </w:r>
                                </w:p>
                              </w:tc>
                              <w:tc>
                                <w:tcPr>
                                  <w:tcW w:w="802" w:type="dxa"/>
                                  <w:tcBorders>
                                    <w:left w:val="single" w:sz="4" w:space="0" w:color="auto"/>
                                  </w:tcBorders>
                                  <w:shd w:val="clear" w:color="auto" w:fill="FFFFFF"/>
                                  <w:vAlign w:val="center"/>
                                </w:tcPr>
                                <w:p w:rsidR="00215B20" w:rsidRDefault="00FD0AA3">
                                  <w:pPr>
                                    <w:pStyle w:val="Jin0"/>
                                    <w:shd w:val="clear" w:color="auto" w:fill="auto"/>
                                    <w:spacing w:after="0" w:line="240" w:lineRule="auto"/>
                                    <w:rPr>
                                      <w:sz w:val="8"/>
                                      <w:szCs w:val="8"/>
                                    </w:rPr>
                                  </w:pPr>
                                  <w:r>
                                    <w:rPr>
                                      <w:color w:val="000000"/>
                                      <w:sz w:val="8"/>
                                      <w:szCs w:val="8"/>
                                    </w:rPr>
                                    <w:t>523090</w:t>
                                  </w:r>
                                </w:p>
                              </w:tc>
                              <w:tc>
                                <w:tcPr>
                                  <w:tcW w:w="1771" w:type="dxa"/>
                                  <w:tcBorders>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lang w:val="en-US" w:eastAsia="en-US" w:bidi="en-US"/>
                                    </w:rPr>
                                    <w:t xml:space="preserve">GTS </w:t>
                                  </w:r>
                                  <w:r>
                                    <w:rPr>
                                      <w:color w:val="444444"/>
                                      <w:sz w:val="8"/>
                                      <w:szCs w:val="8"/>
                                    </w:rPr>
                                    <w:t xml:space="preserve">Test 523090 GTS </w:t>
                                  </w:r>
                                  <w:r>
                                    <w:rPr>
                                      <w:color w:val="6B6C6F"/>
                                      <w:sz w:val="8"/>
                                      <w:szCs w:val="8"/>
                                    </w:rPr>
                                    <w:t xml:space="preserve">IP </w:t>
                                  </w:r>
                                  <w:r>
                                    <w:rPr>
                                      <w:color w:val="444444"/>
                                      <w:sz w:val="8"/>
                                      <w:szCs w:val="8"/>
                                    </w:rPr>
                                    <w:t>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D92026"/>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PL. Chrzanów, Trzebiňska 73</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8"/>
                                      <w:szCs w:val="8"/>
                                    </w:rPr>
                                  </w:pPr>
                                  <w:r>
                                    <w:rPr>
                                      <w:sz w:val="8"/>
                                      <w:szCs w:val="8"/>
                                    </w:rPr>
                                    <w:t>523092</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6B6C6F"/>
                                      <w:sz w:val="8"/>
                                      <w:szCs w:val="8"/>
                                      <w:lang w:val="en-US" w:eastAsia="en-US" w:bidi="en-US"/>
                                    </w:rPr>
                                    <w:t xml:space="preserve">GTS </w:t>
                                  </w:r>
                                  <w:r>
                                    <w:rPr>
                                      <w:color w:val="6B6C6F"/>
                                      <w:sz w:val="8"/>
                                      <w:szCs w:val="8"/>
                                    </w:rPr>
                                    <w:t xml:space="preserve">Test </w:t>
                                  </w:r>
                                  <w:r>
                                    <w:rPr>
                                      <w:color w:val="444444"/>
                                      <w:sz w:val="8"/>
                                      <w:szCs w:val="8"/>
                                    </w:rPr>
                                    <w:t xml:space="preserve">623092 </w:t>
                                  </w:r>
                                  <w:r>
                                    <w:rPr>
                                      <w:color w:val="6B6C6F"/>
                                      <w:sz w:val="8"/>
                                      <w:szCs w:val="8"/>
                                    </w:rPr>
                                    <w:t xml:space="preserve">GTS IP </w:t>
                                  </w:r>
                                  <w:r>
                                    <w:rPr>
                                      <w:color w:val="444444"/>
                                      <w:sz w:val="8"/>
                                      <w:szCs w:val="8"/>
                                    </w:rPr>
                                    <w:t>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D92026"/>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 xml:space="preserve">CZ. </w:t>
                                  </w:r>
                                  <w:r>
                                    <w:rPr>
                                      <w:color w:val="444444"/>
                                      <w:sz w:val="8"/>
                                      <w:szCs w:val="8"/>
                                    </w:rPr>
                                    <w:t xml:space="preserve">Třinec. Dostojevského </w:t>
                                  </w:r>
                                  <w:r>
                                    <w:rPr>
                                      <w:sz w:val="8"/>
                                      <w:szCs w:val="8"/>
                                    </w:rPr>
                                    <w:t>45</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8"/>
                                      <w:szCs w:val="8"/>
                                    </w:rPr>
                                  </w:pPr>
                                  <w:r>
                                    <w:rPr>
                                      <w:color w:val="444444"/>
                                      <w:sz w:val="8"/>
                                      <w:szCs w:val="8"/>
                                    </w:rPr>
                                    <w:t>GN61176</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lang w:val="en-US" w:eastAsia="en-US" w:bidi="en-US"/>
                                    </w:rPr>
                                    <w:t xml:space="preserve">GTS Test </w:t>
                                  </w:r>
                                  <w:r>
                                    <w:rPr>
                                      <w:color w:val="444444"/>
                                      <w:sz w:val="8"/>
                                      <w:szCs w:val="8"/>
                                    </w:rPr>
                                    <w:t>GN61176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tcPr>
                                <w:p w:rsidR="00215B20" w:rsidRDefault="00215B20">
                                  <w:pPr>
                                    <w:rPr>
                                      <w:sz w:val="10"/>
                                      <w:szCs w:val="10"/>
                                    </w:rPr>
                                  </w:pP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PL. Chojnice. Sukiennikůw 65</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444444"/>
                                      <w:sz w:val="8"/>
                                      <w:szCs w:val="8"/>
                                    </w:rPr>
                                    <w:t>823091</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6B6C6F"/>
                                      <w:sz w:val="8"/>
                                      <w:szCs w:val="8"/>
                                    </w:rPr>
                                    <w:t>GTS Test 623091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000000"/>
                                      <w:sz w:val="8"/>
                                      <w:szCs w:val="8"/>
                                      <w:lang w:val="en-US" w:eastAsia="en-US" w:bidi="en-US"/>
                                    </w:rPr>
                                    <w:t xml:space="preserve">HU. </w:t>
                                  </w:r>
                                  <w:r>
                                    <w:rPr>
                                      <w:color w:val="444444"/>
                                      <w:sz w:val="8"/>
                                      <w:szCs w:val="8"/>
                                    </w:rPr>
                                    <w:t>Szombathety. Hefele Menyhert utca 43.</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GSTGPLM94O1</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GSTGPLM9401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sidRPr="00920265">
                                    <w:rPr>
                                      <w:sz w:val="8"/>
                                      <w:szCs w:val="8"/>
                                      <w:lang w:val="fr-FR" w:eastAsia="en-US" w:bidi="en-US"/>
                                    </w:rPr>
                                    <w:t xml:space="preserve">HU, Budapest, Lechner Odon </w:t>
                                  </w:r>
                                  <w:r>
                                    <w:rPr>
                                      <w:color w:val="444444"/>
                                      <w:sz w:val="8"/>
                                      <w:szCs w:val="8"/>
                                    </w:rPr>
                                    <w:t>Fasor</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GTSGPLM1103</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GTSGPLM1</w:t>
                                  </w:r>
                                  <w:r>
                                    <w:rPr>
                                      <w:color w:val="6B6C6F"/>
                                      <w:sz w:val="8"/>
                                      <w:szCs w:val="8"/>
                                    </w:rPr>
                                    <w:t xml:space="preserve">103 </w:t>
                                  </w:r>
                                  <w:r>
                                    <w:rPr>
                                      <w:color w:val="444444"/>
                                      <w:sz w:val="8"/>
                                      <w:szCs w:val="8"/>
                                    </w:rPr>
                                    <w:t>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lang w:val="en-US" w:eastAsia="en-US" w:bidi="en-US"/>
                                    </w:rPr>
                                    <w:t>HU, Debrecen, Vagohid u. 58</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sz w:val="8"/>
                                      <w:szCs w:val="8"/>
                                    </w:rPr>
                                    <w:t>GTSGPLM5201</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GTSGPLM5201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000000"/>
                                      <w:sz w:val="8"/>
                                      <w:szCs w:val="8"/>
                                      <w:lang w:val="en-US" w:eastAsia="en-US" w:bidi="en-US"/>
                                    </w:rPr>
                                    <w:t xml:space="preserve">RO, </w:t>
                                  </w:r>
                                  <w:r>
                                    <w:rPr>
                                      <w:sz w:val="8"/>
                                      <w:szCs w:val="8"/>
                                      <w:lang w:val="en-US" w:eastAsia="en-US" w:bidi="en-US"/>
                                    </w:rPr>
                                    <w:t xml:space="preserve">Bucuresti, </w:t>
                                  </w:r>
                                  <w:r>
                                    <w:rPr>
                                      <w:color w:val="444444"/>
                                      <w:sz w:val="8"/>
                                      <w:szCs w:val="8"/>
                                      <w:lang w:val="en-US" w:eastAsia="en-US" w:bidi="en-US"/>
                                    </w:rPr>
                                    <w:t xml:space="preserve">St </w:t>
                                  </w:r>
                                  <w:r>
                                    <w:rPr>
                                      <w:color w:val="444444"/>
                                      <w:sz w:val="8"/>
                                      <w:szCs w:val="8"/>
                                    </w:rPr>
                                    <w:t xml:space="preserve">Vidin, </w:t>
                                  </w:r>
                                  <w:r>
                                    <w:rPr>
                                      <w:color w:val="444444"/>
                                      <w:sz w:val="8"/>
                                      <w:szCs w:val="8"/>
                                      <w:lang w:val="en-US" w:eastAsia="en-US" w:bidi="en-US"/>
                                    </w:rPr>
                                    <w:t xml:space="preserve">Nr. </w:t>
                                  </w:r>
                                  <w:r>
                                    <w:rPr>
                                      <w:color w:val="000000"/>
                                      <w:sz w:val="8"/>
                                      <w:szCs w:val="8"/>
                                      <w:lang w:val="en-US" w:eastAsia="en-US" w:bidi="en-US"/>
                                    </w:rPr>
                                    <w:t>54A</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sz w:val="8"/>
                                      <w:szCs w:val="8"/>
                                    </w:rPr>
                                    <w:t>GTSRO-S-135458</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 xml:space="preserve">GTS Test GTSRO-S-135458 GTS </w:t>
                                  </w:r>
                                  <w:r>
                                    <w:rPr>
                                      <w:color w:val="6B6C6F"/>
                                      <w:sz w:val="8"/>
                                      <w:szCs w:val="8"/>
                                    </w:rPr>
                                    <w:t>IP VPN</w:t>
                                  </w:r>
                                </w:p>
                              </w:tc>
                            </w:tr>
                            <w:tr w:rsidR="00215B20">
                              <w:tblPrEx>
                                <w:tblCellMar>
                                  <w:top w:w="0" w:type="dxa"/>
                                  <w:bottom w:w="0" w:type="dxa"/>
                                </w:tblCellMar>
                              </w:tblPrEx>
                              <w:trPr>
                                <w:trHeight w:hRule="exact" w:val="163"/>
                              </w:trPr>
                              <w:tc>
                                <w:tcPr>
                                  <w:tcW w:w="331" w:type="dxa"/>
                                  <w:tcBorders>
                                    <w:top w:val="single" w:sz="4" w:space="0" w:color="auto"/>
                                    <w:left w:val="single" w:sz="4" w:space="0" w:color="auto"/>
                                  </w:tcBorders>
                                  <w:shd w:val="clear" w:color="auto" w:fill="FFFFFF"/>
                                </w:tcPr>
                                <w:p w:rsidR="00215B20" w:rsidRDefault="00215B20">
                                  <w:pPr>
                                    <w:rPr>
                                      <w:sz w:val="10"/>
                                      <w:szCs w:val="10"/>
                                    </w:rPr>
                                  </w:pP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sidRPr="00920265">
                                    <w:rPr>
                                      <w:color w:val="000000"/>
                                      <w:sz w:val="8"/>
                                      <w:szCs w:val="8"/>
                                      <w:lang w:val="fr-FR" w:eastAsia="en-US" w:bidi="en-US"/>
                                    </w:rPr>
                                    <w:t xml:space="preserve">RO, </w:t>
                                  </w:r>
                                  <w:r w:rsidRPr="00920265">
                                    <w:rPr>
                                      <w:sz w:val="8"/>
                                      <w:szCs w:val="8"/>
                                      <w:lang w:val="fr-FR" w:eastAsia="en-US" w:bidi="en-US"/>
                                    </w:rPr>
                                    <w:t xml:space="preserve">Bucuresti, </w:t>
                                  </w:r>
                                  <w:r w:rsidRPr="00920265">
                                    <w:rPr>
                                      <w:color w:val="444444"/>
                                      <w:sz w:val="8"/>
                                      <w:szCs w:val="8"/>
                                      <w:lang w:val="fr-FR" w:eastAsia="en-US" w:bidi="en-US"/>
                                    </w:rPr>
                                    <w:t xml:space="preserve">StTumu </w:t>
                                  </w:r>
                                  <w:r w:rsidRPr="00920265">
                                    <w:rPr>
                                      <w:sz w:val="8"/>
                                      <w:szCs w:val="8"/>
                                      <w:lang w:val="fr-FR" w:eastAsia="en-US" w:bidi="en-US"/>
                                    </w:rPr>
                                    <w:t>Magurele, Nr 501E</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sz w:val="8"/>
                                      <w:szCs w:val="8"/>
                                    </w:rPr>
                                    <w:t>GTSRO-S-135461</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GTS Test GTSRO-S-135461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lang w:val="en-US" w:eastAsia="en-US" w:bidi="en-US"/>
                                    </w:rPr>
                                    <w:t xml:space="preserve">RO, Cluj, St Coastei, </w:t>
                                  </w:r>
                                  <w:r>
                                    <w:rPr>
                                      <w:color w:val="000000"/>
                                      <w:sz w:val="8"/>
                                      <w:szCs w:val="8"/>
                                      <w:lang w:val="en-US" w:eastAsia="en-US" w:bidi="en-US"/>
                                    </w:rPr>
                                    <w:t xml:space="preserve">Nr. </w:t>
                                  </w:r>
                                  <w:r>
                                    <w:rPr>
                                      <w:color w:val="444444"/>
                                      <w:sz w:val="8"/>
                                      <w:szCs w:val="8"/>
                                      <w:lang w:val="en-US" w:eastAsia="en-US" w:bidi="en-US"/>
                                    </w:rPr>
                                    <w:t>94</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GTSRO-S-135470</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Test GTSRO-S-135470 GTS </w:t>
                                  </w:r>
                                  <w:r>
                                    <w:rPr>
                                      <w:color w:val="6B6C6F"/>
                                      <w:sz w:val="8"/>
                                      <w:szCs w:val="8"/>
                                    </w:rPr>
                                    <w:t>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 xml:space="preserve">SK. Nitra, Farská </w:t>
                                  </w:r>
                                  <w:r>
                                    <w:rPr>
                                      <w:sz w:val="8"/>
                                      <w:szCs w:val="8"/>
                                      <w:lang w:val="en-US" w:eastAsia="en-US" w:bidi="en-US"/>
                                    </w:rPr>
                                    <w:t>27</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SL20950SK</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SL20950SK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SK, Nové Zámky, Podzámska 1</w:t>
                                  </w:r>
                                  <w:r>
                                    <w:rPr>
                                      <w:color w:val="000000"/>
                                      <w:sz w:val="8"/>
                                      <w:szCs w:val="8"/>
                                    </w:rPr>
                                    <w:t>04</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000000"/>
                                      <w:sz w:val="8"/>
                                      <w:szCs w:val="8"/>
                                    </w:rPr>
                                    <w:t xml:space="preserve">SL20951 </w:t>
                                  </w:r>
                                  <w:r>
                                    <w:rPr>
                                      <w:color w:val="444444"/>
                                      <w:sz w:val="8"/>
                                      <w:szCs w:val="8"/>
                                    </w:rPr>
                                    <w:t>SK</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 xml:space="preserve">SL20951 </w:t>
                                  </w:r>
                                  <w:r>
                                    <w:rPr>
                                      <w:color w:val="6B6C6F"/>
                                      <w:sz w:val="8"/>
                                      <w:szCs w:val="8"/>
                                    </w:rPr>
                                    <w:t xml:space="preserve">SK </w:t>
                                  </w:r>
                                  <w:r>
                                    <w:rPr>
                                      <w:color w:val="444444"/>
                                      <w:sz w:val="8"/>
                                      <w:szCs w:val="8"/>
                                    </w:rPr>
                                    <w:t xml:space="preserve">GTS </w:t>
                                  </w:r>
                                  <w:r>
                                    <w:rPr>
                                      <w:color w:val="6B6C6F"/>
                                      <w:sz w:val="8"/>
                                      <w:szCs w:val="8"/>
                                    </w:rPr>
                                    <w:t xml:space="preserve">IP </w:t>
                                  </w:r>
                                  <w:r>
                                    <w:rPr>
                                      <w:color w:val="444444"/>
                                      <w:sz w:val="8"/>
                                      <w:szCs w:val="8"/>
                                    </w:rPr>
                                    <w:t>VPN</w:t>
                                  </w:r>
                                </w:p>
                              </w:tc>
                            </w:tr>
                            <w:tr w:rsidR="00215B20">
                              <w:tblPrEx>
                                <w:tblCellMar>
                                  <w:top w:w="0" w:type="dxa"/>
                                  <w:bottom w:w="0" w:type="dxa"/>
                                </w:tblCellMar>
                              </w:tblPrEx>
                              <w:trPr>
                                <w:trHeight w:hRule="exact" w:val="173"/>
                              </w:trPr>
                              <w:tc>
                                <w:tcPr>
                                  <w:tcW w:w="331"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SK, Poprad, Hviezdoslavova 91a</w:t>
                                  </w:r>
                                </w:p>
                              </w:tc>
                              <w:tc>
                                <w:tcPr>
                                  <w:tcW w:w="802"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SL20952SK</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 xml:space="preserve">SL20952SK GTS </w:t>
                                  </w:r>
                                  <w:r>
                                    <w:rPr>
                                      <w:color w:val="6B6C6F"/>
                                      <w:sz w:val="8"/>
                                      <w:szCs w:val="8"/>
                                    </w:rPr>
                                    <w:t xml:space="preserve">IP </w:t>
                                  </w:r>
                                  <w:r>
                                    <w:rPr>
                                      <w:color w:val="444444"/>
                                      <w:sz w:val="8"/>
                                      <w:szCs w:val="8"/>
                                    </w:rPr>
                                    <w:t>VPN</w:t>
                                  </w:r>
                                </w:p>
                              </w:tc>
                            </w:tr>
                          </w:tbl>
                          <w:p w:rsidR="00215B20" w:rsidRDefault="00215B20">
                            <w:pPr>
                              <w:spacing w:line="1" w:lineRule="exact"/>
                            </w:pPr>
                          </w:p>
                        </w:txbxContent>
                      </wps:txbx>
                      <wps:bodyPr lIns="0" tIns="0" rIns="0" bIns="0"/>
                    </wps:wsp>
                  </a:graphicData>
                </a:graphic>
              </wp:anchor>
            </w:drawing>
          </mc:Choice>
          <mc:Fallback>
            <w:pict>
              <v:shape id="Shape 191" o:spid="_x0000_s1034" type="#_x0000_t202" style="position:absolute;margin-left:197.15pt;margin-top:73.5pt;width:237.85pt;height:111.85pt;z-index:125829391;visibility:visible;mso-wrap-style:square;mso-wrap-distance-left:.95pt;mso-wrap-distance-top:73.5pt;mso-wrap-distance-right:0;mso-wrap-distance-bottom:12.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331"/>
                        <w:gridCol w:w="1853"/>
                        <w:gridCol w:w="802"/>
                        <w:gridCol w:w="1771"/>
                      </w:tblGrid>
                      <w:tr w:rsidR="00215B20">
                        <w:tblPrEx>
                          <w:tblCellMar>
                            <w:top w:w="0" w:type="dxa"/>
                            <w:bottom w:w="0" w:type="dxa"/>
                          </w:tblCellMar>
                        </w:tblPrEx>
                        <w:trPr>
                          <w:trHeight w:hRule="exact" w:val="221"/>
                          <w:tblHeader/>
                        </w:trPr>
                        <w:tc>
                          <w:tcPr>
                            <w:tcW w:w="331" w:type="dxa"/>
                            <w:tcBorders>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D92026"/>
                                <w:sz w:val="26"/>
                                <w:szCs w:val="26"/>
                              </w:rPr>
                              <w:t>■</w:t>
                            </w:r>
                          </w:p>
                        </w:tc>
                        <w:tc>
                          <w:tcPr>
                            <w:tcW w:w="1853" w:type="dxa"/>
                            <w:tcBorders>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 xml:space="preserve">PL, Bytom, Chorzowska </w:t>
                            </w:r>
                            <w:r>
                              <w:rPr>
                                <w:color w:val="000000"/>
                                <w:sz w:val="8"/>
                                <w:szCs w:val="8"/>
                              </w:rPr>
                              <w:t>33</w:t>
                            </w:r>
                          </w:p>
                        </w:tc>
                        <w:tc>
                          <w:tcPr>
                            <w:tcW w:w="802" w:type="dxa"/>
                            <w:tcBorders>
                              <w:left w:val="single" w:sz="4" w:space="0" w:color="auto"/>
                            </w:tcBorders>
                            <w:shd w:val="clear" w:color="auto" w:fill="FFFFFF"/>
                            <w:vAlign w:val="center"/>
                          </w:tcPr>
                          <w:p w:rsidR="00215B20" w:rsidRDefault="00FD0AA3">
                            <w:pPr>
                              <w:pStyle w:val="Jin0"/>
                              <w:shd w:val="clear" w:color="auto" w:fill="auto"/>
                              <w:spacing w:after="0" w:line="240" w:lineRule="auto"/>
                              <w:rPr>
                                <w:sz w:val="8"/>
                                <w:szCs w:val="8"/>
                              </w:rPr>
                            </w:pPr>
                            <w:r>
                              <w:rPr>
                                <w:color w:val="000000"/>
                                <w:sz w:val="8"/>
                                <w:szCs w:val="8"/>
                              </w:rPr>
                              <w:t>523090</w:t>
                            </w:r>
                          </w:p>
                        </w:tc>
                        <w:tc>
                          <w:tcPr>
                            <w:tcW w:w="1771" w:type="dxa"/>
                            <w:tcBorders>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lang w:val="en-US" w:eastAsia="en-US" w:bidi="en-US"/>
                              </w:rPr>
                              <w:t xml:space="preserve">GTS </w:t>
                            </w:r>
                            <w:r>
                              <w:rPr>
                                <w:color w:val="444444"/>
                                <w:sz w:val="8"/>
                                <w:szCs w:val="8"/>
                              </w:rPr>
                              <w:t xml:space="preserve">Test 523090 GTS </w:t>
                            </w:r>
                            <w:r>
                              <w:rPr>
                                <w:color w:val="6B6C6F"/>
                                <w:sz w:val="8"/>
                                <w:szCs w:val="8"/>
                              </w:rPr>
                              <w:t xml:space="preserve">IP </w:t>
                            </w:r>
                            <w:r>
                              <w:rPr>
                                <w:color w:val="444444"/>
                                <w:sz w:val="8"/>
                                <w:szCs w:val="8"/>
                              </w:rPr>
                              <w:t>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D92026"/>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PL. Chrzanów, Trzebiňska 73</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8"/>
                                <w:szCs w:val="8"/>
                              </w:rPr>
                            </w:pPr>
                            <w:r>
                              <w:rPr>
                                <w:sz w:val="8"/>
                                <w:szCs w:val="8"/>
                              </w:rPr>
                              <w:t>523092</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6B6C6F"/>
                                <w:sz w:val="8"/>
                                <w:szCs w:val="8"/>
                                <w:lang w:val="en-US" w:eastAsia="en-US" w:bidi="en-US"/>
                              </w:rPr>
                              <w:t xml:space="preserve">GTS </w:t>
                            </w:r>
                            <w:r>
                              <w:rPr>
                                <w:color w:val="6B6C6F"/>
                                <w:sz w:val="8"/>
                                <w:szCs w:val="8"/>
                              </w:rPr>
                              <w:t xml:space="preserve">Test </w:t>
                            </w:r>
                            <w:r>
                              <w:rPr>
                                <w:color w:val="444444"/>
                                <w:sz w:val="8"/>
                                <w:szCs w:val="8"/>
                              </w:rPr>
                              <w:t xml:space="preserve">623092 </w:t>
                            </w:r>
                            <w:r>
                              <w:rPr>
                                <w:color w:val="6B6C6F"/>
                                <w:sz w:val="8"/>
                                <w:szCs w:val="8"/>
                              </w:rPr>
                              <w:t xml:space="preserve">GTS IP </w:t>
                            </w:r>
                            <w:r>
                              <w:rPr>
                                <w:color w:val="444444"/>
                                <w:sz w:val="8"/>
                                <w:szCs w:val="8"/>
                              </w:rPr>
                              <w:t>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D92026"/>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 xml:space="preserve">CZ. </w:t>
                            </w:r>
                            <w:r>
                              <w:rPr>
                                <w:color w:val="444444"/>
                                <w:sz w:val="8"/>
                                <w:szCs w:val="8"/>
                              </w:rPr>
                              <w:t xml:space="preserve">Třinec. Dostojevského </w:t>
                            </w:r>
                            <w:r>
                              <w:rPr>
                                <w:sz w:val="8"/>
                                <w:szCs w:val="8"/>
                              </w:rPr>
                              <w:t>45</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rPr>
                                <w:sz w:val="8"/>
                                <w:szCs w:val="8"/>
                              </w:rPr>
                            </w:pPr>
                            <w:r>
                              <w:rPr>
                                <w:color w:val="444444"/>
                                <w:sz w:val="8"/>
                                <w:szCs w:val="8"/>
                              </w:rPr>
                              <w:t>GN61176</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lang w:val="en-US" w:eastAsia="en-US" w:bidi="en-US"/>
                              </w:rPr>
                              <w:t xml:space="preserve">GTS Test </w:t>
                            </w:r>
                            <w:r>
                              <w:rPr>
                                <w:color w:val="444444"/>
                                <w:sz w:val="8"/>
                                <w:szCs w:val="8"/>
                              </w:rPr>
                              <w:t>GN61176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tcPr>
                          <w:p w:rsidR="00215B20" w:rsidRDefault="00215B20">
                            <w:pPr>
                              <w:rPr>
                                <w:sz w:val="10"/>
                                <w:szCs w:val="10"/>
                              </w:rPr>
                            </w:pP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PL. Chojnice. Sukiennikůw 65</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444444"/>
                                <w:sz w:val="8"/>
                                <w:szCs w:val="8"/>
                              </w:rPr>
                              <w:t>823091</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6B6C6F"/>
                                <w:sz w:val="8"/>
                                <w:szCs w:val="8"/>
                              </w:rPr>
                              <w:t>GTS Test 623091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000000"/>
                                <w:sz w:val="8"/>
                                <w:szCs w:val="8"/>
                                <w:lang w:val="en-US" w:eastAsia="en-US" w:bidi="en-US"/>
                              </w:rPr>
                              <w:t xml:space="preserve">HU. </w:t>
                            </w:r>
                            <w:r>
                              <w:rPr>
                                <w:color w:val="444444"/>
                                <w:sz w:val="8"/>
                                <w:szCs w:val="8"/>
                              </w:rPr>
                              <w:t>Szombathety. Hefele Menyhert utca 43.</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GSTGPLM94O1</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GSTGPLM9401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sidRPr="00920265">
                              <w:rPr>
                                <w:sz w:val="8"/>
                                <w:szCs w:val="8"/>
                                <w:lang w:val="fr-FR" w:eastAsia="en-US" w:bidi="en-US"/>
                              </w:rPr>
                              <w:t xml:space="preserve">HU, Budapest, Lechner Odon </w:t>
                            </w:r>
                            <w:r>
                              <w:rPr>
                                <w:color w:val="444444"/>
                                <w:sz w:val="8"/>
                                <w:szCs w:val="8"/>
                              </w:rPr>
                              <w:t>Fasor</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GTSGPLM1103</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GTSGPLM1</w:t>
                            </w:r>
                            <w:r>
                              <w:rPr>
                                <w:color w:val="6B6C6F"/>
                                <w:sz w:val="8"/>
                                <w:szCs w:val="8"/>
                              </w:rPr>
                              <w:t xml:space="preserve">103 </w:t>
                            </w:r>
                            <w:r>
                              <w:rPr>
                                <w:color w:val="444444"/>
                                <w:sz w:val="8"/>
                                <w:szCs w:val="8"/>
                              </w:rPr>
                              <w:t>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lang w:val="en-US" w:eastAsia="en-US" w:bidi="en-US"/>
                              </w:rPr>
                              <w:t>HU, Debrecen, Vagohid u. 58</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sz w:val="8"/>
                                <w:szCs w:val="8"/>
                              </w:rPr>
                              <w:t>GTSGPLM5201</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GTSGPLM5201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000000"/>
                                <w:sz w:val="8"/>
                                <w:szCs w:val="8"/>
                                <w:lang w:val="en-US" w:eastAsia="en-US" w:bidi="en-US"/>
                              </w:rPr>
                              <w:t xml:space="preserve">RO, </w:t>
                            </w:r>
                            <w:r>
                              <w:rPr>
                                <w:sz w:val="8"/>
                                <w:szCs w:val="8"/>
                                <w:lang w:val="en-US" w:eastAsia="en-US" w:bidi="en-US"/>
                              </w:rPr>
                              <w:t xml:space="preserve">Bucuresti, </w:t>
                            </w:r>
                            <w:r>
                              <w:rPr>
                                <w:color w:val="444444"/>
                                <w:sz w:val="8"/>
                                <w:szCs w:val="8"/>
                                <w:lang w:val="en-US" w:eastAsia="en-US" w:bidi="en-US"/>
                              </w:rPr>
                              <w:t xml:space="preserve">St </w:t>
                            </w:r>
                            <w:r>
                              <w:rPr>
                                <w:color w:val="444444"/>
                                <w:sz w:val="8"/>
                                <w:szCs w:val="8"/>
                              </w:rPr>
                              <w:t xml:space="preserve">Vidin, </w:t>
                            </w:r>
                            <w:r>
                              <w:rPr>
                                <w:color w:val="444444"/>
                                <w:sz w:val="8"/>
                                <w:szCs w:val="8"/>
                                <w:lang w:val="en-US" w:eastAsia="en-US" w:bidi="en-US"/>
                              </w:rPr>
                              <w:t xml:space="preserve">Nr. </w:t>
                            </w:r>
                            <w:r>
                              <w:rPr>
                                <w:color w:val="000000"/>
                                <w:sz w:val="8"/>
                                <w:szCs w:val="8"/>
                                <w:lang w:val="en-US" w:eastAsia="en-US" w:bidi="en-US"/>
                              </w:rPr>
                              <w:t>54A</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sz w:val="8"/>
                                <w:szCs w:val="8"/>
                              </w:rPr>
                              <w:t>GTSRO-S-135458</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 xml:space="preserve">GTS Test GTSRO-S-135458 GTS </w:t>
                            </w:r>
                            <w:r>
                              <w:rPr>
                                <w:color w:val="6B6C6F"/>
                                <w:sz w:val="8"/>
                                <w:szCs w:val="8"/>
                              </w:rPr>
                              <w:t>IP VPN</w:t>
                            </w:r>
                          </w:p>
                        </w:tc>
                      </w:tr>
                      <w:tr w:rsidR="00215B20">
                        <w:tblPrEx>
                          <w:tblCellMar>
                            <w:top w:w="0" w:type="dxa"/>
                            <w:bottom w:w="0" w:type="dxa"/>
                          </w:tblCellMar>
                        </w:tblPrEx>
                        <w:trPr>
                          <w:trHeight w:hRule="exact" w:val="163"/>
                        </w:trPr>
                        <w:tc>
                          <w:tcPr>
                            <w:tcW w:w="331" w:type="dxa"/>
                            <w:tcBorders>
                              <w:top w:val="single" w:sz="4" w:space="0" w:color="auto"/>
                              <w:left w:val="single" w:sz="4" w:space="0" w:color="auto"/>
                            </w:tcBorders>
                            <w:shd w:val="clear" w:color="auto" w:fill="FFFFFF"/>
                          </w:tcPr>
                          <w:p w:rsidR="00215B20" w:rsidRDefault="00215B20">
                            <w:pPr>
                              <w:rPr>
                                <w:sz w:val="10"/>
                                <w:szCs w:val="10"/>
                              </w:rPr>
                            </w:pPr>
                          </w:p>
                        </w:tc>
                        <w:tc>
                          <w:tcPr>
                            <w:tcW w:w="185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sidRPr="00920265">
                              <w:rPr>
                                <w:color w:val="000000"/>
                                <w:sz w:val="8"/>
                                <w:szCs w:val="8"/>
                                <w:lang w:val="fr-FR" w:eastAsia="en-US" w:bidi="en-US"/>
                              </w:rPr>
                              <w:t xml:space="preserve">RO, </w:t>
                            </w:r>
                            <w:r w:rsidRPr="00920265">
                              <w:rPr>
                                <w:sz w:val="8"/>
                                <w:szCs w:val="8"/>
                                <w:lang w:val="fr-FR" w:eastAsia="en-US" w:bidi="en-US"/>
                              </w:rPr>
                              <w:t xml:space="preserve">Bucuresti, </w:t>
                            </w:r>
                            <w:r w:rsidRPr="00920265">
                              <w:rPr>
                                <w:color w:val="444444"/>
                                <w:sz w:val="8"/>
                                <w:szCs w:val="8"/>
                                <w:lang w:val="fr-FR" w:eastAsia="en-US" w:bidi="en-US"/>
                              </w:rPr>
                              <w:t xml:space="preserve">StTumu </w:t>
                            </w:r>
                            <w:r w:rsidRPr="00920265">
                              <w:rPr>
                                <w:sz w:val="8"/>
                                <w:szCs w:val="8"/>
                                <w:lang w:val="fr-FR" w:eastAsia="en-US" w:bidi="en-US"/>
                              </w:rPr>
                              <w:t>Magurele, Nr 501E</w:t>
                            </w:r>
                          </w:p>
                        </w:tc>
                        <w:tc>
                          <w:tcPr>
                            <w:tcW w:w="802"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sz w:val="8"/>
                                <w:szCs w:val="8"/>
                              </w:rPr>
                              <w:t>GTSRO-S-135461</w:t>
                            </w:r>
                          </w:p>
                        </w:tc>
                        <w:tc>
                          <w:tcPr>
                            <w:tcW w:w="1771" w:type="dxa"/>
                            <w:tcBorders>
                              <w:top w:val="single" w:sz="4" w:space="0" w:color="auto"/>
                              <w:left w:val="single" w:sz="4" w:space="0" w:color="auto"/>
                              <w:right w:val="single" w:sz="4" w:space="0" w:color="auto"/>
                            </w:tcBorders>
                            <w:shd w:val="clear" w:color="auto" w:fill="FFFFFF"/>
                          </w:tcPr>
                          <w:p w:rsidR="00215B20" w:rsidRDefault="00FD0AA3">
                            <w:pPr>
                              <w:pStyle w:val="Jin0"/>
                              <w:shd w:val="clear" w:color="auto" w:fill="auto"/>
                              <w:spacing w:after="0" w:line="240" w:lineRule="auto"/>
                              <w:jc w:val="both"/>
                              <w:rPr>
                                <w:sz w:val="8"/>
                                <w:szCs w:val="8"/>
                              </w:rPr>
                            </w:pPr>
                            <w:r>
                              <w:rPr>
                                <w:color w:val="444444"/>
                                <w:sz w:val="8"/>
                                <w:szCs w:val="8"/>
                              </w:rPr>
                              <w:t>GTS Test GTSRO-S-135461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lang w:val="en-US" w:eastAsia="en-US" w:bidi="en-US"/>
                              </w:rPr>
                              <w:t xml:space="preserve">RO, Cluj, St Coastei, </w:t>
                            </w:r>
                            <w:r>
                              <w:rPr>
                                <w:color w:val="000000"/>
                                <w:sz w:val="8"/>
                                <w:szCs w:val="8"/>
                                <w:lang w:val="en-US" w:eastAsia="en-US" w:bidi="en-US"/>
                              </w:rPr>
                              <w:t xml:space="preserve">Nr. </w:t>
                            </w:r>
                            <w:r>
                              <w:rPr>
                                <w:color w:val="444444"/>
                                <w:sz w:val="8"/>
                                <w:szCs w:val="8"/>
                                <w:lang w:val="en-US" w:eastAsia="en-US" w:bidi="en-US"/>
                              </w:rPr>
                              <w:t>94</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GTSRO-S-135470</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Test GTSRO-S-135470 GTS </w:t>
                            </w:r>
                            <w:r>
                              <w:rPr>
                                <w:color w:val="6B6C6F"/>
                                <w:sz w:val="8"/>
                                <w:szCs w:val="8"/>
                              </w:rPr>
                              <w:t>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 xml:space="preserve">SK. Nitra, Farská </w:t>
                            </w:r>
                            <w:r>
                              <w:rPr>
                                <w:sz w:val="8"/>
                                <w:szCs w:val="8"/>
                                <w:lang w:val="en-US" w:eastAsia="en-US" w:bidi="en-US"/>
                              </w:rPr>
                              <w:t>27</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SL20950SK</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SL20950SK GTS IP VPN</w:t>
                            </w:r>
                          </w:p>
                        </w:tc>
                      </w:tr>
                      <w:tr w:rsidR="00215B20">
                        <w:tblPrEx>
                          <w:tblCellMar>
                            <w:top w:w="0" w:type="dxa"/>
                            <w:bottom w:w="0" w:type="dxa"/>
                          </w:tblCellMar>
                        </w:tblPrEx>
                        <w:trPr>
                          <w:trHeight w:hRule="exact" w:val="168"/>
                        </w:trPr>
                        <w:tc>
                          <w:tcPr>
                            <w:tcW w:w="331"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SK, Nové Zámky, Podzámska 1</w:t>
                            </w:r>
                            <w:r>
                              <w:rPr>
                                <w:color w:val="000000"/>
                                <w:sz w:val="8"/>
                                <w:szCs w:val="8"/>
                              </w:rPr>
                              <w:t>04</w:t>
                            </w:r>
                          </w:p>
                        </w:tc>
                        <w:tc>
                          <w:tcPr>
                            <w:tcW w:w="802" w:type="dxa"/>
                            <w:tcBorders>
                              <w:top w:val="single" w:sz="4" w:space="0" w:color="auto"/>
                              <w:lef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000000"/>
                                <w:sz w:val="8"/>
                                <w:szCs w:val="8"/>
                              </w:rPr>
                              <w:t xml:space="preserve">SL20951 </w:t>
                            </w:r>
                            <w:r>
                              <w:rPr>
                                <w:color w:val="444444"/>
                                <w:sz w:val="8"/>
                                <w:szCs w:val="8"/>
                              </w:rPr>
                              <w:t>SK</w:t>
                            </w:r>
                          </w:p>
                        </w:tc>
                        <w:tc>
                          <w:tcPr>
                            <w:tcW w:w="1771" w:type="dxa"/>
                            <w:tcBorders>
                              <w:top w:val="single" w:sz="4" w:space="0" w:color="auto"/>
                              <w:left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 xml:space="preserve">SL20951 </w:t>
                            </w:r>
                            <w:r>
                              <w:rPr>
                                <w:color w:val="6B6C6F"/>
                                <w:sz w:val="8"/>
                                <w:szCs w:val="8"/>
                              </w:rPr>
                              <w:t xml:space="preserve">SK </w:t>
                            </w:r>
                            <w:r>
                              <w:rPr>
                                <w:color w:val="444444"/>
                                <w:sz w:val="8"/>
                                <w:szCs w:val="8"/>
                              </w:rPr>
                              <w:t xml:space="preserve">GTS </w:t>
                            </w:r>
                            <w:r>
                              <w:rPr>
                                <w:color w:val="6B6C6F"/>
                                <w:sz w:val="8"/>
                                <w:szCs w:val="8"/>
                              </w:rPr>
                              <w:t xml:space="preserve">IP </w:t>
                            </w:r>
                            <w:r>
                              <w:rPr>
                                <w:color w:val="444444"/>
                                <w:sz w:val="8"/>
                                <w:szCs w:val="8"/>
                              </w:rPr>
                              <w:t>VPN</w:t>
                            </w:r>
                          </w:p>
                        </w:tc>
                      </w:tr>
                      <w:tr w:rsidR="00215B20">
                        <w:tblPrEx>
                          <w:tblCellMar>
                            <w:top w:w="0" w:type="dxa"/>
                            <w:bottom w:w="0" w:type="dxa"/>
                          </w:tblCellMar>
                        </w:tblPrEx>
                        <w:trPr>
                          <w:trHeight w:hRule="exact" w:val="173"/>
                        </w:trPr>
                        <w:tc>
                          <w:tcPr>
                            <w:tcW w:w="331"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ind w:firstLine="160"/>
                              <w:rPr>
                                <w:sz w:val="26"/>
                                <w:szCs w:val="26"/>
                              </w:rPr>
                            </w:pPr>
                            <w:r>
                              <w:rPr>
                                <w:color w:val="87C341"/>
                                <w:sz w:val="26"/>
                                <w:szCs w:val="26"/>
                              </w:rPr>
                              <w:t>■</w:t>
                            </w:r>
                          </w:p>
                        </w:tc>
                        <w:tc>
                          <w:tcPr>
                            <w:tcW w:w="1853"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SK, Poprad, Hviezdoslavova 91a</w:t>
                            </w:r>
                          </w:p>
                        </w:tc>
                        <w:tc>
                          <w:tcPr>
                            <w:tcW w:w="802" w:type="dxa"/>
                            <w:tcBorders>
                              <w:top w:val="single" w:sz="4" w:space="0" w:color="auto"/>
                              <w:left w:val="single" w:sz="4" w:space="0" w:color="auto"/>
                              <w:bottom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sz w:val="8"/>
                                <w:szCs w:val="8"/>
                              </w:rPr>
                              <w:t>SL20952SK</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215B20" w:rsidRDefault="00FD0AA3">
                            <w:pPr>
                              <w:pStyle w:val="Jin0"/>
                              <w:shd w:val="clear" w:color="auto" w:fill="auto"/>
                              <w:spacing w:after="0" w:line="240" w:lineRule="auto"/>
                              <w:jc w:val="both"/>
                              <w:rPr>
                                <w:sz w:val="8"/>
                                <w:szCs w:val="8"/>
                              </w:rPr>
                            </w:pPr>
                            <w:r>
                              <w:rPr>
                                <w:color w:val="444444"/>
                                <w:sz w:val="8"/>
                                <w:szCs w:val="8"/>
                              </w:rPr>
                              <w:t xml:space="preserve">GTS </w:t>
                            </w:r>
                            <w:r>
                              <w:rPr>
                                <w:color w:val="444444"/>
                                <w:sz w:val="8"/>
                                <w:szCs w:val="8"/>
                                <w:lang w:val="en-US" w:eastAsia="en-US" w:bidi="en-US"/>
                              </w:rPr>
                              <w:t xml:space="preserve">Test </w:t>
                            </w:r>
                            <w:r>
                              <w:rPr>
                                <w:color w:val="444444"/>
                                <w:sz w:val="8"/>
                                <w:szCs w:val="8"/>
                              </w:rPr>
                              <w:t xml:space="preserve">SL20952SK GTS </w:t>
                            </w:r>
                            <w:r>
                              <w:rPr>
                                <w:color w:val="6B6C6F"/>
                                <w:sz w:val="8"/>
                                <w:szCs w:val="8"/>
                              </w:rPr>
                              <w:t xml:space="preserve">IP </w:t>
                            </w:r>
                            <w:r>
                              <w:rPr>
                                <w:color w:val="444444"/>
                                <w:sz w:val="8"/>
                                <w:szCs w:val="8"/>
                              </w:rPr>
                              <w:t>VPN</w:t>
                            </w:r>
                          </w:p>
                        </w:tc>
                      </w:tr>
                    </w:tbl>
                    <w:p w:rsidR="00215B20" w:rsidRDefault="00215B20">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662336" behindDoc="0" locked="0" layoutInCell="1" allowOverlap="1">
                <wp:simplePos x="0" y="0"/>
                <wp:positionH relativeFrom="page">
                  <wp:posOffset>2491740</wp:posOffset>
                </wp:positionH>
                <wp:positionV relativeFrom="paragraph">
                  <wp:posOffset>2414905</wp:posOffset>
                </wp:positionV>
                <wp:extent cx="521335" cy="97790"/>
                <wp:effectExtent l="0" t="0" r="0" b="0"/>
                <wp:wrapNone/>
                <wp:docPr id="193" name="Shape 193"/>
                <wp:cNvGraphicFramePr/>
                <a:graphic xmlns:a="http://schemas.openxmlformats.org/drawingml/2006/main">
                  <a:graphicData uri="http://schemas.microsoft.com/office/word/2010/wordprocessingShape">
                    <wps:wsp>
                      <wps:cNvSpPr txBox="1"/>
                      <wps:spPr>
                        <a:xfrm>
                          <a:off x="0" y="0"/>
                          <a:ext cx="521335" cy="97790"/>
                        </a:xfrm>
                        <a:prstGeom prst="rect">
                          <a:avLst/>
                        </a:prstGeom>
                        <a:noFill/>
                      </wps:spPr>
                      <wps:txbx>
                        <w:txbxContent>
                          <w:p w:rsidR="00215B20" w:rsidRDefault="00FD0AA3">
                            <w:pPr>
                              <w:pStyle w:val="Titulektabulky0"/>
                              <w:shd w:val="clear" w:color="auto" w:fill="auto"/>
                              <w:rPr>
                                <w:sz w:val="10"/>
                                <w:szCs w:val="10"/>
                              </w:rPr>
                            </w:pPr>
                            <w:r>
                              <w:rPr>
                                <w:color w:val="444444"/>
                                <w:sz w:val="10"/>
                                <w:szCs w:val="10"/>
                              </w:rPr>
                              <w:t xml:space="preserve">13 </w:t>
                            </w:r>
                            <w:r>
                              <w:rPr>
                                <w:sz w:val="10"/>
                                <w:szCs w:val="10"/>
                                <w:lang w:val="en-US" w:eastAsia="en-US" w:bidi="en-US"/>
                              </w:rPr>
                              <w:t>Items shown.</w:t>
                            </w:r>
                          </w:p>
                        </w:txbxContent>
                      </wps:txbx>
                      <wps:bodyPr lIns="0" tIns="0" rIns="0" bIns="0"/>
                    </wps:wsp>
                  </a:graphicData>
                </a:graphic>
              </wp:anchor>
            </w:drawing>
          </mc:Choice>
          <mc:Fallback>
            <w:pict>
              <v:shape id="_x0000_s1219" type="#_x0000_t202" style="position:absolute;margin-left:196.19999999999999pt;margin-top:190.15000000000001pt;width:41.049999999999997pt;height:7.7000000000000002pt;z-index:251657737;mso-wrap-distance-left:0;mso-wrap-distance-right:0;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rPr>
                          <w:sz w:val="10"/>
                          <w:szCs w:val="10"/>
                        </w:rPr>
                      </w:pPr>
                      <w:r>
                        <w:rPr>
                          <w:color w:val="444444"/>
                          <w:spacing w:val="0"/>
                          <w:w w:val="100"/>
                          <w:position w:val="0"/>
                          <w:sz w:val="10"/>
                          <w:szCs w:val="10"/>
                          <w:shd w:val="clear" w:color="auto" w:fill="auto"/>
                          <w:lang w:val="cs-CZ" w:eastAsia="cs-CZ" w:bidi="cs-CZ"/>
                        </w:rPr>
                        <w:t xml:space="preserve">13 </w:t>
                      </w:r>
                      <w:r>
                        <w:rPr>
                          <w:spacing w:val="0"/>
                          <w:w w:val="100"/>
                          <w:position w:val="0"/>
                          <w:sz w:val="10"/>
                          <w:szCs w:val="10"/>
                          <w:shd w:val="clear" w:color="auto" w:fill="auto"/>
                          <w:lang w:val="en-US" w:eastAsia="en-US" w:bidi="en-US"/>
                        </w:rPr>
                        <w:t>Items shown.</w:t>
                      </w:r>
                    </w:p>
                  </w:txbxContent>
                </v:textbox>
                <w10:wrap anchorx="page"/>
              </v:shape>
            </w:pict>
          </mc:Fallback>
        </mc:AlternateContent>
      </w:r>
    </w:p>
    <w:p w:rsidR="00215B20" w:rsidRDefault="00215B20">
      <w:pPr>
        <w:spacing w:line="123" w:lineRule="exact"/>
        <w:rPr>
          <w:sz w:val="10"/>
          <w:szCs w:val="10"/>
        </w:rPr>
      </w:pPr>
    </w:p>
    <w:p w:rsidR="00215B20" w:rsidRDefault="00215B20">
      <w:pPr>
        <w:spacing w:line="1" w:lineRule="exact"/>
        <w:sectPr w:rsidR="00215B20">
          <w:type w:val="continuous"/>
          <w:pgSz w:w="11900" w:h="16840"/>
          <w:pgMar w:top="1740" w:right="0" w:bottom="5298" w:left="0" w:header="0" w:footer="3" w:gutter="0"/>
          <w:cols w:space="720"/>
          <w:noEndnote/>
          <w:docGrid w:linePitch="360"/>
        </w:sectPr>
      </w:pPr>
    </w:p>
    <w:p w:rsidR="00215B20" w:rsidRDefault="00FD0AA3">
      <w:pPr>
        <w:pStyle w:val="Zkladntext40"/>
        <w:shd w:val="clear" w:color="auto" w:fill="auto"/>
        <w:spacing w:after="0"/>
      </w:pPr>
      <w:r>
        <w:lastRenderedPageBreak/>
        <w:t>I - Managed service, CPE is available.</w:t>
      </w:r>
    </w:p>
    <w:p w:rsidR="00215B20" w:rsidRDefault="00FD0AA3">
      <w:pPr>
        <w:pStyle w:val="Zkladntext40"/>
        <w:shd w:val="clear" w:color="auto" w:fill="auto"/>
        <w:spacing w:after="0"/>
      </w:pPr>
      <w:r>
        <w:rPr>
          <w:color w:val="AA2A26"/>
        </w:rPr>
        <w:t xml:space="preserve">□ - </w:t>
      </w:r>
      <w:r>
        <w:t xml:space="preserve">Managed service, CPE is </w:t>
      </w:r>
      <w:r>
        <w:rPr>
          <w:color w:val="444444"/>
        </w:rPr>
        <w:t>unavailable.</w:t>
      </w:r>
    </w:p>
    <w:p w:rsidR="00215B20" w:rsidRDefault="00FD0AA3">
      <w:pPr>
        <w:pStyle w:val="Zkladntext40"/>
        <w:shd w:val="clear" w:color="auto" w:fill="auto"/>
        <w:spacing w:after="100"/>
        <w:ind w:left="2980"/>
      </w:pPr>
      <w:r>
        <w:t>- Unmanaged service.</w:t>
      </w:r>
    </w:p>
    <w:p w:rsidR="00215B20" w:rsidRDefault="00FD0AA3">
      <w:pPr>
        <w:pStyle w:val="Zkladntext40"/>
        <w:shd w:val="clear" w:color="auto" w:fill="auto"/>
        <w:spacing w:after="0"/>
      </w:pPr>
      <w:r>
        <w:rPr>
          <w:color w:val="000000"/>
        </w:rPr>
        <w:t xml:space="preserve">The status </w:t>
      </w:r>
      <w:r>
        <w:t xml:space="preserve">view </w:t>
      </w:r>
      <w:r>
        <w:rPr>
          <w:color w:val="444444"/>
        </w:rPr>
        <w:t xml:space="preserve">is </w:t>
      </w:r>
      <w:r>
        <w:t xml:space="preserve">split into 5 one </w:t>
      </w:r>
      <w:r>
        <w:rPr>
          <w:color w:val="444444"/>
        </w:rPr>
        <w:t xml:space="preserve">minute areas. The last </w:t>
      </w:r>
      <w:r>
        <w:t xml:space="preserve">minute </w:t>
      </w:r>
      <w:r>
        <w:rPr>
          <w:color w:val="000000"/>
        </w:rPr>
        <w:t xml:space="preserve">is </w:t>
      </w:r>
      <w:r>
        <w:rPr>
          <w:color w:val="444444"/>
        </w:rPr>
        <w:t xml:space="preserve">on the rightmost </w:t>
      </w:r>
      <w:r>
        <w:t xml:space="preserve">side </w:t>
      </w:r>
      <w:r>
        <w:rPr>
          <w:color w:val="6B6C6F"/>
        </w:rPr>
        <w:t xml:space="preserve">of </w:t>
      </w:r>
      <w:r>
        <w:t>the area.</w:t>
      </w:r>
    </w:p>
    <w:p w:rsidR="00215B20" w:rsidRDefault="00FD0AA3">
      <w:pPr>
        <w:pStyle w:val="Zkladntext40"/>
        <w:shd w:val="clear" w:color="auto" w:fill="auto"/>
        <w:spacing w:after="100"/>
      </w:pPr>
      <w:r>
        <w:rPr>
          <w:color w:val="000000"/>
        </w:rPr>
        <w:t xml:space="preserve">The </w:t>
      </w:r>
      <w:r>
        <w:t xml:space="preserve">status of 2-3 </w:t>
      </w:r>
      <w:r>
        <w:rPr>
          <w:color w:val="444444"/>
        </w:rPr>
        <w:t xml:space="preserve">minutes </w:t>
      </w:r>
      <w:r>
        <w:t xml:space="preserve">ago </w:t>
      </w:r>
      <w:r>
        <w:rPr>
          <w:color w:val="444444"/>
        </w:rPr>
        <w:t xml:space="preserve">is </w:t>
      </w:r>
      <w:r>
        <w:rPr>
          <w:color w:val="6B6C6F"/>
        </w:rPr>
        <w:t xml:space="preserve">in </w:t>
      </w:r>
      <w:r>
        <w:rPr>
          <w:color w:val="444444"/>
        </w:rPr>
        <w:t xml:space="preserve">the middle and </w:t>
      </w:r>
      <w:r>
        <w:t xml:space="preserve">the </w:t>
      </w:r>
      <w:r>
        <w:rPr>
          <w:color w:val="444444"/>
        </w:rPr>
        <w:t xml:space="preserve">oldest </w:t>
      </w:r>
      <w:r>
        <w:t xml:space="preserve">measurement </w:t>
      </w:r>
      <w:r>
        <w:rPr>
          <w:color w:val="444444"/>
        </w:rPr>
        <w:t>is in the leftmost</w:t>
      </w:r>
    </w:p>
    <w:p w:rsidR="00215B20" w:rsidRDefault="00FD0AA3">
      <w:pPr>
        <w:pStyle w:val="Zkladntext40"/>
        <w:shd w:val="clear" w:color="auto" w:fill="auto"/>
        <w:spacing w:after="840"/>
      </w:pPr>
      <w:r>
        <w:t>This page refreshes itself once a minute.</w:t>
      </w:r>
    </w:p>
    <w:p w:rsidR="00215B20" w:rsidRDefault="00FD0AA3">
      <w:pPr>
        <w:pStyle w:val="Zkladntext20"/>
        <w:shd w:val="clear" w:color="auto" w:fill="auto"/>
        <w:spacing w:after="140" w:line="240" w:lineRule="auto"/>
      </w:pPr>
      <w:r>
        <w:t>Na výše uvedeném obrázku je zobrazeno zákaznické rozhraní.</w:t>
      </w:r>
    </w:p>
    <w:p w:rsidR="00215B20" w:rsidRDefault="00FD0AA3">
      <w:pPr>
        <w:pStyle w:val="Zkladntext20"/>
        <w:numPr>
          <w:ilvl w:val="0"/>
          <w:numId w:val="11"/>
        </w:numPr>
        <w:shd w:val="clear" w:color="auto" w:fill="auto"/>
        <w:tabs>
          <w:tab w:val="left" w:pos="1412"/>
        </w:tabs>
        <w:spacing w:after="140" w:line="240" w:lineRule="auto"/>
        <w:ind w:left="1020"/>
      </w:pPr>
      <w:r>
        <w:t>Přehled všech služeb zařazených do Služby Provozní statistiky</w:t>
      </w:r>
    </w:p>
    <w:p w:rsidR="00215B20" w:rsidRDefault="00FD0AA3">
      <w:pPr>
        <w:pStyle w:val="Zkladntext20"/>
        <w:numPr>
          <w:ilvl w:val="0"/>
          <w:numId w:val="11"/>
        </w:numPr>
        <w:shd w:val="clear" w:color="auto" w:fill="auto"/>
        <w:tabs>
          <w:tab w:val="left" w:pos="1412"/>
        </w:tabs>
        <w:spacing w:after="140" w:line="240" w:lineRule="auto"/>
        <w:ind w:left="1020"/>
      </w:pPr>
      <w:r>
        <w:t>Konkrétní produkt zařazený do Služby</w:t>
      </w:r>
      <w:r>
        <w:t xml:space="preserve"> Provozní statistiky</w:t>
      </w:r>
    </w:p>
    <w:p w:rsidR="00215B20" w:rsidRDefault="00FD0AA3">
      <w:pPr>
        <w:pStyle w:val="Zkladntext20"/>
        <w:numPr>
          <w:ilvl w:val="0"/>
          <w:numId w:val="11"/>
        </w:numPr>
        <w:shd w:val="clear" w:color="auto" w:fill="auto"/>
        <w:tabs>
          <w:tab w:val="left" w:pos="1412"/>
        </w:tabs>
        <w:spacing w:after="140" w:line="240" w:lineRule="auto"/>
        <w:ind w:left="1020"/>
      </w:pPr>
      <w:r>
        <w:t>Zobrazení přehledu všech přípojek konkrétního produktu geograficky v mapě</w:t>
      </w:r>
    </w:p>
    <w:p w:rsidR="00215B20" w:rsidRDefault="00FD0AA3">
      <w:pPr>
        <w:pStyle w:val="Zkladntext20"/>
        <w:numPr>
          <w:ilvl w:val="0"/>
          <w:numId w:val="11"/>
        </w:numPr>
        <w:shd w:val="clear" w:color="auto" w:fill="auto"/>
        <w:tabs>
          <w:tab w:val="left" w:pos="1412"/>
        </w:tabs>
        <w:spacing w:after="140" w:line="240" w:lineRule="auto"/>
        <w:ind w:left="1020"/>
      </w:pPr>
      <w:r>
        <w:t>Zobrazení přehledu všech přípojek konkrétního produktu v tabulce</w:t>
      </w:r>
    </w:p>
    <w:p w:rsidR="00215B20" w:rsidRDefault="00FD0AA3">
      <w:pPr>
        <w:pStyle w:val="Zkladntext20"/>
        <w:numPr>
          <w:ilvl w:val="0"/>
          <w:numId w:val="11"/>
        </w:numPr>
        <w:shd w:val="clear" w:color="auto" w:fill="auto"/>
        <w:tabs>
          <w:tab w:val="left" w:pos="1412"/>
        </w:tabs>
        <w:spacing w:after="140" w:line="240" w:lineRule="auto"/>
        <w:ind w:left="1020"/>
      </w:pPr>
      <w:r>
        <w:t>Výběr jednotlivých služeb ve vybrané lokalitě (regionu)</w:t>
      </w:r>
    </w:p>
    <w:p w:rsidR="00215B20" w:rsidRDefault="00FD0AA3">
      <w:pPr>
        <w:pStyle w:val="Zkladntext20"/>
        <w:numPr>
          <w:ilvl w:val="0"/>
          <w:numId w:val="11"/>
        </w:numPr>
        <w:shd w:val="clear" w:color="auto" w:fill="auto"/>
        <w:tabs>
          <w:tab w:val="left" w:pos="1412"/>
        </w:tabs>
        <w:spacing w:after="140" w:line="240" w:lineRule="auto"/>
        <w:ind w:left="1020"/>
      </w:pPr>
      <w:r>
        <w:t>Odhlášení</w:t>
      </w:r>
    </w:p>
    <w:p w:rsidR="00215B20" w:rsidRDefault="00FD0AA3">
      <w:pPr>
        <w:pStyle w:val="Zkladntext20"/>
        <w:shd w:val="clear" w:color="auto" w:fill="auto"/>
        <w:spacing w:after="140"/>
      </w:pPr>
      <w:r>
        <w:t xml:space="preserve">Po rozkliknutí konkrétní </w:t>
      </w:r>
      <w:r>
        <w:t>služby v dané lokalitě (viz bod 5 na obrázku výše) je další volba reportu formou záložek. Zde lze vybrat náhled na konkrétní měření (viz bod 7 na obrázku níže).</w:t>
      </w:r>
    </w:p>
    <w:p w:rsidR="00215B20" w:rsidRDefault="00FD0AA3">
      <w:pPr>
        <w:spacing w:after="3610" w:line="1" w:lineRule="exact"/>
      </w:pPr>
      <w:r>
        <w:rPr>
          <w:noProof/>
          <w:lang w:bidi="ar-SA"/>
        </w:rPr>
        <w:drawing>
          <wp:anchor distT="0" distB="0" distL="0" distR="0" simplePos="0" relativeHeight="62914814" behindDoc="1" locked="0" layoutInCell="1" allowOverlap="1">
            <wp:simplePos x="0" y="0"/>
            <wp:positionH relativeFrom="page">
              <wp:posOffset>943610</wp:posOffset>
            </wp:positionH>
            <wp:positionV relativeFrom="paragraph">
              <wp:posOffset>0</wp:posOffset>
            </wp:positionV>
            <wp:extent cx="5669280" cy="2292350"/>
            <wp:effectExtent l="0" t="0" r="0" b="0"/>
            <wp:wrapNone/>
            <wp:docPr id="195" name="Shape 195"/>
            <wp:cNvGraphicFramePr/>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86"/>
                    <a:stretch/>
                  </pic:blipFill>
                  <pic:spPr>
                    <a:xfrm>
                      <a:off x="0" y="0"/>
                      <a:ext cx="5669280" cy="2292350"/>
                    </a:xfrm>
                    <a:prstGeom prst="rect">
                      <a:avLst/>
                    </a:prstGeom>
                  </pic:spPr>
                </pic:pic>
              </a:graphicData>
            </a:graphic>
          </wp:anchor>
        </w:drawing>
      </w:r>
      <w:r>
        <w:rPr>
          <w:noProof/>
          <w:lang w:bidi="ar-SA"/>
        </w:rPr>
        <mc:AlternateContent>
          <mc:Choice Requires="wps">
            <w:drawing>
              <wp:anchor distT="0" distB="0" distL="0" distR="0" simplePos="0" relativeHeight="251663360" behindDoc="0" locked="0" layoutInCell="1" allowOverlap="1">
                <wp:simplePos x="0" y="0"/>
                <wp:positionH relativeFrom="page">
                  <wp:posOffset>989330</wp:posOffset>
                </wp:positionH>
                <wp:positionV relativeFrom="paragraph">
                  <wp:posOffset>82550</wp:posOffset>
                </wp:positionV>
                <wp:extent cx="1563370" cy="125095"/>
                <wp:effectExtent l="0" t="0" r="0" b="0"/>
                <wp:wrapNone/>
                <wp:docPr id="197" name="Shape 197"/>
                <wp:cNvGraphicFramePr/>
                <a:graphic xmlns:a="http://schemas.openxmlformats.org/drawingml/2006/main">
                  <a:graphicData uri="http://schemas.microsoft.com/office/word/2010/wordprocessingShape">
                    <wps:wsp>
                      <wps:cNvSpPr txBox="1"/>
                      <wps:spPr>
                        <a:xfrm>
                          <a:off x="0" y="0"/>
                          <a:ext cx="1563370" cy="125095"/>
                        </a:xfrm>
                        <a:prstGeom prst="rect">
                          <a:avLst/>
                        </a:prstGeom>
                        <a:noFill/>
                      </wps:spPr>
                      <wps:txbx>
                        <w:txbxContent>
                          <w:p w:rsidR="00215B20" w:rsidRDefault="00FD0AA3">
                            <w:pPr>
                              <w:pStyle w:val="Titulekobrzku0"/>
                              <w:shd w:val="clear" w:color="auto" w:fill="auto"/>
                              <w:spacing w:line="240" w:lineRule="auto"/>
                              <w:ind w:firstLine="0"/>
                              <w:rPr>
                                <w:sz w:val="8"/>
                                <w:szCs w:val="8"/>
                              </w:rPr>
                            </w:pPr>
                            <w:r>
                              <w:rPr>
                                <w:color w:val="231F20"/>
                                <w:sz w:val="8"/>
                                <w:szCs w:val="8"/>
                                <w:lang w:val="en-US" w:eastAsia="en-US" w:bidi="en-US"/>
                              </w:rPr>
                              <w:t xml:space="preserve">WAN </w:t>
                            </w:r>
                            <w:r>
                              <w:rPr>
                                <w:color w:val="231F20"/>
                                <w:sz w:val="8"/>
                                <w:szCs w:val="8"/>
                              </w:rPr>
                              <w:t xml:space="preserve">Interface(s) | </w:t>
                            </w:r>
                            <w:r>
                              <w:rPr>
                                <w:color w:val="B4BCC2"/>
                                <w:sz w:val="8"/>
                                <w:szCs w:val="8"/>
                                <w:lang w:val="en-US" w:eastAsia="en-US" w:bidi="en-US"/>
                              </w:rPr>
                              <w:t xml:space="preserve">LAN </w:t>
                            </w:r>
                            <w:r>
                              <w:rPr>
                                <w:color w:val="B4BCC2"/>
                                <w:sz w:val="8"/>
                                <w:szCs w:val="8"/>
                              </w:rPr>
                              <w:t xml:space="preserve">Intarface(s) | </w:t>
                            </w:r>
                            <w:r>
                              <w:rPr>
                                <w:color w:val="B4BCC2"/>
                                <w:sz w:val="8"/>
                                <w:szCs w:val="8"/>
                                <w:lang w:val="en-US" w:eastAsia="en-US" w:bidi="en-US"/>
                              </w:rPr>
                              <w:t>QoS Upstream</w:t>
                            </w:r>
                          </w:p>
                        </w:txbxContent>
                      </wps:txbx>
                      <wps:bodyPr lIns="0" tIns="0" rIns="0" bIns="0"/>
                    </wps:wsp>
                  </a:graphicData>
                </a:graphic>
              </wp:anchor>
            </w:drawing>
          </mc:Choice>
          <mc:Fallback>
            <w:pict>
              <v:shape id="_x0000_s1223" type="#_x0000_t202" style="position:absolute;margin-left:77.900000000000006pt;margin-top:6.5pt;width:123.09999999999999pt;height:9.8499999999999996pt;z-index:25165773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color w:val="231F20"/>
                          <w:spacing w:val="0"/>
                          <w:w w:val="100"/>
                          <w:position w:val="0"/>
                          <w:sz w:val="8"/>
                          <w:szCs w:val="8"/>
                          <w:shd w:val="clear" w:color="auto" w:fill="auto"/>
                          <w:lang w:val="en-US" w:eastAsia="en-US" w:bidi="en-US"/>
                        </w:rPr>
                        <w:t xml:space="preserve">WAN </w:t>
                      </w:r>
                      <w:r>
                        <w:rPr>
                          <w:color w:val="231F20"/>
                          <w:spacing w:val="0"/>
                          <w:w w:val="100"/>
                          <w:position w:val="0"/>
                          <w:sz w:val="8"/>
                          <w:szCs w:val="8"/>
                          <w:shd w:val="clear" w:color="auto" w:fill="auto"/>
                          <w:lang w:val="cs-CZ" w:eastAsia="cs-CZ" w:bidi="cs-CZ"/>
                        </w:rPr>
                        <w:t xml:space="preserve">Interface(s) | </w:t>
                      </w:r>
                      <w:r>
                        <w:rPr>
                          <w:color w:val="B4BCC2"/>
                          <w:spacing w:val="0"/>
                          <w:w w:val="100"/>
                          <w:position w:val="0"/>
                          <w:sz w:val="8"/>
                          <w:szCs w:val="8"/>
                          <w:shd w:val="clear" w:color="auto" w:fill="auto"/>
                          <w:lang w:val="en-US" w:eastAsia="en-US" w:bidi="en-US"/>
                        </w:rPr>
                        <w:t xml:space="preserve">LAN </w:t>
                      </w:r>
                      <w:r>
                        <w:rPr>
                          <w:color w:val="B4BCC2"/>
                          <w:spacing w:val="0"/>
                          <w:w w:val="100"/>
                          <w:position w:val="0"/>
                          <w:sz w:val="8"/>
                          <w:szCs w:val="8"/>
                          <w:shd w:val="clear" w:color="auto" w:fill="auto"/>
                          <w:lang w:val="cs-CZ" w:eastAsia="cs-CZ" w:bidi="cs-CZ"/>
                        </w:rPr>
                        <w:t xml:space="preserve">Intarface(s) | </w:t>
                      </w:r>
                      <w:r>
                        <w:rPr>
                          <w:color w:val="B4BCC2"/>
                          <w:spacing w:val="0"/>
                          <w:w w:val="100"/>
                          <w:position w:val="0"/>
                          <w:sz w:val="8"/>
                          <w:szCs w:val="8"/>
                          <w:shd w:val="clear" w:color="auto" w:fill="auto"/>
                          <w:lang w:val="en-US" w:eastAsia="en-US" w:bidi="en-US"/>
                        </w:rPr>
                        <w:t>QoS Upstream</w:t>
                      </w:r>
                    </w:p>
                  </w:txbxContent>
                </v:textbox>
                <w10:wrap anchorx="page"/>
              </v:shape>
            </w:pict>
          </mc:Fallback>
        </mc:AlternateContent>
      </w:r>
      <w:r>
        <w:rPr>
          <w:noProof/>
          <w:lang w:bidi="ar-SA"/>
        </w:rPr>
        <mc:AlternateContent>
          <mc:Choice Requires="wps">
            <w:drawing>
              <wp:anchor distT="0" distB="0" distL="0" distR="0" simplePos="0" relativeHeight="251664384" behindDoc="0" locked="0" layoutInCell="1" allowOverlap="1">
                <wp:simplePos x="0" y="0"/>
                <wp:positionH relativeFrom="page">
                  <wp:posOffset>989330</wp:posOffset>
                </wp:positionH>
                <wp:positionV relativeFrom="paragraph">
                  <wp:posOffset>277495</wp:posOffset>
                </wp:positionV>
                <wp:extent cx="713105" cy="100330"/>
                <wp:effectExtent l="0" t="0" r="0" b="0"/>
                <wp:wrapNone/>
                <wp:docPr id="199" name="Shape 199"/>
                <wp:cNvGraphicFramePr/>
                <a:graphic xmlns:a="http://schemas.openxmlformats.org/drawingml/2006/main">
                  <a:graphicData uri="http://schemas.microsoft.com/office/word/2010/wordprocessingShape">
                    <wps:wsp>
                      <wps:cNvSpPr txBox="1"/>
                      <wps:spPr>
                        <a:xfrm>
                          <a:off x="0" y="0"/>
                          <a:ext cx="713105" cy="100330"/>
                        </a:xfrm>
                        <a:prstGeom prst="rect">
                          <a:avLst/>
                        </a:prstGeom>
                        <a:noFill/>
                      </wps:spPr>
                      <wps:txbx>
                        <w:txbxContent>
                          <w:p w:rsidR="00215B20" w:rsidRDefault="00FD0AA3">
                            <w:pPr>
                              <w:pStyle w:val="Titulekobrzku0"/>
                              <w:pBdr>
                                <w:top w:val="single" w:sz="0" w:space="0" w:color="747474"/>
                                <w:left w:val="single" w:sz="0" w:space="0" w:color="747474"/>
                                <w:bottom w:val="single" w:sz="0" w:space="0" w:color="747474"/>
                                <w:right w:val="single" w:sz="0" w:space="0" w:color="747474"/>
                              </w:pBdr>
                              <w:shd w:val="clear" w:color="auto" w:fill="747474"/>
                              <w:spacing w:line="240" w:lineRule="auto"/>
                              <w:ind w:firstLine="0"/>
                              <w:rPr>
                                <w:sz w:val="9"/>
                                <w:szCs w:val="9"/>
                              </w:rPr>
                            </w:pPr>
                            <w:r>
                              <w:rPr>
                                <w:b/>
                                <w:bCs/>
                                <w:color w:val="FFFFFF"/>
                                <w:sz w:val="9"/>
                                <w:szCs w:val="9"/>
                                <w:lang w:val="en-US" w:eastAsia="en-US" w:bidi="en-US"/>
                              </w:rPr>
                              <w:t xml:space="preserve">WAN </w:t>
                            </w:r>
                            <w:r>
                              <w:rPr>
                                <w:b/>
                                <w:bCs/>
                                <w:color w:val="FFFFFF"/>
                                <w:sz w:val="9"/>
                                <w:szCs w:val="9"/>
                              </w:rPr>
                              <w:t xml:space="preserve">Intorfacofa) </w:t>
                            </w:r>
                            <w:r>
                              <w:rPr>
                                <w:b/>
                                <w:bCs/>
                                <w:color w:val="FFFFFF"/>
                                <w:sz w:val="9"/>
                                <w:szCs w:val="9"/>
                                <w:lang w:val="en-US" w:eastAsia="en-US" w:bidi="en-US"/>
                              </w:rPr>
                              <w:t>Traffic</w:t>
                            </w:r>
                          </w:p>
                        </w:txbxContent>
                      </wps:txbx>
                      <wps:bodyPr lIns="0" tIns="0" rIns="0" bIns="0"/>
                    </wps:wsp>
                  </a:graphicData>
                </a:graphic>
              </wp:anchor>
            </w:drawing>
          </mc:Choice>
          <mc:Fallback>
            <w:pict>
              <v:shape id="_x0000_s1225" type="#_x0000_t202" style="position:absolute;margin-left:77.900000000000006pt;margin-top:21.850000000000001pt;width:56.149999999999999pt;height:7.9000000000000004pt;z-index:251657741;mso-wrap-distance-left:0;mso-wrap-distance-right:0;mso-position-horizontal-relative:page" filled="f" stroked="f">
                <v:textbox inset="0,0,0,0">
                  <w:txbxContent>
                    <w:p>
                      <w:pPr>
                        <w:pStyle w:val="Style2"/>
                        <w:keepNext w:val="0"/>
                        <w:keepLines w:val="0"/>
                        <w:widowControl w:val="0"/>
                        <w:pBdr>
                          <w:top w:val="single" w:sz="0" w:space="0" w:color="747474"/>
                          <w:left w:val="single" w:sz="0" w:space="0" w:color="747474"/>
                          <w:bottom w:val="single" w:sz="0" w:space="0" w:color="747474"/>
                          <w:right w:val="single" w:sz="0" w:space="0" w:color="747474"/>
                        </w:pBdr>
                        <w:shd w:val="clear" w:color="auto" w:fill="747474"/>
                        <w:bidi w:val="0"/>
                        <w:spacing w:before="0" w:after="0" w:line="240" w:lineRule="auto"/>
                        <w:ind w:left="0" w:right="0" w:firstLine="0"/>
                        <w:jc w:val="left"/>
                        <w:rPr>
                          <w:sz w:val="9"/>
                          <w:szCs w:val="9"/>
                        </w:rPr>
                      </w:pPr>
                      <w:r>
                        <w:rPr>
                          <w:b/>
                          <w:bCs/>
                          <w:color w:val="FFFFFF"/>
                          <w:spacing w:val="0"/>
                          <w:w w:val="100"/>
                          <w:position w:val="0"/>
                          <w:sz w:val="9"/>
                          <w:szCs w:val="9"/>
                          <w:shd w:val="clear" w:color="auto" w:fill="auto"/>
                          <w:lang w:val="en-US" w:eastAsia="en-US" w:bidi="en-US"/>
                        </w:rPr>
                        <w:t xml:space="preserve">WAN </w:t>
                      </w:r>
                      <w:r>
                        <w:rPr>
                          <w:b/>
                          <w:bCs/>
                          <w:color w:val="FFFFFF"/>
                          <w:spacing w:val="0"/>
                          <w:w w:val="100"/>
                          <w:position w:val="0"/>
                          <w:sz w:val="9"/>
                          <w:szCs w:val="9"/>
                          <w:shd w:val="clear" w:color="auto" w:fill="auto"/>
                          <w:lang w:val="cs-CZ" w:eastAsia="cs-CZ" w:bidi="cs-CZ"/>
                        </w:rPr>
                        <w:t xml:space="preserve">Intorfacofa) </w:t>
                      </w:r>
                      <w:r>
                        <w:rPr>
                          <w:b/>
                          <w:bCs/>
                          <w:color w:val="FFFFFF"/>
                          <w:spacing w:val="0"/>
                          <w:w w:val="100"/>
                          <w:position w:val="0"/>
                          <w:sz w:val="9"/>
                          <w:szCs w:val="9"/>
                          <w:shd w:val="clear" w:color="auto" w:fill="auto"/>
                          <w:lang w:val="en-US" w:eastAsia="en-US" w:bidi="en-US"/>
                        </w:rPr>
                        <w:t>Traffic</w:t>
                      </w:r>
                    </w:p>
                  </w:txbxContent>
                </v:textbox>
                <w10:wrap anchorx="page"/>
              </v:shape>
            </w:pict>
          </mc:Fallback>
        </mc:AlternateContent>
      </w:r>
      <w:r>
        <w:rPr>
          <w:noProof/>
          <w:lang w:bidi="ar-SA"/>
        </w:rPr>
        <mc:AlternateContent>
          <mc:Choice Requires="wps">
            <w:drawing>
              <wp:anchor distT="0" distB="0" distL="0" distR="0" simplePos="0" relativeHeight="251665408" behindDoc="0" locked="0" layoutInCell="1" allowOverlap="1">
                <wp:simplePos x="0" y="0"/>
                <wp:positionH relativeFrom="page">
                  <wp:posOffset>977265</wp:posOffset>
                </wp:positionH>
                <wp:positionV relativeFrom="paragraph">
                  <wp:posOffset>420370</wp:posOffset>
                </wp:positionV>
                <wp:extent cx="2106295" cy="219710"/>
                <wp:effectExtent l="0" t="0" r="0" b="0"/>
                <wp:wrapNone/>
                <wp:docPr id="201" name="Shape 201"/>
                <wp:cNvGraphicFramePr/>
                <a:graphic xmlns:a="http://schemas.openxmlformats.org/drawingml/2006/main">
                  <a:graphicData uri="http://schemas.microsoft.com/office/word/2010/wordprocessingShape">
                    <wps:wsp>
                      <wps:cNvSpPr txBox="1"/>
                      <wps:spPr>
                        <a:xfrm>
                          <a:off x="0" y="0"/>
                          <a:ext cx="2106295" cy="219710"/>
                        </a:xfrm>
                        <a:prstGeom prst="rect">
                          <a:avLst/>
                        </a:prstGeom>
                        <a:noFill/>
                      </wps:spPr>
                      <wps:txbx>
                        <w:txbxContent>
                          <w:p w:rsidR="00215B20" w:rsidRDefault="00FD0AA3">
                            <w:pPr>
                              <w:pStyle w:val="Titulekobrzku0"/>
                              <w:shd w:val="clear" w:color="auto" w:fill="auto"/>
                              <w:spacing w:after="100" w:line="240" w:lineRule="auto"/>
                              <w:ind w:firstLine="0"/>
                              <w:rPr>
                                <w:sz w:val="8"/>
                                <w:szCs w:val="8"/>
                              </w:rPr>
                            </w:pPr>
                            <w:r w:rsidRPr="00920265">
                              <w:rPr>
                                <w:color w:val="000000"/>
                                <w:sz w:val="8"/>
                                <w:szCs w:val="8"/>
                                <w:lang w:val="fr-FR" w:eastAsia="en-US" w:bidi="en-US"/>
                              </w:rPr>
                              <w:t xml:space="preserve">Traffic </w:t>
                            </w:r>
                            <w:r w:rsidRPr="00920265">
                              <w:rPr>
                                <w:color w:val="231F20"/>
                                <w:sz w:val="8"/>
                                <w:szCs w:val="8"/>
                                <w:lang w:val="fr-FR" w:eastAsia="en-US" w:bidi="en-US"/>
                              </w:rPr>
                              <w:t xml:space="preserve">(Circuit ID:GTSGPLM1103) {2.4.1515:10-3.4.1515:09 </w:t>
                            </w:r>
                            <w:r>
                              <w:rPr>
                                <w:color w:val="231F20"/>
                                <w:sz w:val="8"/>
                                <w:szCs w:val="8"/>
                              </w:rPr>
                              <w:t xml:space="preserve">CEST </w:t>
                            </w:r>
                            <w:r w:rsidRPr="00920265">
                              <w:rPr>
                                <w:color w:val="231F20"/>
                                <w:sz w:val="8"/>
                                <w:szCs w:val="8"/>
                                <w:lang w:val="fr-FR" w:eastAsia="en-US" w:bidi="en-US"/>
                              </w:rPr>
                              <w:t>(UTC+0200))</w:t>
                            </w:r>
                          </w:p>
                          <w:p w:rsidR="00215B20" w:rsidRDefault="00FD0AA3">
                            <w:pPr>
                              <w:pStyle w:val="Titulekobrzku0"/>
                              <w:shd w:val="clear" w:color="auto" w:fill="auto"/>
                              <w:spacing w:line="240" w:lineRule="auto"/>
                              <w:ind w:firstLine="200"/>
                              <w:rPr>
                                <w:sz w:val="8"/>
                                <w:szCs w:val="8"/>
                              </w:rPr>
                            </w:pPr>
                            <w:r>
                              <w:rPr>
                                <w:color w:val="000000"/>
                                <w:sz w:val="8"/>
                                <w:szCs w:val="8"/>
                                <w:lang w:val="en-US" w:eastAsia="en-US" w:bidi="en-US"/>
                              </w:rPr>
                              <w:t>1.50</w:t>
                            </w:r>
                          </w:p>
                        </w:txbxContent>
                      </wps:txbx>
                      <wps:bodyPr lIns="0" tIns="0" rIns="0" bIns="0"/>
                    </wps:wsp>
                  </a:graphicData>
                </a:graphic>
              </wp:anchor>
            </w:drawing>
          </mc:Choice>
          <mc:Fallback>
            <w:pict>
              <v:shape id="_x0000_s1227" type="#_x0000_t202" style="position:absolute;margin-left:76.950000000000003pt;margin-top:33.100000000000001pt;width:165.84999999999999pt;height:17.300000000000001pt;z-index:251657743;mso-wrap-distance-left:0;mso-wrap-distance-right:0;mso-position-horizontal-relative:page" filled="f" stroked="f">
                <v:textbox inset="0,0,0,0">
                  <w:txbxContent>
                    <w:p>
                      <w:pPr>
                        <w:pStyle w:val="Style2"/>
                        <w:keepNext w:val="0"/>
                        <w:keepLines w:val="0"/>
                        <w:widowControl w:val="0"/>
                        <w:shd w:val="clear" w:color="auto" w:fill="auto"/>
                        <w:bidi w:val="0"/>
                        <w:spacing w:before="0" w:after="100" w:line="240" w:lineRule="auto"/>
                        <w:ind w:left="0" w:right="0" w:firstLine="0"/>
                        <w:jc w:val="left"/>
                        <w:rPr>
                          <w:sz w:val="8"/>
                          <w:szCs w:val="8"/>
                        </w:rPr>
                      </w:pPr>
                      <w:r>
                        <w:rPr>
                          <w:color w:val="000000"/>
                          <w:spacing w:val="0"/>
                          <w:w w:val="100"/>
                          <w:position w:val="0"/>
                          <w:sz w:val="8"/>
                          <w:szCs w:val="8"/>
                          <w:shd w:val="clear" w:color="auto" w:fill="auto"/>
                          <w:lang w:val="en-US" w:eastAsia="en-US" w:bidi="en-US"/>
                        </w:rPr>
                        <w:t xml:space="preserve">Traffic </w:t>
                      </w:r>
                      <w:r>
                        <w:rPr>
                          <w:color w:val="231F20"/>
                          <w:spacing w:val="0"/>
                          <w:w w:val="100"/>
                          <w:position w:val="0"/>
                          <w:sz w:val="8"/>
                          <w:szCs w:val="8"/>
                          <w:shd w:val="clear" w:color="auto" w:fill="auto"/>
                          <w:lang w:val="en-US" w:eastAsia="en-US" w:bidi="en-US"/>
                        </w:rPr>
                        <w:t xml:space="preserve">(Circuit ID:GTSGPLM1103) {2.4.1515:10-3.4.1515:09 </w:t>
                      </w:r>
                      <w:r>
                        <w:rPr>
                          <w:color w:val="231F20"/>
                          <w:spacing w:val="0"/>
                          <w:w w:val="100"/>
                          <w:position w:val="0"/>
                          <w:sz w:val="8"/>
                          <w:szCs w:val="8"/>
                          <w:shd w:val="clear" w:color="auto" w:fill="auto"/>
                          <w:lang w:val="cs-CZ" w:eastAsia="cs-CZ" w:bidi="cs-CZ"/>
                        </w:rPr>
                        <w:t xml:space="preserve">CEST </w:t>
                      </w:r>
                      <w:r>
                        <w:rPr>
                          <w:color w:val="231F20"/>
                          <w:spacing w:val="0"/>
                          <w:w w:val="100"/>
                          <w:position w:val="0"/>
                          <w:sz w:val="8"/>
                          <w:szCs w:val="8"/>
                          <w:shd w:val="clear" w:color="auto" w:fill="auto"/>
                          <w:lang w:val="en-US" w:eastAsia="en-US" w:bidi="en-US"/>
                        </w:rPr>
                        <w:t>(UTC+0200))</w:t>
                      </w:r>
                    </w:p>
                    <w:p>
                      <w:pPr>
                        <w:pStyle w:val="Style2"/>
                        <w:keepNext w:val="0"/>
                        <w:keepLines w:val="0"/>
                        <w:widowControl w:val="0"/>
                        <w:shd w:val="clear" w:color="auto" w:fill="auto"/>
                        <w:bidi w:val="0"/>
                        <w:spacing w:before="0" w:after="0" w:line="240" w:lineRule="auto"/>
                        <w:ind w:left="0" w:right="0" w:firstLine="200"/>
                        <w:jc w:val="left"/>
                        <w:rPr>
                          <w:sz w:val="8"/>
                          <w:szCs w:val="8"/>
                        </w:rPr>
                      </w:pPr>
                      <w:r>
                        <w:rPr>
                          <w:color w:val="000000"/>
                          <w:spacing w:val="0"/>
                          <w:w w:val="100"/>
                          <w:position w:val="0"/>
                          <w:sz w:val="8"/>
                          <w:szCs w:val="8"/>
                          <w:shd w:val="clear" w:color="auto" w:fill="auto"/>
                          <w:lang w:val="en-US" w:eastAsia="en-US" w:bidi="en-US"/>
                        </w:rPr>
                        <w:t>1.50</w:t>
                      </w:r>
                    </w:p>
                  </w:txbxContent>
                </v:textbox>
                <w10:wrap anchorx="page"/>
              </v:shape>
            </w:pict>
          </mc:Fallback>
        </mc:AlternateContent>
      </w:r>
      <w:r>
        <w:rPr>
          <w:noProof/>
          <w:lang w:bidi="ar-SA"/>
        </w:rPr>
        <mc:AlternateContent>
          <mc:Choice Requires="wps">
            <w:drawing>
              <wp:anchor distT="216535" distB="0" distL="0" distR="0" simplePos="0" relativeHeight="62914815" behindDoc="1" locked="0" layoutInCell="1" allowOverlap="1">
                <wp:simplePos x="0" y="0"/>
                <wp:positionH relativeFrom="page">
                  <wp:posOffset>970915</wp:posOffset>
                </wp:positionH>
                <wp:positionV relativeFrom="paragraph">
                  <wp:posOffset>2018030</wp:posOffset>
                </wp:positionV>
                <wp:extent cx="5617210" cy="255905"/>
                <wp:effectExtent l="0" t="0" r="0" b="0"/>
                <wp:wrapNone/>
                <wp:docPr id="203" name="Shape 203"/>
                <wp:cNvGraphicFramePr/>
                <a:graphic xmlns:a="http://schemas.openxmlformats.org/drawingml/2006/main">
                  <a:graphicData uri="http://schemas.microsoft.com/office/word/2010/wordprocessingShape">
                    <wps:wsp>
                      <wps:cNvSpPr txBox="1"/>
                      <wps:spPr>
                        <a:xfrm>
                          <a:off x="0" y="0"/>
                          <a:ext cx="5617210" cy="25590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493"/>
                              <w:gridCol w:w="2040"/>
                              <w:gridCol w:w="1718"/>
                              <w:gridCol w:w="1037"/>
                              <w:gridCol w:w="1032"/>
                              <w:gridCol w:w="1526"/>
                            </w:tblGrid>
                            <w:tr w:rsidR="00215B20">
                              <w:tblPrEx>
                                <w:tblCellMar>
                                  <w:top w:w="0" w:type="dxa"/>
                                  <w:bottom w:w="0" w:type="dxa"/>
                                </w:tblCellMar>
                              </w:tblPrEx>
                              <w:trPr>
                                <w:trHeight w:hRule="exact" w:val="264"/>
                                <w:tblHeader/>
                              </w:trPr>
                              <w:tc>
                                <w:tcPr>
                                  <w:tcW w:w="1493"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283B8F"/>
                                      <w:sz w:val="8"/>
                                      <w:szCs w:val="8"/>
                                    </w:rPr>
                                    <w:t xml:space="preserve">■ </w:t>
                                  </w:r>
                                  <w:r>
                                    <w:rPr>
                                      <w:color w:val="6B6C6F"/>
                                      <w:sz w:val="8"/>
                                      <w:szCs w:val="8"/>
                                    </w:rPr>
                                    <w:t xml:space="preserve">|Fa0/O </w:t>
                                  </w:r>
                                  <w:r>
                                    <w:rPr>
                                      <w:color w:val="444444"/>
                                      <w:sz w:val="8"/>
                                      <w:szCs w:val="8"/>
                                      <w:lang w:val="en-US" w:eastAsia="en-US" w:bidi="en-US"/>
                                    </w:rPr>
                                    <w:t>Incoming</w:t>
                                  </w:r>
                                </w:p>
                              </w:tc>
                              <w:tc>
                                <w:tcPr>
                                  <w:tcW w:w="2040" w:type="dxa"/>
                                  <w:tcBorders>
                                    <w:top w:val="single" w:sz="4" w:space="0" w:color="auto"/>
                                  </w:tcBorders>
                                  <w:shd w:val="clear" w:color="auto" w:fill="FFFFFF"/>
                                </w:tcPr>
                                <w:p w:rsidR="00215B20" w:rsidRDefault="00215B20">
                                  <w:pPr>
                                    <w:rPr>
                                      <w:sz w:val="10"/>
                                      <w:szCs w:val="10"/>
                                    </w:rPr>
                                  </w:pPr>
                                </w:p>
                              </w:tc>
                              <w:tc>
                                <w:tcPr>
                                  <w:tcW w:w="1718" w:type="dxa"/>
                                  <w:tcBorders>
                                    <w:top w:val="single" w:sz="4" w:space="0" w:color="auto"/>
                                  </w:tcBorders>
                                  <w:shd w:val="clear" w:color="auto" w:fill="FFFFFF"/>
                                  <w:vAlign w:val="bottom"/>
                                </w:tcPr>
                                <w:p w:rsidR="00215B20" w:rsidRDefault="00FD0AA3">
                                  <w:pPr>
                                    <w:pStyle w:val="Jin0"/>
                                    <w:shd w:val="clear" w:color="auto" w:fill="auto"/>
                                    <w:spacing w:after="0" w:line="240" w:lineRule="auto"/>
                                    <w:ind w:firstLine="1000"/>
                                    <w:rPr>
                                      <w:sz w:val="8"/>
                                      <w:szCs w:val="8"/>
                                    </w:rPr>
                                  </w:pPr>
                                  <w:r>
                                    <w:rPr>
                                      <w:sz w:val="8"/>
                                      <w:szCs w:val="8"/>
                                    </w:rPr>
                                    <w:t>10.00624</w:t>
                                  </w:r>
                                </w:p>
                              </w:tc>
                              <w:tc>
                                <w:tcPr>
                                  <w:tcW w:w="1037" w:type="dxa"/>
                                  <w:shd w:val="clear" w:color="auto" w:fill="FFFFFF"/>
                                  <w:vAlign w:val="bottom"/>
                                </w:tcPr>
                                <w:p w:rsidR="00215B20" w:rsidRDefault="00FD0AA3">
                                  <w:pPr>
                                    <w:pStyle w:val="Jin0"/>
                                    <w:shd w:val="clear" w:color="auto" w:fill="auto"/>
                                    <w:spacing w:after="0" w:line="240" w:lineRule="auto"/>
                                    <w:ind w:firstLine="340"/>
                                    <w:rPr>
                                      <w:sz w:val="8"/>
                                      <w:szCs w:val="8"/>
                                    </w:rPr>
                                  </w:pPr>
                                  <w:r>
                                    <w:rPr>
                                      <w:color w:val="444444"/>
                                      <w:sz w:val="8"/>
                                      <w:szCs w:val="8"/>
                                    </w:rPr>
                                    <w:t>|0.18</w:t>
                                  </w:r>
                                </w:p>
                              </w:tc>
                              <w:tc>
                                <w:tcPr>
                                  <w:tcW w:w="1032" w:type="dxa"/>
                                  <w:shd w:val="clear" w:color="auto" w:fill="FFFFFF"/>
                                  <w:vAlign w:val="bottom"/>
                                </w:tcPr>
                                <w:p w:rsidR="00215B20" w:rsidRDefault="00FD0AA3">
                                  <w:pPr>
                                    <w:pStyle w:val="Jin0"/>
                                    <w:shd w:val="clear" w:color="auto" w:fill="auto"/>
                                    <w:spacing w:after="0" w:line="240" w:lineRule="auto"/>
                                    <w:ind w:firstLine="360"/>
                                    <w:rPr>
                                      <w:sz w:val="8"/>
                                      <w:szCs w:val="8"/>
                                    </w:rPr>
                                  </w:pPr>
                                  <w:r>
                                    <w:rPr>
                                      <w:sz w:val="8"/>
                                      <w:szCs w:val="8"/>
                                    </w:rPr>
                                    <w:t>11.53</w:t>
                                  </w:r>
                                </w:p>
                              </w:tc>
                              <w:tc>
                                <w:tcPr>
                                  <w:tcW w:w="1526" w:type="dxa"/>
                                  <w:tcBorders>
                                    <w:right w:val="single" w:sz="4" w:space="0" w:color="auto"/>
                                  </w:tcBorders>
                                  <w:shd w:val="clear" w:color="auto" w:fill="FFFFFF"/>
                                  <w:vAlign w:val="bottom"/>
                                </w:tcPr>
                                <w:p w:rsidR="00215B20" w:rsidRDefault="00FD0AA3">
                                  <w:pPr>
                                    <w:pStyle w:val="Jin0"/>
                                    <w:shd w:val="clear" w:color="auto" w:fill="auto"/>
                                    <w:spacing w:after="0" w:line="240" w:lineRule="auto"/>
                                    <w:ind w:firstLine="400"/>
                                    <w:rPr>
                                      <w:sz w:val="8"/>
                                      <w:szCs w:val="8"/>
                                    </w:rPr>
                                  </w:pPr>
                                  <w:r>
                                    <w:rPr>
                                      <w:sz w:val="8"/>
                                      <w:szCs w:val="8"/>
                                    </w:rPr>
                                    <w:t>10.0996</w:t>
                                  </w:r>
                                </w:p>
                              </w:tc>
                            </w:tr>
                            <w:tr w:rsidR="00215B20">
                              <w:tblPrEx>
                                <w:tblCellMar>
                                  <w:top w:w="0" w:type="dxa"/>
                                  <w:bottom w:w="0" w:type="dxa"/>
                                </w:tblCellMar>
                              </w:tblPrEx>
                              <w:trPr>
                                <w:trHeight w:hRule="exact" w:val="139"/>
                              </w:trPr>
                              <w:tc>
                                <w:tcPr>
                                  <w:tcW w:w="1493" w:type="dxa"/>
                                  <w:tcBorders>
                                    <w:top w:val="single" w:sz="4" w:space="0" w:color="auto"/>
                                    <w:left w:val="single" w:sz="4" w:space="0" w:color="auto"/>
                                    <w:bottom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6B6C6F"/>
                                      <w:sz w:val="8"/>
                                      <w:szCs w:val="8"/>
                                    </w:rPr>
                                    <w:t xml:space="preserve">□ | Fa0/0 </w:t>
                                  </w:r>
                                  <w:r>
                                    <w:rPr>
                                      <w:color w:val="6B6C6F"/>
                                      <w:sz w:val="8"/>
                                      <w:szCs w:val="8"/>
                                      <w:lang w:val="en-US" w:eastAsia="en-US" w:bidi="en-US"/>
                                    </w:rPr>
                                    <w:t>Outgoing</w:t>
                                  </w:r>
                                </w:p>
                              </w:tc>
                              <w:tc>
                                <w:tcPr>
                                  <w:tcW w:w="2040" w:type="dxa"/>
                                  <w:tcBorders>
                                    <w:top w:val="single" w:sz="4" w:space="0" w:color="auto"/>
                                    <w:bottom w:val="single" w:sz="4" w:space="0" w:color="auto"/>
                                  </w:tcBorders>
                                  <w:shd w:val="clear" w:color="auto" w:fill="FFFFFF"/>
                                </w:tcPr>
                                <w:p w:rsidR="00215B20" w:rsidRDefault="00215B20">
                                  <w:pPr>
                                    <w:rPr>
                                      <w:sz w:val="10"/>
                                      <w:szCs w:val="10"/>
                                    </w:rPr>
                                  </w:pPr>
                                </w:p>
                              </w:tc>
                              <w:tc>
                                <w:tcPr>
                                  <w:tcW w:w="1718" w:type="dxa"/>
                                  <w:tcBorders>
                                    <w:top w:val="single" w:sz="4" w:space="0" w:color="auto"/>
                                    <w:bottom w:val="single" w:sz="4" w:space="0" w:color="auto"/>
                                  </w:tcBorders>
                                  <w:shd w:val="clear" w:color="auto" w:fill="FFFFFF"/>
                                  <w:vAlign w:val="bottom"/>
                                </w:tcPr>
                                <w:p w:rsidR="00215B20" w:rsidRDefault="00FD0AA3">
                                  <w:pPr>
                                    <w:pStyle w:val="Jin0"/>
                                    <w:shd w:val="clear" w:color="auto" w:fill="auto"/>
                                    <w:spacing w:after="0" w:line="240" w:lineRule="auto"/>
                                    <w:ind w:firstLine="1000"/>
                                    <w:rPr>
                                      <w:sz w:val="8"/>
                                      <w:szCs w:val="8"/>
                                    </w:rPr>
                                  </w:pPr>
                                  <w:r>
                                    <w:rPr>
                                      <w:sz w:val="8"/>
                                      <w:szCs w:val="8"/>
                                    </w:rPr>
                                    <w:t>10.0206</w:t>
                                  </w:r>
                                </w:p>
                              </w:tc>
                              <w:tc>
                                <w:tcPr>
                                  <w:tcW w:w="1037" w:type="dxa"/>
                                  <w:tcBorders>
                                    <w:top w:val="single" w:sz="4" w:space="0" w:color="auto"/>
                                    <w:bottom w:val="single" w:sz="4" w:space="0" w:color="auto"/>
                                  </w:tcBorders>
                                  <w:shd w:val="clear" w:color="auto" w:fill="FFFFFF"/>
                                </w:tcPr>
                                <w:p w:rsidR="00215B20" w:rsidRDefault="00FD0AA3">
                                  <w:pPr>
                                    <w:pStyle w:val="Jin0"/>
                                    <w:shd w:val="clear" w:color="auto" w:fill="auto"/>
                                    <w:spacing w:after="0" w:line="240" w:lineRule="auto"/>
                                    <w:jc w:val="center"/>
                                    <w:rPr>
                                      <w:sz w:val="8"/>
                                      <w:szCs w:val="8"/>
                                    </w:rPr>
                                  </w:pPr>
                                  <w:r>
                                    <w:rPr>
                                      <w:color w:val="444444"/>
                                      <w:sz w:val="8"/>
                                      <w:szCs w:val="8"/>
                                    </w:rPr>
                                    <w:t>10.0656</w:t>
                                  </w:r>
                                </w:p>
                              </w:tc>
                              <w:tc>
                                <w:tcPr>
                                  <w:tcW w:w="1032" w:type="dxa"/>
                                  <w:tcBorders>
                                    <w:top w:val="single" w:sz="4" w:space="0" w:color="auto"/>
                                    <w:bottom w:val="single" w:sz="4" w:space="0" w:color="auto"/>
                                  </w:tcBorders>
                                  <w:shd w:val="clear" w:color="auto" w:fill="FFFFFF"/>
                                </w:tcPr>
                                <w:p w:rsidR="00215B20" w:rsidRDefault="00FD0AA3">
                                  <w:pPr>
                                    <w:pStyle w:val="Jin0"/>
                                    <w:shd w:val="clear" w:color="auto" w:fill="auto"/>
                                    <w:spacing w:after="0" w:line="240" w:lineRule="auto"/>
                                    <w:jc w:val="center"/>
                                    <w:rPr>
                                      <w:sz w:val="8"/>
                                      <w:szCs w:val="8"/>
                                    </w:rPr>
                                  </w:pPr>
                                  <w:r>
                                    <w:rPr>
                                      <w:sz w:val="8"/>
                                      <w:szCs w:val="8"/>
                                    </w:rPr>
                                    <w:t>|</w:t>
                                  </w:r>
                                  <w:proofErr w:type="gramStart"/>
                                  <w:r>
                                    <w:rPr>
                                      <w:sz w:val="8"/>
                                      <w:szCs w:val="8"/>
                                    </w:rPr>
                                    <w:t>o.461</w:t>
                                  </w:r>
                                  <w:proofErr w:type="gramEnd"/>
                                </w:p>
                              </w:tc>
                              <w:tc>
                                <w:tcPr>
                                  <w:tcW w:w="1526" w:type="dxa"/>
                                  <w:tcBorders>
                                    <w:top w:val="single" w:sz="4" w:space="0" w:color="auto"/>
                                    <w:bottom w:val="single" w:sz="4" w:space="0" w:color="auto"/>
                                    <w:right w:val="single" w:sz="4" w:space="0" w:color="auto"/>
                                  </w:tcBorders>
                                  <w:shd w:val="clear" w:color="auto" w:fill="FFFFFF"/>
                                </w:tcPr>
                                <w:p w:rsidR="00215B20" w:rsidRDefault="00FD0AA3">
                                  <w:pPr>
                                    <w:pStyle w:val="Jin0"/>
                                    <w:shd w:val="clear" w:color="auto" w:fill="auto"/>
                                    <w:spacing w:after="0" w:line="240" w:lineRule="auto"/>
                                    <w:ind w:firstLine="400"/>
                                    <w:rPr>
                                      <w:sz w:val="8"/>
                                      <w:szCs w:val="8"/>
                                    </w:rPr>
                                  </w:pPr>
                                  <w:r>
                                    <w:rPr>
                                      <w:color w:val="444444"/>
                                      <w:sz w:val="8"/>
                                      <w:szCs w:val="8"/>
                                    </w:rPr>
                                    <w:t>10.0327</w:t>
                                  </w:r>
                                </w:p>
                              </w:tc>
                            </w:tr>
                          </w:tbl>
                          <w:p w:rsidR="00215B20" w:rsidRDefault="00215B20">
                            <w:pPr>
                              <w:spacing w:line="1" w:lineRule="exact"/>
                            </w:pPr>
                          </w:p>
                        </w:txbxContent>
                      </wps:txbx>
                      <wps:bodyPr lIns="0" tIns="0" rIns="0" bIns="0"/>
                    </wps:wsp>
                  </a:graphicData>
                </a:graphic>
              </wp:anchor>
            </w:drawing>
          </mc:Choice>
          <mc:Fallback>
            <w:pict>
              <v:shape id="Shape 203" o:spid="_x0000_s1039" type="#_x0000_t202" style="position:absolute;margin-left:76.45pt;margin-top:158.9pt;width:442.3pt;height:20.15pt;z-index:-440401665;visibility:visible;mso-wrap-style:square;mso-wrap-distance-left:0;mso-wrap-distance-top:17.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493"/>
                        <w:gridCol w:w="2040"/>
                        <w:gridCol w:w="1718"/>
                        <w:gridCol w:w="1037"/>
                        <w:gridCol w:w="1032"/>
                        <w:gridCol w:w="1526"/>
                      </w:tblGrid>
                      <w:tr w:rsidR="00215B20">
                        <w:tblPrEx>
                          <w:tblCellMar>
                            <w:top w:w="0" w:type="dxa"/>
                            <w:bottom w:w="0" w:type="dxa"/>
                          </w:tblCellMar>
                        </w:tblPrEx>
                        <w:trPr>
                          <w:trHeight w:hRule="exact" w:val="264"/>
                          <w:tblHeader/>
                        </w:trPr>
                        <w:tc>
                          <w:tcPr>
                            <w:tcW w:w="1493"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283B8F"/>
                                <w:sz w:val="8"/>
                                <w:szCs w:val="8"/>
                              </w:rPr>
                              <w:t xml:space="preserve">■ </w:t>
                            </w:r>
                            <w:r>
                              <w:rPr>
                                <w:color w:val="6B6C6F"/>
                                <w:sz w:val="8"/>
                                <w:szCs w:val="8"/>
                              </w:rPr>
                              <w:t xml:space="preserve">|Fa0/O </w:t>
                            </w:r>
                            <w:r>
                              <w:rPr>
                                <w:color w:val="444444"/>
                                <w:sz w:val="8"/>
                                <w:szCs w:val="8"/>
                                <w:lang w:val="en-US" w:eastAsia="en-US" w:bidi="en-US"/>
                              </w:rPr>
                              <w:t>Incoming</w:t>
                            </w:r>
                          </w:p>
                        </w:tc>
                        <w:tc>
                          <w:tcPr>
                            <w:tcW w:w="2040" w:type="dxa"/>
                            <w:tcBorders>
                              <w:top w:val="single" w:sz="4" w:space="0" w:color="auto"/>
                            </w:tcBorders>
                            <w:shd w:val="clear" w:color="auto" w:fill="FFFFFF"/>
                          </w:tcPr>
                          <w:p w:rsidR="00215B20" w:rsidRDefault="00215B20">
                            <w:pPr>
                              <w:rPr>
                                <w:sz w:val="10"/>
                                <w:szCs w:val="10"/>
                              </w:rPr>
                            </w:pPr>
                          </w:p>
                        </w:tc>
                        <w:tc>
                          <w:tcPr>
                            <w:tcW w:w="1718" w:type="dxa"/>
                            <w:tcBorders>
                              <w:top w:val="single" w:sz="4" w:space="0" w:color="auto"/>
                            </w:tcBorders>
                            <w:shd w:val="clear" w:color="auto" w:fill="FFFFFF"/>
                            <w:vAlign w:val="bottom"/>
                          </w:tcPr>
                          <w:p w:rsidR="00215B20" w:rsidRDefault="00FD0AA3">
                            <w:pPr>
                              <w:pStyle w:val="Jin0"/>
                              <w:shd w:val="clear" w:color="auto" w:fill="auto"/>
                              <w:spacing w:after="0" w:line="240" w:lineRule="auto"/>
                              <w:ind w:firstLine="1000"/>
                              <w:rPr>
                                <w:sz w:val="8"/>
                                <w:szCs w:val="8"/>
                              </w:rPr>
                            </w:pPr>
                            <w:r>
                              <w:rPr>
                                <w:sz w:val="8"/>
                                <w:szCs w:val="8"/>
                              </w:rPr>
                              <w:t>10.00624</w:t>
                            </w:r>
                          </w:p>
                        </w:tc>
                        <w:tc>
                          <w:tcPr>
                            <w:tcW w:w="1037" w:type="dxa"/>
                            <w:shd w:val="clear" w:color="auto" w:fill="FFFFFF"/>
                            <w:vAlign w:val="bottom"/>
                          </w:tcPr>
                          <w:p w:rsidR="00215B20" w:rsidRDefault="00FD0AA3">
                            <w:pPr>
                              <w:pStyle w:val="Jin0"/>
                              <w:shd w:val="clear" w:color="auto" w:fill="auto"/>
                              <w:spacing w:after="0" w:line="240" w:lineRule="auto"/>
                              <w:ind w:firstLine="340"/>
                              <w:rPr>
                                <w:sz w:val="8"/>
                                <w:szCs w:val="8"/>
                              </w:rPr>
                            </w:pPr>
                            <w:r>
                              <w:rPr>
                                <w:color w:val="444444"/>
                                <w:sz w:val="8"/>
                                <w:szCs w:val="8"/>
                              </w:rPr>
                              <w:t>|0.18</w:t>
                            </w:r>
                          </w:p>
                        </w:tc>
                        <w:tc>
                          <w:tcPr>
                            <w:tcW w:w="1032" w:type="dxa"/>
                            <w:shd w:val="clear" w:color="auto" w:fill="FFFFFF"/>
                            <w:vAlign w:val="bottom"/>
                          </w:tcPr>
                          <w:p w:rsidR="00215B20" w:rsidRDefault="00FD0AA3">
                            <w:pPr>
                              <w:pStyle w:val="Jin0"/>
                              <w:shd w:val="clear" w:color="auto" w:fill="auto"/>
                              <w:spacing w:after="0" w:line="240" w:lineRule="auto"/>
                              <w:ind w:firstLine="360"/>
                              <w:rPr>
                                <w:sz w:val="8"/>
                                <w:szCs w:val="8"/>
                              </w:rPr>
                            </w:pPr>
                            <w:r>
                              <w:rPr>
                                <w:sz w:val="8"/>
                                <w:szCs w:val="8"/>
                              </w:rPr>
                              <w:t>11.53</w:t>
                            </w:r>
                          </w:p>
                        </w:tc>
                        <w:tc>
                          <w:tcPr>
                            <w:tcW w:w="1526" w:type="dxa"/>
                            <w:tcBorders>
                              <w:right w:val="single" w:sz="4" w:space="0" w:color="auto"/>
                            </w:tcBorders>
                            <w:shd w:val="clear" w:color="auto" w:fill="FFFFFF"/>
                            <w:vAlign w:val="bottom"/>
                          </w:tcPr>
                          <w:p w:rsidR="00215B20" w:rsidRDefault="00FD0AA3">
                            <w:pPr>
                              <w:pStyle w:val="Jin0"/>
                              <w:shd w:val="clear" w:color="auto" w:fill="auto"/>
                              <w:spacing w:after="0" w:line="240" w:lineRule="auto"/>
                              <w:ind w:firstLine="400"/>
                              <w:rPr>
                                <w:sz w:val="8"/>
                                <w:szCs w:val="8"/>
                              </w:rPr>
                            </w:pPr>
                            <w:r>
                              <w:rPr>
                                <w:sz w:val="8"/>
                                <w:szCs w:val="8"/>
                              </w:rPr>
                              <w:t>10.0996</w:t>
                            </w:r>
                          </w:p>
                        </w:tc>
                      </w:tr>
                      <w:tr w:rsidR="00215B20">
                        <w:tblPrEx>
                          <w:tblCellMar>
                            <w:top w:w="0" w:type="dxa"/>
                            <w:bottom w:w="0" w:type="dxa"/>
                          </w:tblCellMar>
                        </w:tblPrEx>
                        <w:trPr>
                          <w:trHeight w:hRule="exact" w:val="139"/>
                        </w:trPr>
                        <w:tc>
                          <w:tcPr>
                            <w:tcW w:w="1493" w:type="dxa"/>
                            <w:tcBorders>
                              <w:top w:val="single" w:sz="4" w:space="0" w:color="auto"/>
                              <w:left w:val="single" w:sz="4" w:space="0" w:color="auto"/>
                              <w:bottom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6B6C6F"/>
                                <w:sz w:val="8"/>
                                <w:szCs w:val="8"/>
                              </w:rPr>
                              <w:t xml:space="preserve">□ | Fa0/0 </w:t>
                            </w:r>
                            <w:r>
                              <w:rPr>
                                <w:color w:val="6B6C6F"/>
                                <w:sz w:val="8"/>
                                <w:szCs w:val="8"/>
                                <w:lang w:val="en-US" w:eastAsia="en-US" w:bidi="en-US"/>
                              </w:rPr>
                              <w:t>Outgoing</w:t>
                            </w:r>
                          </w:p>
                        </w:tc>
                        <w:tc>
                          <w:tcPr>
                            <w:tcW w:w="2040" w:type="dxa"/>
                            <w:tcBorders>
                              <w:top w:val="single" w:sz="4" w:space="0" w:color="auto"/>
                              <w:bottom w:val="single" w:sz="4" w:space="0" w:color="auto"/>
                            </w:tcBorders>
                            <w:shd w:val="clear" w:color="auto" w:fill="FFFFFF"/>
                          </w:tcPr>
                          <w:p w:rsidR="00215B20" w:rsidRDefault="00215B20">
                            <w:pPr>
                              <w:rPr>
                                <w:sz w:val="10"/>
                                <w:szCs w:val="10"/>
                              </w:rPr>
                            </w:pPr>
                          </w:p>
                        </w:tc>
                        <w:tc>
                          <w:tcPr>
                            <w:tcW w:w="1718" w:type="dxa"/>
                            <w:tcBorders>
                              <w:top w:val="single" w:sz="4" w:space="0" w:color="auto"/>
                              <w:bottom w:val="single" w:sz="4" w:space="0" w:color="auto"/>
                            </w:tcBorders>
                            <w:shd w:val="clear" w:color="auto" w:fill="FFFFFF"/>
                            <w:vAlign w:val="bottom"/>
                          </w:tcPr>
                          <w:p w:rsidR="00215B20" w:rsidRDefault="00FD0AA3">
                            <w:pPr>
                              <w:pStyle w:val="Jin0"/>
                              <w:shd w:val="clear" w:color="auto" w:fill="auto"/>
                              <w:spacing w:after="0" w:line="240" w:lineRule="auto"/>
                              <w:ind w:firstLine="1000"/>
                              <w:rPr>
                                <w:sz w:val="8"/>
                                <w:szCs w:val="8"/>
                              </w:rPr>
                            </w:pPr>
                            <w:r>
                              <w:rPr>
                                <w:sz w:val="8"/>
                                <w:szCs w:val="8"/>
                              </w:rPr>
                              <w:t>10.0206</w:t>
                            </w:r>
                          </w:p>
                        </w:tc>
                        <w:tc>
                          <w:tcPr>
                            <w:tcW w:w="1037" w:type="dxa"/>
                            <w:tcBorders>
                              <w:top w:val="single" w:sz="4" w:space="0" w:color="auto"/>
                              <w:bottom w:val="single" w:sz="4" w:space="0" w:color="auto"/>
                            </w:tcBorders>
                            <w:shd w:val="clear" w:color="auto" w:fill="FFFFFF"/>
                          </w:tcPr>
                          <w:p w:rsidR="00215B20" w:rsidRDefault="00FD0AA3">
                            <w:pPr>
                              <w:pStyle w:val="Jin0"/>
                              <w:shd w:val="clear" w:color="auto" w:fill="auto"/>
                              <w:spacing w:after="0" w:line="240" w:lineRule="auto"/>
                              <w:jc w:val="center"/>
                              <w:rPr>
                                <w:sz w:val="8"/>
                                <w:szCs w:val="8"/>
                              </w:rPr>
                            </w:pPr>
                            <w:r>
                              <w:rPr>
                                <w:color w:val="444444"/>
                                <w:sz w:val="8"/>
                                <w:szCs w:val="8"/>
                              </w:rPr>
                              <w:t>10.0656</w:t>
                            </w:r>
                          </w:p>
                        </w:tc>
                        <w:tc>
                          <w:tcPr>
                            <w:tcW w:w="1032" w:type="dxa"/>
                            <w:tcBorders>
                              <w:top w:val="single" w:sz="4" w:space="0" w:color="auto"/>
                              <w:bottom w:val="single" w:sz="4" w:space="0" w:color="auto"/>
                            </w:tcBorders>
                            <w:shd w:val="clear" w:color="auto" w:fill="FFFFFF"/>
                          </w:tcPr>
                          <w:p w:rsidR="00215B20" w:rsidRDefault="00FD0AA3">
                            <w:pPr>
                              <w:pStyle w:val="Jin0"/>
                              <w:shd w:val="clear" w:color="auto" w:fill="auto"/>
                              <w:spacing w:after="0" w:line="240" w:lineRule="auto"/>
                              <w:jc w:val="center"/>
                              <w:rPr>
                                <w:sz w:val="8"/>
                                <w:szCs w:val="8"/>
                              </w:rPr>
                            </w:pPr>
                            <w:r>
                              <w:rPr>
                                <w:sz w:val="8"/>
                                <w:szCs w:val="8"/>
                              </w:rPr>
                              <w:t>|</w:t>
                            </w:r>
                            <w:proofErr w:type="gramStart"/>
                            <w:r>
                              <w:rPr>
                                <w:sz w:val="8"/>
                                <w:szCs w:val="8"/>
                              </w:rPr>
                              <w:t>o.461</w:t>
                            </w:r>
                            <w:proofErr w:type="gramEnd"/>
                          </w:p>
                        </w:tc>
                        <w:tc>
                          <w:tcPr>
                            <w:tcW w:w="1526" w:type="dxa"/>
                            <w:tcBorders>
                              <w:top w:val="single" w:sz="4" w:space="0" w:color="auto"/>
                              <w:bottom w:val="single" w:sz="4" w:space="0" w:color="auto"/>
                              <w:right w:val="single" w:sz="4" w:space="0" w:color="auto"/>
                            </w:tcBorders>
                            <w:shd w:val="clear" w:color="auto" w:fill="FFFFFF"/>
                          </w:tcPr>
                          <w:p w:rsidR="00215B20" w:rsidRDefault="00FD0AA3">
                            <w:pPr>
                              <w:pStyle w:val="Jin0"/>
                              <w:shd w:val="clear" w:color="auto" w:fill="auto"/>
                              <w:spacing w:after="0" w:line="240" w:lineRule="auto"/>
                              <w:ind w:firstLine="400"/>
                              <w:rPr>
                                <w:sz w:val="8"/>
                                <w:szCs w:val="8"/>
                              </w:rPr>
                            </w:pPr>
                            <w:r>
                              <w:rPr>
                                <w:color w:val="444444"/>
                                <w:sz w:val="8"/>
                                <w:szCs w:val="8"/>
                              </w:rPr>
                              <w:t>10.0327</w:t>
                            </w:r>
                          </w:p>
                        </w:tc>
                      </w:tr>
                    </w:tbl>
                    <w:p w:rsidR="00215B20" w:rsidRDefault="00215B20">
                      <w:pPr>
                        <w:spacing w:line="1" w:lineRule="exact"/>
                      </w:pPr>
                    </w:p>
                  </w:txbxContent>
                </v:textbox>
                <w10:wrap anchorx="page"/>
              </v:shape>
            </w:pict>
          </mc:Fallback>
        </mc:AlternateContent>
      </w:r>
      <w:r>
        <w:rPr>
          <w:noProof/>
          <w:lang w:bidi="ar-SA"/>
        </w:rPr>
        <mc:AlternateContent>
          <mc:Choice Requires="wps">
            <w:drawing>
              <wp:anchor distT="0" distB="0" distL="0" distR="0" simplePos="0" relativeHeight="251666432" behindDoc="0" locked="0" layoutInCell="1" allowOverlap="1">
                <wp:simplePos x="0" y="0"/>
                <wp:positionH relativeFrom="page">
                  <wp:posOffset>977265</wp:posOffset>
                </wp:positionH>
                <wp:positionV relativeFrom="paragraph">
                  <wp:posOffset>1801495</wp:posOffset>
                </wp:positionV>
                <wp:extent cx="5601970" cy="222250"/>
                <wp:effectExtent l="0" t="0" r="0" b="0"/>
                <wp:wrapNone/>
                <wp:docPr id="205" name="Shape 205"/>
                <wp:cNvGraphicFramePr/>
                <a:graphic xmlns:a="http://schemas.openxmlformats.org/drawingml/2006/main">
                  <a:graphicData uri="http://schemas.microsoft.com/office/word/2010/wordprocessingShape">
                    <wps:wsp>
                      <wps:cNvSpPr txBox="1"/>
                      <wps:spPr>
                        <a:xfrm>
                          <a:off x="0" y="0"/>
                          <a:ext cx="5601970" cy="222250"/>
                        </a:xfrm>
                        <a:prstGeom prst="rect">
                          <a:avLst/>
                        </a:prstGeom>
                        <a:noFill/>
                      </wps:spPr>
                      <wps:txbx>
                        <w:txbxContent>
                          <w:p w:rsidR="00215B20" w:rsidRDefault="00FD0AA3">
                            <w:pPr>
                              <w:pStyle w:val="Titulektabulky0"/>
                              <w:shd w:val="clear" w:color="auto" w:fill="auto"/>
                              <w:tabs>
                                <w:tab w:val="left" w:pos="930"/>
                                <w:tab w:val="left" w:pos="1276"/>
                                <w:tab w:val="left" w:pos="1622"/>
                                <w:tab w:val="left" w:pos="1967"/>
                                <w:tab w:val="left" w:pos="2318"/>
                                <w:tab w:val="left" w:pos="2663"/>
                                <w:tab w:val="left" w:pos="3009"/>
                                <w:tab w:val="left" w:pos="3354"/>
                                <w:tab w:val="left" w:pos="3700"/>
                                <w:tab w:val="left" w:pos="4050"/>
                                <w:tab w:val="left" w:pos="4396"/>
                                <w:tab w:val="left" w:pos="4742"/>
                                <w:tab w:val="left" w:pos="5087"/>
                                <w:tab w:val="left" w:pos="5442"/>
                                <w:tab w:val="left" w:pos="5788"/>
                                <w:tab w:val="left" w:pos="6134"/>
                                <w:tab w:val="left" w:pos="6479"/>
                                <w:tab w:val="left" w:pos="6825"/>
                                <w:tab w:val="left" w:pos="7175"/>
                                <w:tab w:val="left" w:pos="7521"/>
                                <w:tab w:val="left" w:pos="7866"/>
                                <w:tab w:val="left" w:pos="8212"/>
                                <w:tab w:val="left" w:pos="8558"/>
                              </w:tabs>
                              <w:spacing w:after="40"/>
                              <w:ind w:firstLine="580"/>
                              <w:jc w:val="both"/>
                              <w:rPr>
                                <w:sz w:val="8"/>
                                <w:szCs w:val="8"/>
                              </w:rPr>
                            </w:pPr>
                            <w:r>
                              <w:rPr>
                                <w:color w:val="444444"/>
                                <w:sz w:val="8"/>
                                <w:szCs w:val="8"/>
                              </w:rPr>
                              <w:t>16:00</w:t>
                            </w:r>
                            <w:r>
                              <w:rPr>
                                <w:color w:val="444444"/>
                                <w:sz w:val="8"/>
                                <w:szCs w:val="8"/>
                              </w:rPr>
                              <w:tab/>
                              <w:t>17:00</w:t>
                            </w:r>
                            <w:r>
                              <w:rPr>
                                <w:color w:val="444444"/>
                                <w:sz w:val="8"/>
                                <w:szCs w:val="8"/>
                              </w:rPr>
                              <w:tab/>
                              <w:t>18:00</w:t>
                            </w:r>
                            <w:r>
                              <w:rPr>
                                <w:color w:val="444444"/>
                                <w:sz w:val="8"/>
                                <w:szCs w:val="8"/>
                              </w:rPr>
                              <w:tab/>
                              <w:t>19:00</w:t>
                            </w:r>
                            <w:r>
                              <w:rPr>
                                <w:color w:val="444444"/>
                                <w:sz w:val="8"/>
                                <w:szCs w:val="8"/>
                              </w:rPr>
                              <w:tab/>
                            </w:r>
                            <w:r>
                              <w:rPr>
                                <w:sz w:val="8"/>
                                <w:szCs w:val="8"/>
                              </w:rPr>
                              <w:t>20:00</w:t>
                            </w:r>
                            <w:r>
                              <w:rPr>
                                <w:sz w:val="8"/>
                                <w:szCs w:val="8"/>
                              </w:rPr>
                              <w:tab/>
                            </w:r>
                            <w:r>
                              <w:rPr>
                                <w:color w:val="6B6C6F"/>
                                <w:sz w:val="8"/>
                                <w:szCs w:val="8"/>
                              </w:rPr>
                              <w:t>21:00</w:t>
                            </w:r>
                            <w:r>
                              <w:rPr>
                                <w:color w:val="6B6C6F"/>
                                <w:sz w:val="8"/>
                                <w:szCs w:val="8"/>
                              </w:rPr>
                              <w:tab/>
                            </w:r>
                            <w:r>
                              <w:rPr>
                                <w:sz w:val="8"/>
                                <w:szCs w:val="8"/>
                              </w:rPr>
                              <w:t>22:00</w:t>
                            </w:r>
                            <w:r>
                              <w:rPr>
                                <w:sz w:val="8"/>
                                <w:szCs w:val="8"/>
                              </w:rPr>
                              <w:tab/>
                              <w:t>23:00</w:t>
                            </w:r>
                            <w:r>
                              <w:rPr>
                                <w:sz w:val="8"/>
                                <w:szCs w:val="8"/>
                              </w:rPr>
                              <w:tab/>
                              <w:t>00:00</w:t>
                            </w:r>
                            <w:r>
                              <w:rPr>
                                <w:sz w:val="8"/>
                                <w:szCs w:val="8"/>
                              </w:rPr>
                              <w:tab/>
                              <w:t>01:00</w:t>
                            </w:r>
                            <w:r>
                              <w:rPr>
                                <w:sz w:val="8"/>
                                <w:szCs w:val="8"/>
                              </w:rPr>
                              <w:tab/>
                              <w:t>02:00</w:t>
                            </w:r>
                            <w:r>
                              <w:rPr>
                                <w:sz w:val="8"/>
                                <w:szCs w:val="8"/>
                              </w:rPr>
                              <w:tab/>
                              <w:t>03:00</w:t>
                            </w:r>
                            <w:r>
                              <w:rPr>
                                <w:sz w:val="8"/>
                                <w:szCs w:val="8"/>
                              </w:rPr>
                              <w:tab/>
                            </w:r>
                            <w:r>
                              <w:rPr>
                                <w:sz w:val="8"/>
                                <w:szCs w:val="8"/>
                              </w:rPr>
                              <w:t>04:00</w:t>
                            </w:r>
                            <w:r>
                              <w:rPr>
                                <w:sz w:val="8"/>
                                <w:szCs w:val="8"/>
                              </w:rPr>
                              <w:tab/>
                              <w:t>05:00</w:t>
                            </w:r>
                            <w:r>
                              <w:rPr>
                                <w:sz w:val="8"/>
                                <w:szCs w:val="8"/>
                              </w:rPr>
                              <w:tab/>
                              <w:t>06:00</w:t>
                            </w:r>
                            <w:r>
                              <w:rPr>
                                <w:sz w:val="8"/>
                                <w:szCs w:val="8"/>
                              </w:rPr>
                              <w:tab/>
                            </w:r>
                            <w:r>
                              <w:rPr>
                                <w:color w:val="444444"/>
                                <w:sz w:val="8"/>
                                <w:szCs w:val="8"/>
                              </w:rPr>
                              <w:t>07:00</w:t>
                            </w:r>
                            <w:r>
                              <w:rPr>
                                <w:color w:val="444444"/>
                                <w:sz w:val="8"/>
                                <w:szCs w:val="8"/>
                              </w:rPr>
                              <w:tab/>
                            </w:r>
                            <w:r>
                              <w:rPr>
                                <w:sz w:val="8"/>
                                <w:szCs w:val="8"/>
                              </w:rPr>
                              <w:t>08:00</w:t>
                            </w:r>
                            <w:r>
                              <w:rPr>
                                <w:sz w:val="8"/>
                                <w:szCs w:val="8"/>
                              </w:rPr>
                              <w:tab/>
                            </w:r>
                            <w:r>
                              <w:rPr>
                                <w:color w:val="444444"/>
                                <w:sz w:val="8"/>
                                <w:szCs w:val="8"/>
                              </w:rPr>
                              <w:t>09:00</w:t>
                            </w:r>
                            <w:r>
                              <w:rPr>
                                <w:color w:val="444444"/>
                                <w:sz w:val="8"/>
                                <w:szCs w:val="8"/>
                              </w:rPr>
                              <w:tab/>
                              <w:t>10:00</w:t>
                            </w:r>
                            <w:r>
                              <w:rPr>
                                <w:color w:val="444444"/>
                                <w:sz w:val="8"/>
                                <w:szCs w:val="8"/>
                              </w:rPr>
                              <w:tab/>
                              <w:t>11:00</w:t>
                            </w:r>
                            <w:r>
                              <w:rPr>
                                <w:color w:val="444444"/>
                                <w:sz w:val="8"/>
                                <w:szCs w:val="8"/>
                              </w:rPr>
                              <w:tab/>
                            </w:r>
                            <w:r>
                              <w:rPr>
                                <w:sz w:val="8"/>
                                <w:szCs w:val="8"/>
                              </w:rPr>
                              <w:t>12:00</w:t>
                            </w:r>
                            <w:r>
                              <w:rPr>
                                <w:sz w:val="8"/>
                                <w:szCs w:val="8"/>
                              </w:rPr>
                              <w:tab/>
                            </w:r>
                            <w:r>
                              <w:rPr>
                                <w:color w:val="000000"/>
                                <w:sz w:val="8"/>
                                <w:szCs w:val="8"/>
                              </w:rPr>
                              <w:t>13:00</w:t>
                            </w:r>
                            <w:r>
                              <w:rPr>
                                <w:color w:val="000000"/>
                                <w:sz w:val="8"/>
                                <w:szCs w:val="8"/>
                              </w:rPr>
                              <w:tab/>
                              <w:t>14:00</w:t>
                            </w:r>
                            <w:r>
                              <w:rPr>
                                <w:color w:val="000000"/>
                                <w:sz w:val="8"/>
                                <w:szCs w:val="8"/>
                              </w:rPr>
                              <w:tab/>
                            </w:r>
                            <w:r>
                              <w:rPr>
                                <w:sz w:val="8"/>
                                <w:szCs w:val="8"/>
                              </w:rPr>
                              <w:t>15:0C</w:t>
                            </w:r>
                          </w:p>
                          <w:p w:rsidR="00215B20" w:rsidRDefault="00FD0AA3">
                            <w:pPr>
                              <w:pStyle w:val="Titulektabulky0"/>
                              <w:shd w:val="clear" w:color="auto" w:fill="auto"/>
                              <w:tabs>
                                <w:tab w:val="left" w:pos="2506"/>
                              </w:tabs>
                              <w:rPr>
                                <w:sz w:val="9"/>
                                <w:szCs w:val="9"/>
                              </w:rPr>
                            </w:pPr>
                            <w:r>
                              <w:rPr>
                                <w:color w:val="6B6C6F"/>
                                <w:sz w:val="9"/>
                                <w:szCs w:val="9"/>
                                <w:lang w:val="en-US" w:eastAsia="en-US" w:bidi="en-US"/>
                              </w:rPr>
                              <w:t xml:space="preserve">Day </w:t>
                            </w:r>
                            <w:r>
                              <w:rPr>
                                <w:color w:val="6B6C6F"/>
                                <w:sz w:val="9"/>
                                <w:szCs w:val="9"/>
                              </w:rPr>
                              <w:t xml:space="preserve">| </w:t>
                            </w:r>
                            <w:r>
                              <w:rPr>
                                <w:color w:val="444444"/>
                                <w:sz w:val="9"/>
                                <w:szCs w:val="9"/>
                                <w:lang w:val="en-US" w:eastAsia="en-US" w:bidi="en-US"/>
                              </w:rPr>
                              <w:t xml:space="preserve">Week Month Year </w:t>
                            </w:r>
                            <w:r>
                              <w:rPr>
                                <w:color w:val="6B6C6F"/>
                                <w:sz w:val="9"/>
                                <w:szCs w:val="9"/>
                                <w:lang w:val="en-US" w:eastAsia="en-US" w:bidi="en-US"/>
                              </w:rPr>
                              <w:t>Calendar</w:t>
                            </w:r>
                            <w:r>
                              <w:rPr>
                                <w:color w:val="6B6C6F"/>
                                <w:sz w:val="9"/>
                                <w:szCs w:val="9"/>
                                <w:lang w:val="en-US" w:eastAsia="en-US" w:bidi="en-US"/>
                              </w:rPr>
                              <w:tab/>
                              <w:t xml:space="preserve">I </w:t>
                            </w:r>
                            <w:r>
                              <w:rPr>
                                <w:color w:val="444444"/>
                                <w:sz w:val="9"/>
                                <w:szCs w:val="9"/>
                                <w:lang w:val="en-US" w:eastAsia="en-US" w:bidi="en-US"/>
                              </w:rPr>
                              <w:t xml:space="preserve">Apply to </w:t>
                            </w:r>
                            <w:r>
                              <w:rPr>
                                <w:color w:val="6B6C6F"/>
                                <w:sz w:val="9"/>
                                <w:szCs w:val="9"/>
                                <w:lang w:val="en-US" w:eastAsia="en-US" w:bidi="en-US"/>
                              </w:rPr>
                              <w:t xml:space="preserve">all </w:t>
                            </w:r>
                            <w:r>
                              <w:rPr>
                                <w:color w:val="444444"/>
                                <w:sz w:val="9"/>
                                <w:szCs w:val="9"/>
                                <w:lang w:val="en-US" w:eastAsia="en-US" w:bidi="en-US"/>
                              </w:rPr>
                              <w:t>Reset | Popup || More... |</w:t>
                            </w:r>
                          </w:p>
                        </w:txbxContent>
                      </wps:txbx>
                      <wps:bodyPr lIns="0" tIns="0" rIns="0" bIns="0"/>
                    </wps:wsp>
                  </a:graphicData>
                </a:graphic>
              </wp:anchor>
            </w:drawing>
          </mc:Choice>
          <mc:Fallback>
            <w:pict>
              <v:shape id="_x0000_s1231" type="#_x0000_t202" style="position:absolute;margin-left:76.950000000000003pt;margin-top:141.84999999999999pt;width:441.10000000000002pt;height:17.5pt;z-index:251657745;mso-wrap-distance-left:0;mso-wrap-distance-right:0;mso-position-horizontal-relative:page" filled="f" stroked="f">
                <v:textbox inset="0,0,0,0">
                  <w:txbxContent>
                    <w:p>
                      <w:pPr>
                        <w:pStyle w:val="Style17"/>
                        <w:keepNext w:val="0"/>
                        <w:keepLines w:val="0"/>
                        <w:widowControl w:val="0"/>
                        <w:shd w:val="clear" w:color="auto" w:fill="auto"/>
                        <w:tabs>
                          <w:tab w:pos="930" w:val="left"/>
                          <w:tab w:pos="1276" w:val="left"/>
                          <w:tab w:pos="1622" w:val="left"/>
                          <w:tab w:pos="1967" w:val="left"/>
                          <w:tab w:pos="2318" w:val="left"/>
                          <w:tab w:pos="2663" w:val="left"/>
                          <w:tab w:pos="3009" w:val="left"/>
                          <w:tab w:pos="3354" w:val="left"/>
                          <w:tab w:pos="3700" w:val="left"/>
                          <w:tab w:pos="4050" w:val="left"/>
                          <w:tab w:pos="4396" w:val="left"/>
                          <w:tab w:pos="4742" w:val="left"/>
                          <w:tab w:pos="5087" w:val="left"/>
                          <w:tab w:pos="5442" w:val="left"/>
                          <w:tab w:pos="5788" w:val="left"/>
                          <w:tab w:pos="6134" w:val="left"/>
                          <w:tab w:pos="6479" w:val="left"/>
                          <w:tab w:pos="6825" w:val="left"/>
                          <w:tab w:pos="7175" w:val="left"/>
                          <w:tab w:pos="7521" w:val="left"/>
                          <w:tab w:pos="7866" w:val="left"/>
                          <w:tab w:pos="8212" w:val="left"/>
                          <w:tab w:pos="8558" w:val="left"/>
                        </w:tabs>
                        <w:bidi w:val="0"/>
                        <w:spacing w:before="0" w:after="40" w:line="240" w:lineRule="auto"/>
                        <w:ind w:left="0" w:right="0" w:firstLine="580"/>
                        <w:jc w:val="both"/>
                        <w:rPr>
                          <w:sz w:val="8"/>
                          <w:szCs w:val="8"/>
                        </w:rPr>
                      </w:pPr>
                      <w:r>
                        <w:rPr>
                          <w:color w:val="444444"/>
                          <w:spacing w:val="0"/>
                          <w:w w:val="100"/>
                          <w:position w:val="0"/>
                          <w:sz w:val="8"/>
                          <w:szCs w:val="8"/>
                          <w:shd w:val="clear" w:color="auto" w:fill="auto"/>
                          <w:lang w:val="cs-CZ" w:eastAsia="cs-CZ" w:bidi="cs-CZ"/>
                        </w:rPr>
                        <w:t>16:00</w:t>
                        <w:tab/>
                        <w:t>17:00</w:t>
                        <w:tab/>
                        <w:t>18:00</w:t>
                        <w:tab/>
                        <w:t>19:00</w:t>
                        <w:tab/>
                      </w:r>
                      <w:r>
                        <w:rPr>
                          <w:spacing w:val="0"/>
                          <w:w w:val="100"/>
                          <w:position w:val="0"/>
                          <w:sz w:val="8"/>
                          <w:szCs w:val="8"/>
                          <w:shd w:val="clear" w:color="auto" w:fill="auto"/>
                          <w:lang w:val="cs-CZ" w:eastAsia="cs-CZ" w:bidi="cs-CZ"/>
                        </w:rPr>
                        <w:t>20:00</w:t>
                        <w:tab/>
                      </w:r>
                      <w:r>
                        <w:rPr>
                          <w:color w:val="6B6C6F"/>
                          <w:spacing w:val="0"/>
                          <w:w w:val="100"/>
                          <w:position w:val="0"/>
                          <w:sz w:val="8"/>
                          <w:szCs w:val="8"/>
                          <w:shd w:val="clear" w:color="auto" w:fill="auto"/>
                          <w:lang w:val="cs-CZ" w:eastAsia="cs-CZ" w:bidi="cs-CZ"/>
                        </w:rPr>
                        <w:t>21:00</w:t>
                        <w:tab/>
                      </w:r>
                      <w:r>
                        <w:rPr>
                          <w:spacing w:val="0"/>
                          <w:w w:val="100"/>
                          <w:position w:val="0"/>
                          <w:sz w:val="8"/>
                          <w:szCs w:val="8"/>
                          <w:shd w:val="clear" w:color="auto" w:fill="auto"/>
                          <w:lang w:val="cs-CZ" w:eastAsia="cs-CZ" w:bidi="cs-CZ"/>
                        </w:rPr>
                        <w:t>22:00</w:t>
                        <w:tab/>
                        <w:t>23:00</w:t>
                        <w:tab/>
                        <w:t>00:00</w:t>
                        <w:tab/>
                        <w:t>01:00</w:t>
                        <w:tab/>
                        <w:t>02:00</w:t>
                        <w:tab/>
                        <w:t>03:00</w:t>
                        <w:tab/>
                        <w:t>04:00</w:t>
                        <w:tab/>
                        <w:t>05:00</w:t>
                        <w:tab/>
                        <w:t>06:00</w:t>
                        <w:tab/>
                      </w:r>
                      <w:r>
                        <w:rPr>
                          <w:color w:val="444444"/>
                          <w:spacing w:val="0"/>
                          <w:w w:val="100"/>
                          <w:position w:val="0"/>
                          <w:sz w:val="8"/>
                          <w:szCs w:val="8"/>
                          <w:shd w:val="clear" w:color="auto" w:fill="auto"/>
                          <w:lang w:val="cs-CZ" w:eastAsia="cs-CZ" w:bidi="cs-CZ"/>
                        </w:rPr>
                        <w:t>07:00</w:t>
                        <w:tab/>
                      </w:r>
                      <w:r>
                        <w:rPr>
                          <w:spacing w:val="0"/>
                          <w:w w:val="100"/>
                          <w:position w:val="0"/>
                          <w:sz w:val="8"/>
                          <w:szCs w:val="8"/>
                          <w:shd w:val="clear" w:color="auto" w:fill="auto"/>
                          <w:lang w:val="cs-CZ" w:eastAsia="cs-CZ" w:bidi="cs-CZ"/>
                        </w:rPr>
                        <w:t>08:00</w:t>
                        <w:tab/>
                      </w:r>
                      <w:r>
                        <w:rPr>
                          <w:color w:val="444444"/>
                          <w:spacing w:val="0"/>
                          <w:w w:val="100"/>
                          <w:position w:val="0"/>
                          <w:sz w:val="8"/>
                          <w:szCs w:val="8"/>
                          <w:shd w:val="clear" w:color="auto" w:fill="auto"/>
                          <w:lang w:val="cs-CZ" w:eastAsia="cs-CZ" w:bidi="cs-CZ"/>
                        </w:rPr>
                        <w:t>09:00</w:t>
                        <w:tab/>
                        <w:t>10:00</w:t>
                        <w:tab/>
                        <w:t>11:00</w:t>
                        <w:tab/>
                      </w:r>
                      <w:r>
                        <w:rPr>
                          <w:spacing w:val="0"/>
                          <w:w w:val="100"/>
                          <w:position w:val="0"/>
                          <w:sz w:val="8"/>
                          <w:szCs w:val="8"/>
                          <w:shd w:val="clear" w:color="auto" w:fill="auto"/>
                          <w:lang w:val="cs-CZ" w:eastAsia="cs-CZ" w:bidi="cs-CZ"/>
                        </w:rPr>
                        <w:t>12:00</w:t>
                        <w:tab/>
                      </w:r>
                      <w:r>
                        <w:rPr>
                          <w:color w:val="000000"/>
                          <w:spacing w:val="0"/>
                          <w:w w:val="100"/>
                          <w:position w:val="0"/>
                          <w:sz w:val="8"/>
                          <w:szCs w:val="8"/>
                          <w:shd w:val="clear" w:color="auto" w:fill="auto"/>
                          <w:lang w:val="cs-CZ" w:eastAsia="cs-CZ" w:bidi="cs-CZ"/>
                        </w:rPr>
                        <w:t>13:00</w:t>
                        <w:tab/>
                        <w:t>14:00</w:t>
                        <w:tab/>
                      </w:r>
                      <w:r>
                        <w:rPr>
                          <w:spacing w:val="0"/>
                          <w:w w:val="100"/>
                          <w:position w:val="0"/>
                          <w:sz w:val="8"/>
                          <w:szCs w:val="8"/>
                          <w:shd w:val="clear" w:color="auto" w:fill="auto"/>
                          <w:lang w:val="cs-CZ" w:eastAsia="cs-CZ" w:bidi="cs-CZ"/>
                        </w:rPr>
                        <w:t>15:0C</w:t>
                      </w:r>
                    </w:p>
                    <w:p>
                      <w:pPr>
                        <w:pStyle w:val="Style17"/>
                        <w:keepNext w:val="0"/>
                        <w:keepLines w:val="0"/>
                        <w:widowControl w:val="0"/>
                        <w:shd w:val="clear" w:color="auto" w:fill="auto"/>
                        <w:tabs>
                          <w:tab w:pos="2506" w:val="left"/>
                        </w:tabs>
                        <w:bidi w:val="0"/>
                        <w:spacing w:before="0" w:after="0" w:line="240" w:lineRule="auto"/>
                        <w:ind w:left="0" w:right="0" w:firstLine="0"/>
                        <w:jc w:val="left"/>
                        <w:rPr>
                          <w:sz w:val="9"/>
                          <w:szCs w:val="9"/>
                        </w:rPr>
                      </w:pPr>
                      <w:r>
                        <w:rPr>
                          <w:color w:val="6B6C6F"/>
                          <w:spacing w:val="0"/>
                          <w:w w:val="100"/>
                          <w:position w:val="0"/>
                          <w:sz w:val="9"/>
                          <w:szCs w:val="9"/>
                          <w:shd w:val="clear" w:color="auto" w:fill="auto"/>
                          <w:lang w:val="en-US" w:eastAsia="en-US" w:bidi="en-US"/>
                        </w:rPr>
                        <w:t xml:space="preserve">Day </w:t>
                      </w:r>
                      <w:r>
                        <w:rPr>
                          <w:color w:val="6B6C6F"/>
                          <w:spacing w:val="0"/>
                          <w:w w:val="100"/>
                          <w:position w:val="0"/>
                          <w:sz w:val="9"/>
                          <w:szCs w:val="9"/>
                          <w:shd w:val="clear" w:color="auto" w:fill="auto"/>
                          <w:lang w:val="cs-CZ" w:eastAsia="cs-CZ" w:bidi="cs-CZ"/>
                        </w:rPr>
                        <w:t xml:space="preserve">| </w:t>
                      </w:r>
                      <w:r>
                        <w:rPr>
                          <w:color w:val="444444"/>
                          <w:spacing w:val="0"/>
                          <w:w w:val="100"/>
                          <w:position w:val="0"/>
                          <w:sz w:val="9"/>
                          <w:szCs w:val="9"/>
                          <w:shd w:val="clear" w:color="auto" w:fill="auto"/>
                          <w:lang w:val="en-US" w:eastAsia="en-US" w:bidi="en-US"/>
                        </w:rPr>
                        <w:t xml:space="preserve">Week Month Year </w:t>
                      </w:r>
                      <w:r>
                        <w:rPr>
                          <w:color w:val="6B6C6F"/>
                          <w:spacing w:val="0"/>
                          <w:w w:val="100"/>
                          <w:position w:val="0"/>
                          <w:sz w:val="9"/>
                          <w:szCs w:val="9"/>
                          <w:shd w:val="clear" w:color="auto" w:fill="auto"/>
                          <w:lang w:val="en-US" w:eastAsia="en-US" w:bidi="en-US"/>
                        </w:rPr>
                        <w:t>Calendar</w:t>
                        <w:tab/>
                        <w:t xml:space="preserve">I </w:t>
                      </w:r>
                      <w:r>
                        <w:rPr>
                          <w:color w:val="444444"/>
                          <w:spacing w:val="0"/>
                          <w:w w:val="100"/>
                          <w:position w:val="0"/>
                          <w:sz w:val="9"/>
                          <w:szCs w:val="9"/>
                          <w:shd w:val="clear" w:color="auto" w:fill="auto"/>
                          <w:lang w:val="en-US" w:eastAsia="en-US" w:bidi="en-US"/>
                        </w:rPr>
                        <w:t xml:space="preserve">Apply to </w:t>
                      </w:r>
                      <w:r>
                        <w:rPr>
                          <w:color w:val="6B6C6F"/>
                          <w:spacing w:val="0"/>
                          <w:w w:val="100"/>
                          <w:position w:val="0"/>
                          <w:sz w:val="9"/>
                          <w:szCs w:val="9"/>
                          <w:shd w:val="clear" w:color="auto" w:fill="auto"/>
                          <w:lang w:val="en-US" w:eastAsia="en-US" w:bidi="en-US"/>
                        </w:rPr>
                        <w:t xml:space="preserve">all </w:t>
                      </w:r>
                      <w:r>
                        <w:rPr>
                          <w:color w:val="444444"/>
                          <w:spacing w:val="0"/>
                          <w:w w:val="100"/>
                          <w:position w:val="0"/>
                          <w:sz w:val="9"/>
                          <w:szCs w:val="9"/>
                          <w:shd w:val="clear" w:color="auto" w:fill="auto"/>
                          <w:lang w:val="en-US" w:eastAsia="en-US" w:bidi="en-US"/>
                        </w:rPr>
                        <w:t>Reset | Popup || More... |</w:t>
                      </w:r>
                    </w:p>
                  </w:txbxContent>
                </v:textbox>
                <w10:wrap anchorx="page"/>
              </v:shape>
            </w:pict>
          </mc:Fallback>
        </mc:AlternateContent>
      </w:r>
      <w:r>
        <w:br w:type="page"/>
      </w:r>
    </w:p>
    <w:p w:rsidR="00215B20" w:rsidRDefault="00FD0AA3">
      <w:pPr>
        <w:spacing w:line="1" w:lineRule="exact"/>
      </w:pPr>
      <w:r>
        <w:rPr>
          <w:noProof/>
          <w:lang w:bidi="ar-SA"/>
        </w:rPr>
        <w:lastRenderedPageBreak/>
        <w:drawing>
          <wp:anchor distT="0" distB="38100" distL="0" distR="0" simplePos="0" relativeHeight="125829393" behindDoc="0" locked="0" layoutInCell="1" allowOverlap="1">
            <wp:simplePos x="0" y="0"/>
            <wp:positionH relativeFrom="page">
              <wp:posOffset>686435</wp:posOffset>
            </wp:positionH>
            <wp:positionV relativeFrom="paragraph">
              <wp:posOffset>0</wp:posOffset>
            </wp:positionV>
            <wp:extent cx="402590" cy="469265"/>
            <wp:effectExtent l="0" t="0" r="0" b="0"/>
            <wp:wrapTopAndBottom/>
            <wp:docPr id="207" name="Shape 207"/>
            <wp:cNvGraphicFramePr/>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87"/>
                    <a:stretch/>
                  </pic:blipFill>
                  <pic:spPr>
                    <a:xfrm>
                      <a:off x="0" y="0"/>
                      <a:ext cx="402590" cy="469265"/>
                    </a:xfrm>
                    <a:prstGeom prst="rect">
                      <a:avLst/>
                    </a:prstGeom>
                  </pic:spPr>
                </pic:pic>
              </a:graphicData>
            </a:graphic>
          </wp:anchor>
        </w:drawing>
      </w:r>
    </w:p>
    <w:p w:rsidR="00215B20" w:rsidRDefault="00FD0AA3">
      <w:pPr>
        <w:pStyle w:val="Nadpis30"/>
        <w:keepNext/>
        <w:keepLines/>
        <w:shd w:val="clear" w:color="auto" w:fill="auto"/>
        <w:spacing w:after="0"/>
      </w:pPr>
      <w:bookmarkStart w:id="172" w:name="bookmark172"/>
      <w:bookmarkStart w:id="173" w:name="bookmark173"/>
      <w:r>
        <w:t>Provozní statistiky - Uživatelský manuál</w:t>
      </w:r>
      <w:bookmarkEnd w:id="172"/>
      <w:bookmarkEnd w:id="173"/>
    </w:p>
    <w:p w:rsidR="00215B20" w:rsidRDefault="00FD0AA3">
      <w:pPr>
        <w:pStyle w:val="Zkladntext20"/>
        <w:shd w:val="clear" w:color="auto" w:fill="auto"/>
        <w:spacing w:after="240" w:line="240" w:lineRule="auto"/>
      </w:pPr>
      <w:r>
        <w:t>Platnost od 1. 6. 2018</w:t>
      </w:r>
    </w:p>
    <w:p w:rsidR="00215B20" w:rsidRDefault="00FD0AA3">
      <w:pPr>
        <w:pStyle w:val="Nadpis60"/>
        <w:keepNext/>
        <w:keepLines/>
        <w:numPr>
          <w:ilvl w:val="0"/>
          <w:numId w:val="12"/>
        </w:numPr>
        <w:shd w:val="clear" w:color="auto" w:fill="auto"/>
        <w:tabs>
          <w:tab w:val="left" w:pos="442"/>
        </w:tabs>
        <w:spacing w:after="160" w:line="240" w:lineRule="auto"/>
      </w:pPr>
      <w:bookmarkStart w:id="174" w:name="bookmark174"/>
      <w:bookmarkStart w:id="175" w:name="bookmark175"/>
      <w:r>
        <w:rPr>
          <w:color w:val="231F20"/>
        </w:rPr>
        <w:t>Monitoring záložních linek</w:t>
      </w:r>
      <w:bookmarkEnd w:id="174"/>
      <w:bookmarkEnd w:id="175"/>
    </w:p>
    <w:p w:rsidR="00215B20" w:rsidRDefault="00FD0AA3">
      <w:pPr>
        <w:pStyle w:val="Zkladntext20"/>
        <w:shd w:val="clear" w:color="auto" w:fill="auto"/>
        <w:spacing w:after="0"/>
      </w:pPr>
      <w:r>
        <w:t xml:space="preserve">Je-li primární přípojka zálohována záložní přípojkou </w:t>
      </w:r>
      <w:r w:rsidRPr="00920265">
        <w:rPr>
          <w:lang w:eastAsia="en-US" w:bidi="en-US"/>
        </w:rPr>
        <w:t xml:space="preserve">(back-up), </w:t>
      </w:r>
      <w:r>
        <w:t>existuje mezi oběma přípojkami křížová vazba, která umožňuje náhled na report záložní přípojky Služby a obráceně - viz obrázek níže.</w:t>
      </w:r>
    </w:p>
    <w:p w:rsidR="00215B20" w:rsidRDefault="00FD0AA3">
      <w:pPr>
        <w:spacing w:line="1" w:lineRule="exact"/>
        <w:sectPr w:rsidR="00215B20">
          <w:type w:val="continuous"/>
          <w:pgSz w:w="11900" w:h="16840"/>
          <w:pgMar w:top="1740" w:right="1108" w:bottom="5298" w:left="1096" w:header="0" w:footer="3" w:gutter="0"/>
          <w:cols w:space="720"/>
          <w:noEndnote/>
          <w:docGrid w:linePitch="360"/>
        </w:sectPr>
      </w:pPr>
      <w:r>
        <w:rPr>
          <w:noProof/>
          <w:lang w:bidi="ar-SA"/>
        </w:rPr>
        <w:drawing>
          <wp:anchor distT="142875" distB="0" distL="0" distR="1179830" simplePos="0" relativeHeight="125829394" behindDoc="0" locked="0" layoutInCell="1" allowOverlap="1">
            <wp:simplePos x="0" y="0"/>
            <wp:positionH relativeFrom="page">
              <wp:posOffset>738505</wp:posOffset>
            </wp:positionH>
            <wp:positionV relativeFrom="paragraph">
              <wp:posOffset>142875</wp:posOffset>
            </wp:positionV>
            <wp:extent cx="3035935" cy="2261870"/>
            <wp:effectExtent l="0" t="0" r="0" b="0"/>
            <wp:wrapTopAndBottom/>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88"/>
                    <a:stretch/>
                  </pic:blipFill>
                  <pic:spPr>
                    <a:xfrm>
                      <a:off x="0" y="0"/>
                      <a:ext cx="3035935" cy="2261870"/>
                    </a:xfrm>
                    <a:prstGeom prst="rect">
                      <a:avLst/>
                    </a:prstGeom>
                  </pic:spPr>
                </pic:pic>
              </a:graphicData>
            </a:graphic>
          </wp:anchor>
        </w:drawing>
      </w:r>
      <w:r>
        <w:rPr>
          <w:noProof/>
          <w:lang w:bidi="ar-SA"/>
        </w:rPr>
        <mc:AlternateContent>
          <mc:Choice Requires="wps">
            <w:drawing>
              <wp:anchor distT="0" distB="0" distL="0" distR="0" simplePos="0" relativeHeight="251667456" behindDoc="0" locked="0" layoutInCell="1" allowOverlap="1">
                <wp:simplePos x="0" y="0"/>
                <wp:positionH relativeFrom="page">
                  <wp:posOffset>3856355</wp:posOffset>
                </wp:positionH>
                <wp:positionV relativeFrom="paragraph">
                  <wp:posOffset>344170</wp:posOffset>
                </wp:positionV>
                <wp:extent cx="1097280" cy="97790"/>
                <wp:effectExtent l="0" t="0" r="0" b="0"/>
                <wp:wrapNone/>
                <wp:docPr id="211" name="Shape 211"/>
                <wp:cNvGraphicFramePr/>
                <a:graphic xmlns:a="http://schemas.openxmlformats.org/drawingml/2006/main">
                  <a:graphicData uri="http://schemas.microsoft.com/office/word/2010/wordprocessingShape">
                    <wps:wsp>
                      <wps:cNvSpPr txBox="1"/>
                      <wps:spPr>
                        <a:xfrm>
                          <a:off x="0" y="0"/>
                          <a:ext cx="1097280" cy="97790"/>
                        </a:xfrm>
                        <a:prstGeom prst="rect">
                          <a:avLst/>
                        </a:prstGeom>
                        <a:noFill/>
                      </wps:spPr>
                      <wps:txbx>
                        <w:txbxContent>
                          <w:p w:rsidR="00215B20" w:rsidRDefault="00FD0AA3">
                            <w:pPr>
                              <w:pStyle w:val="Titulekobrzku0"/>
                              <w:shd w:val="clear" w:color="auto" w:fill="auto"/>
                              <w:spacing w:line="240" w:lineRule="auto"/>
                              <w:ind w:firstLine="0"/>
                              <w:rPr>
                                <w:sz w:val="9"/>
                                <w:szCs w:val="9"/>
                              </w:rPr>
                            </w:pPr>
                            <w:r>
                              <w:rPr>
                                <w:color w:val="000000"/>
                                <w:sz w:val="9"/>
                                <w:szCs w:val="9"/>
                                <w:lang w:val="en-US" w:eastAsia="en-US" w:bidi="en-US"/>
                              </w:rPr>
                              <w:t xml:space="preserve">The circuit has a </w:t>
                            </w:r>
                            <w:r>
                              <w:rPr>
                                <w:color w:val="1979BD"/>
                                <w:sz w:val="9"/>
                                <w:szCs w:val="9"/>
                                <w:lang w:val="en-US" w:eastAsia="en-US" w:bidi="en-US"/>
                              </w:rPr>
                              <w:t xml:space="preserve">backup line </w:t>
                            </w:r>
                            <w:r>
                              <w:rPr>
                                <w:color w:val="1979BD"/>
                                <w:sz w:val="9"/>
                                <w:szCs w:val="9"/>
                              </w:rPr>
                              <w:t>GN80974</w:t>
                            </w:r>
                          </w:p>
                        </w:txbxContent>
                      </wps:txbx>
                      <wps:bodyPr lIns="0" tIns="0" rIns="0" bIns="0"/>
                    </wps:wsp>
                  </a:graphicData>
                </a:graphic>
              </wp:anchor>
            </w:drawing>
          </mc:Choice>
          <mc:Fallback>
            <w:pict>
              <v:shape id="_x0000_s1237" type="#_x0000_t202" style="position:absolute;margin-left:303.64999999999998pt;margin-top:27.100000000000001pt;width:86.400000000000006pt;height:7.7000000000000002pt;z-index:25165774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9"/>
                          <w:szCs w:val="9"/>
                        </w:rPr>
                      </w:pPr>
                      <w:r>
                        <w:rPr>
                          <w:color w:val="000000"/>
                          <w:spacing w:val="0"/>
                          <w:w w:val="100"/>
                          <w:position w:val="0"/>
                          <w:sz w:val="9"/>
                          <w:szCs w:val="9"/>
                          <w:shd w:val="clear" w:color="auto" w:fill="auto"/>
                          <w:lang w:val="en-US" w:eastAsia="en-US" w:bidi="en-US"/>
                        </w:rPr>
                        <w:t xml:space="preserve">The circuit has a </w:t>
                      </w:r>
                      <w:r>
                        <w:rPr>
                          <w:color w:val="1979BD"/>
                          <w:spacing w:val="0"/>
                          <w:w w:val="100"/>
                          <w:position w:val="0"/>
                          <w:sz w:val="9"/>
                          <w:szCs w:val="9"/>
                          <w:shd w:val="clear" w:color="auto" w:fill="auto"/>
                          <w:lang w:val="en-US" w:eastAsia="en-US" w:bidi="en-US"/>
                        </w:rPr>
                        <w:t xml:space="preserve">backup line </w:t>
                      </w:r>
                      <w:r>
                        <w:rPr>
                          <w:color w:val="1979BD"/>
                          <w:spacing w:val="0"/>
                          <w:w w:val="100"/>
                          <w:position w:val="0"/>
                          <w:sz w:val="9"/>
                          <w:szCs w:val="9"/>
                          <w:shd w:val="clear" w:color="auto" w:fill="auto"/>
                          <w:lang w:val="cs-CZ" w:eastAsia="cs-CZ" w:bidi="cs-CZ"/>
                        </w:rPr>
                        <w:t>GN80974</w:t>
                      </w:r>
                    </w:p>
                  </w:txbxContent>
                </v:textbox>
                <w10:wrap anchorx="page"/>
              </v:shape>
            </w:pict>
          </mc:Fallback>
        </mc:AlternateContent>
      </w:r>
      <w:r>
        <w:rPr>
          <w:noProof/>
          <w:lang w:bidi="ar-SA"/>
        </w:rPr>
        <w:drawing>
          <wp:anchor distT="142875" distB="8890" distL="0" distR="0" simplePos="0" relativeHeight="125829395" behindDoc="0" locked="0" layoutInCell="1" allowOverlap="1">
            <wp:simplePos x="0" y="0"/>
            <wp:positionH relativeFrom="page">
              <wp:posOffset>3820160</wp:posOffset>
            </wp:positionH>
            <wp:positionV relativeFrom="paragraph">
              <wp:posOffset>142875</wp:posOffset>
            </wp:positionV>
            <wp:extent cx="3023870" cy="2255520"/>
            <wp:effectExtent l="0" t="0" r="0" b="0"/>
            <wp:wrapTopAndBottom/>
            <wp:docPr id="213" name="Shape 213"/>
            <wp:cNvGraphicFramePr/>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89"/>
                    <a:stretch/>
                  </pic:blipFill>
                  <pic:spPr>
                    <a:xfrm>
                      <a:off x="0" y="0"/>
                      <a:ext cx="3023870" cy="2255520"/>
                    </a:xfrm>
                    <a:prstGeom prst="rect">
                      <a:avLst/>
                    </a:prstGeom>
                  </pic:spPr>
                </pic:pic>
              </a:graphicData>
            </a:graphic>
          </wp:anchor>
        </w:drawing>
      </w:r>
      <w:r>
        <w:rPr>
          <w:noProof/>
          <w:lang w:bidi="ar-SA"/>
        </w:rPr>
        <mc:AlternateContent>
          <mc:Choice Requires="wps">
            <w:drawing>
              <wp:anchor distT="0" distB="0" distL="0" distR="0" simplePos="0" relativeHeight="251668480" behindDoc="0" locked="0" layoutInCell="1" allowOverlap="1">
                <wp:simplePos x="0" y="0"/>
                <wp:positionH relativeFrom="page">
                  <wp:posOffset>3908425</wp:posOffset>
                </wp:positionH>
                <wp:positionV relativeFrom="paragraph">
                  <wp:posOffset>139700</wp:posOffset>
                </wp:positionV>
                <wp:extent cx="1149350" cy="137160"/>
                <wp:effectExtent l="0" t="0" r="0" b="0"/>
                <wp:wrapNone/>
                <wp:docPr id="215" name="Shape 215"/>
                <wp:cNvGraphicFramePr/>
                <a:graphic xmlns:a="http://schemas.openxmlformats.org/drawingml/2006/main">
                  <a:graphicData uri="http://schemas.microsoft.com/office/word/2010/wordprocessingShape">
                    <wps:wsp>
                      <wps:cNvSpPr txBox="1"/>
                      <wps:spPr>
                        <a:xfrm>
                          <a:off x="0" y="0"/>
                          <a:ext cx="1149350" cy="137160"/>
                        </a:xfrm>
                        <a:prstGeom prst="rect">
                          <a:avLst/>
                        </a:prstGeom>
                        <a:noFill/>
                      </wps:spPr>
                      <wps:txbx>
                        <w:txbxContent>
                          <w:p w:rsidR="00215B20" w:rsidRDefault="00FD0AA3">
                            <w:pPr>
                              <w:pStyle w:val="Titulekobrzku0"/>
                              <w:shd w:val="clear" w:color="auto" w:fill="auto"/>
                              <w:spacing w:line="240" w:lineRule="auto"/>
                              <w:ind w:firstLine="0"/>
                            </w:pPr>
                            <w:r>
                              <w:rPr>
                                <w:b/>
                                <w:bCs/>
                                <w:color w:val="000000"/>
                                <w:lang w:val="en-US" w:eastAsia="en-US" w:bidi="en-US"/>
                              </w:rPr>
                              <w:t xml:space="preserve">WAN </w:t>
                            </w:r>
                            <w:r>
                              <w:rPr>
                                <w:b/>
                                <w:bCs/>
                                <w:color w:val="000000"/>
                              </w:rPr>
                              <w:t xml:space="preserve">lnterface(s) </w:t>
                            </w:r>
                            <w:r>
                              <w:rPr>
                                <w:color w:val="B4BCC2"/>
                              </w:rPr>
                              <w:t xml:space="preserve">| </w:t>
                            </w:r>
                            <w:r>
                              <w:rPr>
                                <w:color w:val="929292"/>
                              </w:rPr>
                              <w:t>LAN Interface(s)</w:t>
                            </w:r>
                          </w:p>
                        </w:txbxContent>
                      </wps:txbx>
                      <wps:bodyPr lIns="0" tIns="0" rIns="0" bIns="0"/>
                    </wps:wsp>
                  </a:graphicData>
                </a:graphic>
              </wp:anchor>
            </w:drawing>
          </mc:Choice>
          <mc:Fallback>
            <w:pict>
              <v:shape id="_x0000_s1241" type="#_x0000_t202" style="position:absolute;margin-left:307.75pt;margin-top:11.pt;width:90.5pt;height:10.800000000000001pt;z-index:25165774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en-US" w:eastAsia="en-US" w:bidi="en-US"/>
                        </w:rPr>
                        <w:t xml:space="preserve">WAN </w:t>
                      </w:r>
                      <w:r>
                        <w:rPr>
                          <w:b/>
                          <w:bCs/>
                          <w:color w:val="000000"/>
                          <w:spacing w:val="0"/>
                          <w:w w:val="100"/>
                          <w:position w:val="0"/>
                          <w:shd w:val="clear" w:color="auto" w:fill="auto"/>
                          <w:lang w:val="cs-CZ" w:eastAsia="cs-CZ" w:bidi="cs-CZ"/>
                        </w:rPr>
                        <w:t xml:space="preserve">lnterface(s) </w:t>
                      </w:r>
                      <w:r>
                        <w:rPr>
                          <w:color w:val="B4BCC2"/>
                          <w:spacing w:val="0"/>
                          <w:w w:val="100"/>
                          <w:position w:val="0"/>
                          <w:shd w:val="clear" w:color="auto" w:fill="auto"/>
                          <w:lang w:val="cs-CZ" w:eastAsia="cs-CZ" w:bidi="cs-CZ"/>
                        </w:rPr>
                        <w:t xml:space="preserve">| </w:t>
                      </w:r>
                      <w:r>
                        <w:rPr>
                          <w:color w:val="929292"/>
                          <w:spacing w:val="0"/>
                          <w:w w:val="100"/>
                          <w:position w:val="0"/>
                          <w:shd w:val="clear" w:color="auto" w:fill="auto"/>
                          <w:lang w:val="cs-CZ" w:eastAsia="cs-CZ" w:bidi="cs-CZ"/>
                        </w:rPr>
                        <w:t>LAN Interface(s)</w:t>
                      </w:r>
                    </w:p>
                  </w:txbxContent>
                </v:textbox>
                <w10:wrap anchorx="page"/>
              </v:shape>
            </w:pict>
          </mc:Fallback>
        </mc:AlternateContent>
      </w:r>
      <w:r>
        <w:rPr>
          <w:noProof/>
          <w:lang w:bidi="ar-SA"/>
        </w:rPr>
        <mc:AlternateContent>
          <mc:Choice Requires="wps">
            <w:drawing>
              <wp:anchor distT="0" distB="0" distL="0" distR="0" simplePos="0" relativeHeight="251669504" behindDoc="0" locked="0" layoutInCell="1" allowOverlap="1">
                <wp:simplePos x="0" y="0"/>
                <wp:positionH relativeFrom="page">
                  <wp:posOffset>3874770</wp:posOffset>
                </wp:positionH>
                <wp:positionV relativeFrom="paragraph">
                  <wp:posOffset>487045</wp:posOffset>
                </wp:positionV>
                <wp:extent cx="841375" cy="109855"/>
                <wp:effectExtent l="0" t="0" r="0" b="0"/>
                <wp:wrapNone/>
                <wp:docPr id="217" name="Shape 217"/>
                <wp:cNvGraphicFramePr/>
                <a:graphic xmlns:a="http://schemas.openxmlformats.org/drawingml/2006/main">
                  <a:graphicData uri="http://schemas.microsoft.com/office/word/2010/wordprocessingShape">
                    <wps:wsp>
                      <wps:cNvSpPr txBox="1"/>
                      <wps:spPr>
                        <a:xfrm>
                          <a:off x="0" y="0"/>
                          <a:ext cx="841375" cy="109855"/>
                        </a:xfrm>
                        <a:prstGeom prst="rect">
                          <a:avLst/>
                        </a:prstGeom>
                        <a:noFill/>
                      </wps:spPr>
                      <wps:txbx>
                        <w:txbxContent>
                          <w:p w:rsidR="00215B20" w:rsidRDefault="00FD0AA3">
                            <w:pPr>
                              <w:pStyle w:val="Titulekobrzku0"/>
                              <w:pBdr>
                                <w:top w:val="single" w:sz="0" w:space="0" w:color="015D8E"/>
                                <w:left w:val="single" w:sz="0" w:space="0" w:color="015D8E"/>
                                <w:bottom w:val="single" w:sz="0" w:space="0" w:color="015D8E"/>
                                <w:right w:val="single" w:sz="0" w:space="0" w:color="015D8E"/>
                              </w:pBdr>
                              <w:shd w:val="clear" w:color="auto" w:fill="015D8E"/>
                              <w:spacing w:line="240" w:lineRule="auto"/>
                              <w:ind w:firstLine="0"/>
                            </w:pPr>
                            <w:r>
                              <w:rPr>
                                <w:color w:val="FFFFFF"/>
                                <w:lang w:val="en-US" w:eastAsia="en-US" w:bidi="en-US"/>
                              </w:rPr>
                              <w:t xml:space="preserve">WAN </w:t>
                            </w:r>
                            <w:r>
                              <w:rPr>
                                <w:color w:val="FFFFFF"/>
                              </w:rPr>
                              <w:t>Interface (s) Traffic</w:t>
                            </w:r>
                          </w:p>
                        </w:txbxContent>
                      </wps:txbx>
                      <wps:bodyPr lIns="0" tIns="0" rIns="0" bIns="0"/>
                    </wps:wsp>
                  </a:graphicData>
                </a:graphic>
              </wp:anchor>
            </w:drawing>
          </mc:Choice>
          <mc:Fallback>
            <w:pict>
              <v:shape id="_x0000_s1243" type="#_x0000_t202" style="position:absolute;margin-left:305.10000000000002pt;margin-top:38.350000000000001pt;width:66.25pt;height:8.6500000000000004pt;z-index:251657751;mso-wrap-distance-left:0;mso-wrap-distance-right:0;mso-position-horizontal-relative:page" filled="f" stroked="f">
                <v:textbox inset="0,0,0,0">
                  <w:txbxContent>
                    <w:p>
                      <w:pPr>
                        <w:pStyle w:val="Style2"/>
                        <w:keepNext w:val="0"/>
                        <w:keepLines w:val="0"/>
                        <w:widowControl w:val="0"/>
                        <w:pBdr>
                          <w:top w:val="single" w:sz="0" w:space="0" w:color="015D8E"/>
                          <w:left w:val="single" w:sz="0" w:space="0" w:color="015D8E"/>
                          <w:bottom w:val="single" w:sz="0" w:space="0" w:color="015D8E"/>
                          <w:right w:val="single" w:sz="0" w:space="0" w:color="015D8E"/>
                        </w:pBdr>
                        <w:shd w:val="clear" w:color="auto" w:fill="015D8E"/>
                        <w:bidi w:val="0"/>
                        <w:spacing w:before="0" w:after="0" w:line="240" w:lineRule="auto"/>
                        <w:ind w:left="0" w:right="0" w:firstLine="0"/>
                        <w:jc w:val="left"/>
                      </w:pPr>
                      <w:r>
                        <w:rPr>
                          <w:color w:val="FFFFFF"/>
                          <w:spacing w:val="0"/>
                          <w:w w:val="100"/>
                          <w:position w:val="0"/>
                          <w:sz w:val="10"/>
                          <w:szCs w:val="10"/>
                          <w:shd w:val="clear" w:color="auto" w:fill="auto"/>
                          <w:lang w:val="en-US" w:eastAsia="en-US" w:bidi="en-US"/>
                        </w:rPr>
                        <w:t xml:space="preserve">WAN </w:t>
                      </w:r>
                      <w:r>
                        <w:rPr>
                          <w:color w:val="FFFFFF"/>
                          <w:spacing w:val="0"/>
                          <w:w w:val="100"/>
                          <w:position w:val="0"/>
                          <w:sz w:val="10"/>
                          <w:szCs w:val="10"/>
                          <w:shd w:val="clear" w:color="auto" w:fill="auto"/>
                          <w:lang w:val="cs-CZ" w:eastAsia="cs-CZ" w:bidi="cs-CZ"/>
                        </w:rPr>
                        <w:t>Interface (s) Traffic</w:t>
                      </w:r>
                    </w:p>
                  </w:txbxContent>
                </v:textbox>
                <w10:wrap anchorx="page"/>
              </v:shape>
            </w:pict>
          </mc:Fallback>
        </mc:AlternateContent>
      </w:r>
      <w:r>
        <w:rPr>
          <w:noProof/>
          <w:lang w:bidi="ar-SA"/>
        </w:rPr>
        <mc:AlternateContent>
          <mc:Choice Requires="wps">
            <w:drawing>
              <wp:anchor distT="0" distB="0" distL="0" distR="0" simplePos="0" relativeHeight="251670528" behindDoc="0" locked="0" layoutInCell="1" allowOverlap="1">
                <wp:simplePos x="0" y="0"/>
                <wp:positionH relativeFrom="page">
                  <wp:posOffset>3890010</wp:posOffset>
                </wp:positionH>
                <wp:positionV relativeFrom="paragraph">
                  <wp:posOffset>2145665</wp:posOffset>
                </wp:positionV>
                <wp:extent cx="2904490" cy="237490"/>
                <wp:effectExtent l="0" t="0" r="0" b="0"/>
                <wp:wrapNone/>
                <wp:docPr id="219" name="Shape 219"/>
                <wp:cNvGraphicFramePr/>
                <a:graphic xmlns:a="http://schemas.openxmlformats.org/drawingml/2006/main">
                  <a:graphicData uri="http://schemas.microsoft.com/office/word/2010/wordprocessingShape">
                    <wps:wsp>
                      <wps:cNvSpPr txBox="1"/>
                      <wps:spPr>
                        <a:xfrm>
                          <a:off x="0" y="0"/>
                          <a:ext cx="2904490" cy="237490"/>
                        </a:xfrm>
                        <a:prstGeom prst="rect">
                          <a:avLst/>
                        </a:prstGeom>
                        <a:noFill/>
                      </wps:spPr>
                      <wps:txbx>
                        <w:txbxContent>
                          <w:p w:rsidR="00215B20" w:rsidRDefault="00FD0AA3">
                            <w:pPr>
                              <w:pStyle w:val="Titulekobrzku0"/>
                              <w:shd w:val="clear" w:color="auto" w:fill="auto"/>
                              <w:tabs>
                                <w:tab w:val="left" w:pos="690"/>
                                <w:tab w:val="left" w:pos="1184"/>
                                <w:tab w:val="left" w:pos="1678"/>
                                <w:tab w:val="left" w:pos="2158"/>
                                <w:tab w:val="left" w:pos="2653"/>
                                <w:tab w:val="left" w:pos="3147"/>
                                <w:tab w:val="left" w:pos="3642"/>
                                <w:tab w:val="left" w:pos="4126"/>
                              </w:tabs>
                              <w:spacing w:after="40" w:line="240" w:lineRule="auto"/>
                              <w:ind w:firstLine="200"/>
                              <w:rPr>
                                <w:sz w:val="8"/>
                                <w:szCs w:val="8"/>
                              </w:rPr>
                            </w:pPr>
                            <w:r>
                              <w:rPr>
                                <w:sz w:val="8"/>
                                <w:szCs w:val="8"/>
                              </w:rPr>
                              <w:t>16:00</w:t>
                            </w:r>
                            <w:r>
                              <w:rPr>
                                <w:sz w:val="8"/>
                                <w:szCs w:val="8"/>
                              </w:rPr>
                              <w:tab/>
                            </w:r>
                            <w:r>
                              <w:rPr>
                                <w:color w:val="000000"/>
                                <w:sz w:val="8"/>
                                <w:szCs w:val="8"/>
                              </w:rPr>
                              <w:t>17:00</w:t>
                            </w:r>
                            <w:r>
                              <w:rPr>
                                <w:color w:val="000000"/>
                                <w:sz w:val="8"/>
                                <w:szCs w:val="8"/>
                              </w:rPr>
                              <w:tab/>
                            </w:r>
                            <w:r>
                              <w:rPr>
                                <w:color w:val="231F20"/>
                                <w:sz w:val="8"/>
                                <w:szCs w:val="8"/>
                              </w:rPr>
                              <w:t>18:00</w:t>
                            </w:r>
                            <w:r>
                              <w:rPr>
                                <w:color w:val="231F20"/>
                                <w:sz w:val="8"/>
                                <w:szCs w:val="8"/>
                              </w:rPr>
                              <w:tab/>
                              <w:t>19:00</w:t>
                            </w:r>
                            <w:r>
                              <w:rPr>
                                <w:color w:val="231F20"/>
                                <w:sz w:val="8"/>
                                <w:szCs w:val="8"/>
                              </w:rPr>
                              <w:tab/>
                            </w:r>
                            <w:r>
                              <w:rPr>
                                <w:color w:val="000000"/>
                                <w:sz w:val="8"/>
                                <w:szCs w:val="8"/>
                              </w:rPr>
                              <w:t>20:00</w:t>
                            </w:r>
                            <w:r>
                              <w:rPr>
                                <w:color w:val="000000"/>
                                <w:sz w:val="8"/>
                                <w:szCs w:val="8"/>
                              </w:rPr>
                              <w:tab/>
                            </w:r>
                            <w:r>
                              <w:rPr>
                                <w:color w:val="231F20"/>
                                <w:sz w:val="8"/>
                                <w:szCs w:val="8"/>
                              </w:rPr>
                              <w:t>21:00</w:t>
                            </w:r>
                            <w:r>
                              <w:rPr>
                                <w:color w:val="231F20"/>
                                <w:sz w:val="8"/>
                                <w:szCs w:val="8"/>
                              </w:rPr>
                              <w:tab/>
                            </w:r>
                            <w:r>
                              <w:rPr>
                                <w:color w:val="000000"/>
                                <w:sz w:val="8"/>
                                <w:szCs w:val="8"/>
                              </w:rPr>
                              <w:t>22:00</w:t>
                            </w:r>
                            <w:r>
                              <w:rPr>
                                <w:color w:val="000000"/>
                                <w:sz w:val="8"/>
                                <w:szCs w:val="8"/>
                              </w:rPr>
                              <w:tab/>
                            </w:r>
                            <w:r>
                              <w:rPr>
                                <w:color w:val="231F20"/>
                                <w:sz w:val="8"/>
                                <w:szCs w:val="8"/>
                              </w:rPr>
                              <w:t>23:00</w:t>
                            </w:r>
                            <w:r>
                              <w:rPr>
                                <w:color w:val="231F20"/>
                                <w:sz w:val="8"/>
                                <w:szCs w:val="8"/>
                              </w:rPr>
                              <w:tab/>
                              <w:t>00:00</w:t>
                            </w:r>
                          </w:p>
                          <w:p w:rsidR="00215B20" w:rsidRDefault="00FD0AA3">
                            <w:pPr>
                              <w:pStyle w:val="Titulekobrzku0"/>
                              <w:shd w:val="clear" w:color="auto" w:fill="auto"/>
                              <w:spacing w:line="240" w:lineRule="auto"/>
                              <w:ind w:firstLine="0"/>
                            </w:pPr>
                            <w:r>
                              <w:rPr>
                                <w:color w:val="231F20"/>
                                <w:lang w:val="en-US" w:eastAsia="en-US" w:bidi="en-US"/>
                              </w:rPr>
                              <w:t xml:space="preserve">day week month Calendar] </w:t>
                            </w:r>
                            <w:r>
                              <w:rPr>
                                <w:color w:val="929292"/>
                                <w:u w:val="single"/>
                                <w:lang w:val="en-US" w:eastAsia="en-US" w:bidi="en-US"/>
                              </w:rPr>
                              <w:t xml:space="preserve">| </w:t>
                            </w:r>
                            <w:r>
                              <w:rPr>
                                <w:color w:val="231F20"/>
                                <w:u w:val="single"/>
                                <w:lang w:val="en-US" w:eastAsia="en-US" w:bidi="en-US"/>
                              </w:rPr>
                              <w:t xml:space="preserve">&lt; || &gt; </w:t>
                            </w:r>
                            <w:r>
                              <w:rPr>
                                <w:color w:val="231F20"/>
                                <w:u w:val="single"/>
                              </w:rPr>
                              <w:t>IRHRI</w:t>
                            </w:r>
                            <w:r>
                              <w:rPr>
                                <w:color w:val="231F20"/>
                              </w:rPr>
                              <w:t xml:space="preserve"> </w:t>
                            </w:r>
                            <w:r>
                              <w:rPr>
                                <w:color w:val="231F20"/>
                                <w:lang w:val="en-US" w:eastAsia="en-US" w:bidi="en-US"/>
                              </w:rPr>
                              <w:t>[ftpply to all Reset Popup More...</w:t>
                            </w:r>
                          </w:p>
                        </w:txbxContent>
                      </wps:txbx>
                      <wps:bodyPr lIns="0" tIns="0" rIns="0" bIns="0"/>
                    </wps:wsp>
                  </a:graphicData>
                </a:graphic>
              </wp:anchor>
            </w:drawing>
          </mc:Choice>
          <mc:Fallback>
            <w:pict>
              <v:shape id="_x0000_s1245" type="#_x0000_t202" style="position:absolute;margin-left:306.30000000000001pt;margin-top:168.94999999999999pt;width:228.69999999999999pt;height:18.699999999999999pt;z-index:251657753;mso-wrap-distance-left:0;mso-wrap-distance-right:0;mso-position-horizontal-relative:page" filled="f" stroked="f">
                <v:textbox inset="0,0,0,0">
                  <w:txbxContent>
                    <w:p>
                      <w:pPr>
                        <w:pStyle w:val="Style2"/>
                        <w:keepNext w:val="0"/>
                        <w:keepLines w:val="0"/>
                        <w:widowControl w:val="0"/>
                        <w:shd w:val="clear" w:color="auto" w:fill="auto"/>
                        <w:tabs>
                          <w:tab w:pos="690" w:val="left"/>
                          <w:tab w:pos="1184" w:val="left"/>
                          <w:tab w:pos="1678" w:val="left"/>
                          <w:tab w:pos="2158" w:val="left"/>
                          <w:tab w:pos="2653" w:val="left"/>
                          <w:tab w:pos="3147" w:val="left"/>
                          <w:tab w:pos="3642" w:val="left"/>
                          <w:tab w:pos="4126" w:val="left"/>
                        </w:tabs>
                        <w:bidi w:val="0"/>
                        <w:spacing w:before="0" w:after="40" w:line="240" w:lineRule="auto"/>
                        <w:ind w:left="0" w:right="0" w:firstLine="200"/>
                        <w:jc w:val="left"/>
                        <w:rPr>
                          <w:sz w:val="8"/>
                          <w:szCs w:val="8"/>
                        </w:rPr>
                      </w:pPr>
                      <w:r>
                        <w:rPr>
                          <w:spacing w:val="0"/>
                          <w:w w:val="100"/>
                          <w:position w:val="0"/>
                          <w:sz w:val="8"/>
                          <w:szCs w:val="8"/>
                          <w:shd w:val="clear" w:color="auto" w:fill="auto"/>
                          <w:lang w:val="cs-CZ" w:eastAsia="cs-CZ" w:bidi="cs-CZ"/>
                        </w:rPr>
                        <w:t>16:00</w:t>
                        <w:tab/>
                      </w:r>
                      <w:r>
                        <w:rPr>
                          <w:color w:val="000000"/>
                          <w:spacing w:val="0"/>
                          <w:w w:val="100"/>
                          <w:position w:val="0"/>
                          <w:sz w:val="8"/>
                          <w:szCs w:val="8"/>
                          <w:shd w:val="clear" w:color="auto" w:fill="auto"/>
                          <w:lang w:val="cs-CZ" w:eastAsia="cs-CZ" w:bidi="cs-CZ"/>
                        </w:rPr>
                        <w:t>17:00</w:t>
                        <w:tab/>
                      </w:r>
                      <w:r>
                        <w:rPr>
                          <w:color w:val="231F20"/>
                          <w:spacing w:val="0"/>
                          <w:w w:val="100"/>
                          <w:position w:val="0"/>
                          <w:sz w:val="8"/>
                          <w:szCs w:val="8"/>
                          <w:shd w:val="clear" w:color="auto" w:fill="auto"/>
                          <w:lang w:val="cs-CZ" w:eastAsia="cs-CZ" w:bidi="cs-CZ"/>
                        </w:rPr>
                        <w:t>18:00</w:t>
                        <w:tab/>
                        <w:t>19:00</w:t>
                        <w:tab/>
                      </w:r>
                      <w:r>
                        <w:rPr>
                          <w:color w:val="000000"/>
                          <w:spacing w:val="0"/>
                          <w:w w:val="100"/>
                          <w:position w:val="0"/>
                          <w:sz w:val="8"/>
                          <w:szCs w:val="8"/>
                          <w:shd w:val="clear" w:color="auto" w:fill="auto"/>
                          <w:lang w:val="cs-CZ" w:eastAsia="cs-CZ" w:bidi="cs-CZ"/>
                        </w:rPr>
                        <w:t>20:00</w:t>
                        <w:tab/>
                      </w:r>
                      <w:r>
                        <w:rPr>
                          <w:color w:val="231F20"/>
                          <w:spacing w:val="0"/>
                          <w:w w:val="100"/>
                          <w:position w:val="0"/>
                          <w:sz w:val="8"/>
                          <w:szCs w:val="8"/>
                          <w:shd w:val="clear" w:color="auto" w:fill="auto"/>
                          <w:lang w:val="cs-CZ" w:eastAsia="cs-CZ" w:bidi="cs-CZ"/>
                        </w:rPr>
                        <w:t>21:00</w:t>
                        <w:tab/>
                      </w:r>
                      <w:r>
                        <w:rPr>
                          <w:color w:val="000000"/>
                          <w:spacing w:val="0"/>
                          <w:w w:val="100"/>
                          <w:position w:val="0"/>
                          <w:sz w:val="8"/>
                          <w:szCs w:val="8"/>
                          <w:shd w:val="clear" w:color="auto" w:fill="auto"/>
                          <w:lang w:val="cs-CZ" w:eastAsia="cs-CZ" w:bidi="cs-CZ"/>
                        </w:rPr>
                        <w:t>22:00</w:t>
                        <w:tab/>
                      </w:r>
                      <w:r>
                        <w:rPr>
                          <w:color w:val="231F20"/>
                          <w:spacing w:val="0"/>
                          <w:w w:val="100"/>
                          <w:position w:val="0"/>
                          <w:sz w:val="8"/>
                          <w:szCs w:val="8"/>
                          <w:shd w:val="clear" w:color="auto" w:fill="auto"/>
                          <w:lang w:val="cs-CZ" w:eastAsia="cs-CZ" w:bidi="cs-CZ"/>
                        </w:rPr>
                        <w:t>23:00</w:t>
                        <w:tab/>
                        <w:t>00:00</w:t>
                      </w:r>
                    </w:p>
                    <w:p>
                      <w:pPr>
                        <w:pStyle w:val="Style2"/>
                        <w:keepNext w:val="0"/>
                        <w:keepLines w:val="0"/>
                        <w:widowControl w:val="0"/>
                        <w:shd w:val="clear" w:color="auto" w:fill="auto"/>
                        <w:bidi w:val="0"/>
                        <w:spacing w:before="0" w:after="0" w:line="240" w:lineRule="auto"/>
                        <w:ind w:left="0" w:right="0" w:firstLine="0"/>
                        <w:jc w:val="left"/>
                      </w:pPr>
                      <w:r>
                        <w:rPr>
                          <w:color w:val="231F20"/>
                          <w:spacing w:val="0"/>
                          <w:w w:val="100"/>
                          <w:position w:val="0"/>
                          <w:sz w:val="10"/>
                          <w:szCs w:val="10"/>
                          <w:shd w:val="clear" w:color="auto" w:fill="auto"/>
                          <w:lang w:val="en-US" w:eastAsia="en-US" w:bidi="en-US"/>
                        </w:rPr>
                        <w:t xml:space="preserve">day week month Calendar] </w:t>
                      </w:r>
                      <w:r>
                        <w:rPr>
                          <w:color w:val="929292"/>
                          <w:spacing w:val="0"/>
                          <w:w w:val="100"/>
                          <w:position w:val="0"/>
                          <w:sz w:val="10"/>
                          <w:szCs w:val="10"/>
                          <w:u w:val="single"/>
                          <w:shd w:val="clear" w:color="auto" w:fill="auto"/>
                          <w:lang w:val="en-US" w:eastAsia="en-US" w:bidi="en-US"/>
                        </w:rPr>
                        <w:t xml:space="preserve">| </w:t>
                      </w:r>
                      <w:r>
                        <w:rPr>
                          <w:color w:val="231F20"/>
                          <w:spacing w:val="0"/>
                          <w:w w:val="100"/>
                          <w:position w:val="0"/>
                          <w:sz w:val="10"/>
                          <w:szCs w:val="10"/>
                          <w:u w:val="single"/>
                          <w:shd w:val="clear" w:color="auto" w:fill="auto"/>
                          <w:lang w:val="en-US" w:eastAsia="en-US" w:bidi="en-US"/>
                        </w:rPr>
                        <w:t xml:space="preserve">&lt; || &gt; </w:t>
                      </w:r>
                      <w:r>
                        <w:rPr>
                          <w:color w:val="231F20"/>
                          <w:spacing w:val="0"/>
                          <w:w w:val="100"/>
                          <w:position w:val="0"/>
                          <w:sz w:val="10"/>
                          <w:szCs w:val="10"/>
                          <w:u w:val="single"/>
                          <w:shd w:val="clear" w:color="auto" w:fill="auto"/>
                          <w:lang w:val="cs-CZ" w:eastAsia="cs-CZ" w:bidi="cs-CZ"/>
                        </w:rPr>
                        <w:t>IRHRI</w:t>
                      </w:r>
                      <w:r>
                        <w:rPr>
                          <w:color w:val="231F20"/>
                          <w:spacing w:val="0"/>
                          <w:w w:val="100"/>
                          <w:position w:val="0"/>
                          <w:sz w:val="10"/>
                          <w:szCs w:val="10"/>
                          <w:shd w:val="clear" w:color="auto" w:fill="auto"/>
                          <w:lang w:val="cs-CZ" w:eastAsia="cs-CZ" w:bidi="cs-CZ"/>
                        </w:rPr>
                        <w:t xml:space="preserve"> </w:t>
                      </w:r>
                      <w:r>
                        <w:rPr>
                          <w:color w:val="231F20"/>
                          <w:spacing w:val="0"/>
                          <w:w w:val="100"/>
                          <w:position w:val="0"/>
                          <w:sz w:val="10"/>
                          <w:szCs w:val="10"/>
                          <w:shd w:val="clear" w:color="auto" w:fill="auto"/>
                          <w:lang w:val="en-US" w:eastAsia="en-US" w:bidi="en-US"/>
                        </w:rPr>
                        <w:t>[ftpply to all Reset Popup More...</w:t>
                      </w:r>
                    </w:p>
                  </w:txbxContent>
                </v:textbox>
                <w10:wrap anchorx="page"/>
              </v:shape>
            </w:pict>
          </mc:Fallback>
        </mc:AlternateContent>
      </w:r>
    </w:p>
    <w:p w:rsidR="00215B20" w:rsidRDefault="00215B20">
      <w:pPr>
        <w:spacing w:before="44" w:after="44" w:line="240" w:lineRule="exact"/>
        <w:rPr>
          <w:sz w:val="19"/>
          <w:szCs w:val="19"/>
        </w:rPr>
      </w:pPr>
    </w:p>
    <w:p w:rsidR="00215B20" w:rsidRDefault="00215B20">
      <w:pPr>
        <w:spacing w:line="1" w:lineRule="exact"/>
        <w:sectPr w:rsidR="00215B20">
          <w:type w:val="continuous"/>
          <w:pgSz w:w="11900" w:h="16840"/>
          <w:pgMar w:top="1830" w:right="0" w:bottom="1912" w:left="0" w:header="0" w:footer="3" w:gutter="0"/>
          <w:cols w:space="720"/>
          <w:noEndnote/>
          <w:docGrid w:linePitch="360"/>
        </w:sectPr>
      </w:pPr>
    </w:p>
    <w:p w:rsidR="00215B20" w:rsidRDefault="00FD0AA3">
      <w:pPr>
        <w:pStyle w:val="Zkladntext1"/>
        <w:numPr>
          <w:ilvl w:val="0"/>
          <w:numId w:val="13"/>
        </w:numPr>
        <w:shd w:val="clear" w:color="auto" w:fill="auto"/>
        <w:tabs>
          <w:tab w:val="left" w:pos="430"/>
        </w:tabs>
        <w:spacing w:after="100" w:line="240" w:lineRule="auto"/>
      </w:pPr>
      <w:r>
        <w:rPr>
          <w:b/>
          <w:bCs/>
          <w:color w:val="DE1273"/>
        </w:rPr>
        <w:lastRenderedPageBreak/>
        <w:t xml:space="preserve">Ovládání rozhraní </w:t>
      </w:r>
      <w:r>
        <w:rPr>
          <w:b/>
          <w:bCs/>
          <w:color w:val="DE1273"/>
        </w:rPr>
        <w:t>pro tvorbu grafů</w:t>
      </w:r>
    </w:p>
    <w:p w:rsidR="00215B20" w:rsidRDefault="00FD0AA3">
      <w:pPr>
        <w:pStyle w:val="Nadpis60"/>
        <w:keepNext/>
        <w:keepLines/>
        <w:numPr>
          <w:ilvl w:val="1"/>
          <w:numId w:val="13"/>
        </w:numPr>
        <w:shd w:val="clear" w:color="auto" w:fill="auto"/>
        <w:tabs>
          <w:tab w:val="left" w:pos="430"/>
        </w:tabs>
        <w:spacing w:after="160" w:line="240" w:lineRule="auto"/>
      </w:pPr>
      <w:bookmarkStart w:id="176" w:name="bookmark176"/>
      <w:bookmarkStart w:id="177" w:name="bookmark177"/>
      <w:r>
        <w:rPr>
          <w:color w:val="231F20"/>
        </w:rPr>
        <w:t>Export naměřených hodnot, grafu</w:t>
      </w:r>
      <w:bookmarkEnd w:id="176"/>
      <w:bookmarkEnd w:id="177"/>
    </w:p>
    <w:p w:rsidR="00215B20" w:rsidRDefault="00FD0AA3">
      <w:pPr>
        <w:pStyle w:val="Zkladntext20"/>
        <w:shd w:val="clear" w:color="auto" w:fill="auto"/>
        <w:spacing w:after="120"/>
        <w:jc w:val="both"/>
      </w:pPr>
      <w:r>
        <w:t>V zákaznickém rozhraní je možné jakýkoli graf, resp. použitá data) exportovat do Excelu nebo PDF dokumentu (např. jako data pro další zpracování). Pro použití využijte nabídku „More...“ dále záložku „Export“</w:t>
      </w:r>
      <w:r>
        <w:t xml:space="preserve"> a zvolte požadovaný datový </w:t>
      </w:r>
      <w:r w:rsidRPr="00920265">
        <w:rPr>
          <w:lang w:eastAsia="en-US" w:bidi="en-US"/>
        </w:rPr>
        <w:t>format.</w:t>
      </w:r>
    </w:p>
    <w:p w:rsidR="00215B20" w:rsidRDefault="00FD0AA3">
      <w:pPr>
        <w:spacing w:line="1" w:lineRule="exact"/>
      </w:pPr>
      <w:r>
        <w:rPr>
          <w:noProof/>
          <w:lang w:bidi="ar-SA"/>
        </w:rPr>
        <w:lastRenderedPageBreak/>
        <w:drawing>
          <wp:anchor distT="139700" distB="0" distL="33655" distR="0" simplePos="0" relativeHeight="125829396" behindDoc="0" locked="0" layoutInCell="1" allowOverlap="1">
            <wp:simplePos x="0" y="0"/>
            <wp:positionH relativeFrom="page">
              <wp:posOffset>738505</wp:posOffset>
            </wp:positionH>
            <wp:positionV relativeFrom="paragraph">
              <wp:posOffset>139700</wp:posOffset>
            </wp:positionV>
            <wp:extent cx="5974080" cy="2670175"/>
            <wp:effectExtent l="0" t="0" r="0" b="0"/>
            <wp:wrapTopAndBottom/>
            <wp:docPr id="221" name="Shape 221"/>
            <wp:cNvGraphicFramePr/>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90"/>
                    <a:stretch/>
                  </pic:blipFill>
                  <pic:spPr>
                    <a:xfrm>
                      <a:off x="0" y="0"/>
                      <a:ext cx="5974080" cy="2670175"/>
                    </a:xfrm>
                    <a:prstGeom prst="rect">
                      <a:avLst/>
                    </a:prstGeom>
                  </pic:spPr>
                </pic:pic>
              </a:graphicData>
            </a:graphic>
          </wp:anchor>
        </w:drawing>
      </w:r>
      <w:r>
        <w:rPr>
          <w:noProof/>
          <w:lang w:bidi="ar-SA"/>
        </w:rPr>
        <mc:AlternateContent>
          <mc:Choice Requires="wps">
            <w:drawing>
              <wp:anchor distT="0" distB="0" distL="0" distR="0" simplePos="0" relativeHeight="251671552" behindDoc="0" locked="0" layoutInCell="1" allowOverlap="1">
                <wp:simplePos x="0" y="0"/>
                <wp:positionH relativeFrom="page">
                  <wp:posOffset>772160</wp:posOffset>
                </wp:positionH>
                <wp:positionV relativeFrom="paragraph">
                  <wp:posOffset>1791970</wp:posOffset>
                </wp:positionV>
                <wp:extent cx="484505" cy="97790"/>
                <wp:effectExtent l="0" t="0" r="0" b="0"/>
                <wp:wrapNone/>
                <wp:docPr id="223" name="Shape 223"/>
                <wp:cNvGraphicFramePr/>
                <a:graphic xmlns:a="http://schemas.openxmlformats.org/drawingml/2006/main">
                  <a:graphicData uri="http://schemas.microsoft.com/office/word/2010/wordprocessingShape">
                    <wps:wsp>
                      <wps:cNvSpPr txBox="1"/>
                      <wps:spPr>
                        <a:xfrm>
                          <a:off x="0" y="0"/>
                          <a:ext cx="484505" cy="97790"/>
                        </a:xfrm>
                        <a:prstGeom prst="rect">
                          <a:avLst/>
                        </a:prstGeom>
                        <a:noFill/>
                      </wps:spPr>
                      <wps:txbx>
                        <w:txbxContent>
                          <w:p w:rsidR="00215B20" w:rsidRDefault="00FD0AA3">
                            <w:pPr>
                              <w:pStyle w:val="Titulekobrzku0"/>
                              <w:shd w:val="clear" w:color="auto" w:fill="auto"/>
                              <w:spacing w:line="240" w:lineRule="auto"/>
                              <w:ind w:firstLine="0"/>
                              <w:rPr>
                                <w:sz w:val="8"/>
                                <w:szCs w:val="8"/>
                              </w:rPr>
                            </w:pPr>
                            <w:r>
                              <w:rPr>
                                <w:smallCaps/>
                                <w:sz w:val="8"/>
                                <w:szCs w:val="8"/>
                              </w:rPr>
                              <w:t>|gN61176</w:t>
                            </w:r>
                            <w:r>
                              <w:rPr>
                                <w:sz w:val="8"/>
                                <w:szCs w:val="8"/>
                              </w:rPr>
                              <w:t xml:space="preserve"> </w:t>
                            </w:r>
                            <w:r>
                              <w:rPr>
                                <w:color w:val="283B8F"/>
                                <w:sz w:val="8"/>
                                <w:szCs w:val="8"/>
                                <w:lang w:val="en-US" w:eastAsia="en-US" w:bidi="en-US"/>
                              </w:rPr>
                              <w:t>Outgoing</w:t>
                            </w:r>
                          </w:p>
                        </w:txbxContent>
                      </wps:txbx>
                      <wps:bodyPr lIns="0" tIns="0" rIns="0" bIns="0"/>
                    </wps:wsp>
                  </a:graphicData>
                </a:graphic>
              </wp:anchor>
            </w:drawing>
          </mc:Choice>
          <mc:Fallback>
            <w:pict>
              <v:shape id="_x0000_s1249" type="#_x0000_t202" style="position:absolute;margin-left:60.799999999999997pt;margin-top:141.09999999999999pt;width:38.149999999999999pt;height:7.7000000000000002pt;z-index:25165775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smallCaps/>
                          <w:spacing w:val="0"/>
                          <w:w w:val="100"/>
                          <w:position w:val="0"/>
                          <w:sz w:val="8"/>
                          <w:szCs w:val="8"/>
                          <w:shd w:val="clear" w:color="auto" w:fill="auto"/>
                          <w:lang w:val="cs-CZ" w:eastAsia="cs-CZ" w:bidi="cs-CZ"/>
                        </w:rPr>
                        <w:t>|gN61176</w:t>
                      </w:r>
                      <w:r>
                        <w:rPr>
                          <w:spacing w:val="0"/>
                          <w:w w:val="100"/>
                          <w:position w:val="0"/>
                          <w:sz w:val="8"/>
                          <w:szCs w:val="8"/>
                          <w:shd w:val="clear" w:color="auto" w:fill="auto"/>
                          <w:lang w:val="cs-CZ" w:eastAsia="cs-CZ" w:bidi="cs-CZ"/>
                        </w:rPr>
                        <w:t xml:space="preserve"> </w:t>
                      </w:r>
                      <w:r>
                        <w:rPr>
                          <w:color w:val="283B8F"/>
                          <w:spacing w:val="0"/>
                          <w:w w:val="100"/>
                          <w:position w:val="0"/>
                          <w:sz w:val="8"/>
                          <w:szCs w:val="8"/>
                          <w:shd w:val="clear" w:color="auto" w:fill="auto"/>
                          <w:lang w:val="en-US" w:eastAsia="en-US" w:bidi="en-US"/>
                        </w:rPr>
                        <w:t>Outgoing</w:t>
                      </w:r>
                    </w:p>
                  </w:txbxContent>
                </v:textbox>
                <w10:wrap anchorx="page"/>
              </v:shape>
            </w:pict>
          </mc:Fallback>
        </mc:AlternateContent>
      </w:r>
      <w:r>
        <w:rPr>
          <w:noProof/>
          <w:lang w:bidi="ar-SA"/>
        </w:rPr>
        <mc:AlternateContent>
          <mc:Choice Requires="wps">
            <w:drawing>
              <wp:anchor distT="0" distB="0" distL="0" distR="0" simplePos="0" relativeHeight="251672576" behindDoc="0" locked="0" layoutInCell="1" allowOverlap="1">
                <wp:simplePos x="0" y="0"/>
                <wp:positionH relativeFrom="page">
                  <wp:posOffset>704850</wp:posOffset>
                </wp:positionH>
                <wp:positionV relativeFrom="paragraph">
                  <wp:posOffset>1953260</wp:posOffset>
                </wp:positionV>
                <wp:extent cx="868680" cy="109855"/>
                <wp:effectExtent l="0" t="0" r="0" b="0"/>
                <wp:wrapNone/>
                <wp:docPr id="225" name="Shape 225"/>
                <wp:cNvGraphicFramePr/>
                <a:graphic xmlns:a="http://schemas.openxmlformats.org/drawingml/2006/main">
                  <a:graphicData uri="http://schemas.microsoft.com/office/word/2010/wordprocessingShape">
                    <wps:wsp>
                      <wps:cNvSpPr txBox="1"/>
                      <wps:spPr>
                        <a:xfrm>
                          <a:off x="0" y="0"/>
                          <a:ext cx="868680" cy="109855"/>
                        </a:xfrm>
                        <a:prstGeom prst="rect">
                          <a:avLst/>
                        </a:prstGeom>
                        <a:noFill/>
                      </wps:spPr>
                      <wps:txbx>
                        <w:txbxContent>
                          <w:p w:rsidR="00215B20" w:rsidRDefault="00FD0AA3">
                            <w:pPr>
                              <w:pStyle w:val="Titulekobrzku0"/>
                              <w:pBdr>
                                <w:top w:val="single" w:sz="0" w:space="0" w:color="015D8E"/>
                                <w:left w:val="single" w:sz="0" w:space="0" w:color="015D8E"/>
                                <w:bottom w:val="single" w:sz="0" w:space="0" w:color="015D8E"/>
                                <w:right w:val="single" w:sz="0" w:space="0" w:color="015D8E"/>
                              </w:pBdr>
                              <w:shd w:val="clear" w:color="auto" w:fill="015D8E"/>
                              <w:spacing w:line="240" w:lineRule="auto"/>
                              <w:ind w:firstLine="0"/>
                              <w:rPr>
                                <w:sz w:val="9"/>
                                <w:szCs w:val="9"/>
                              </w:rPr>
                            </w:pPr>
                            <w:r>
                              <w:rPr>
                                <w:b/>
                                <w:bCs/>
                                <w:color w:val="FFFFFF"/>
                                <w:sz w:val="9"/>
                                <w:szCs w:val="9"/>
                                <w:lang w:val="en-US" w:eastAsia="en-US" w:bidi="en-US"/>
                              </w:rPr>
                              <w:t xml:space="preserve">[AN </w:t>
                            </w:r>
                            <w:r>
                              <w:rPr>
                                <w:b/>
                                <w:bCs/>
                                <w:color w:val="FFFFFF"/>
                                <w:sz w:val="9"/>
                                <w:szCs w:val="9"/>
                              </w:rPr>
                              <w:t>Interface(s) Utflization</w:t>
                            </w:r>
                          </w:p>
                        </w:txbxContent>
                      </wps:txbx>
                      <wps:bodyPr lIns="0" tIns="0" rIns="0" bIns="0"/>
                    </wps:wsp>
                  </a:graphicData>
                </a:graphic>
              </wp:anchor>
            </w:drawing>
          </mc:Choice>
          <mc:Fallback>
            <w:pict>
              <v:shape id="_x0000_s1251" type="#_x0000_t202" style="position:absolute;margin-left:55.5pt;margin-top:153.80000000000001pt;width:68.400000000000006pt;height:8.6500000000000004pt;z-index:251657757;mso-wrap-distance-left:0;mso-wrap-distance-right:0;mso-position-horizontal-relative:page" filled="f" stroked="f">
                <v:textbox inset="0,0,0,0">
                  <w:txbxContent>
                    <w:p>
                      <w:pPr>
                        <w:pStyle w:val="Style2"/>
                        <w:keepNext w:val="0"/>
                        <w:keepLines w:val="0"/>
                        <w:widowControl w:val="0"/>
                        <w:pBdr>
                          <w:top w:val="single" w:sz="0" w:space="0" w:color="015D8E"/>
                          <w:left w:val="single" w:sz="0" w:space="0" w:color="015D8E"/>
                          <w:bottom w:val="single" w:sz="0" w:space="0" w:color="015D8E"/>
                          <w:right w:val="single" w:sz="0" w:space="0" w:color="015D8E"/>
                        </w:pBdr>
                        <w:shd w:val="clear" w:color="auto" w:fill="015D8E"/>
                        <w:bidi w:val="0"/>
                        <w:spacing w:before="0" w:after="0" w:line="240" w:lineRule="auto"/>
                        <w:ind w:left="0" w:right="0" w:firstLine="0"/>
                        <w:jc w:val="left"/>
                        <w:rPr>
                          <w:sz w:val="9"/>
                          <w:szCs w:val="9"/>
                        </w:rPr>
                      </w:pPr>
                      <w:r>
                        <w:rPr>
                          <w:b/>
                          <w:bCs/>
                          <w:color w:val="FFFFFF"/>
                          <w:spacing w:val="0"/>
                          <w:w w:val="100"/>
                          <w:position w:val="0"/>
                          <w:sz w:val="9"/>
                          <w:szCs w:val="9"/>
                          <w:shd w:val="clear" w:color="auto" w:fill="auto"/>
                          <w:lang w:val="en-US" w:eastAsia="en-US" w:bidi="en-US"/>
                        </w:rPr>
                        <w:t xml:space="preserve">[AN </w:t>
                      </w:r>
                      <w:r>
                        <w:rPr>
                          <w:b/>
                          <w:bCs/>
                          <w:color w:val="FFFFFF"/>
                          <w:spacing w:val="0"/>
                          <w:w w:val="100"/>
                          <w:position w:val="0"/>
                          <w:sz w:val="9"/>
                          <w:szCs w:val="9"/>
                          <w:shd w:val="clear" w:color="auto" w:fill="auto"/>
                          <w:lang w:val="cs-CZ" w:eastAsia="cs-CZ" w:bidi="cs-CZ"/>
                        </w:rPr>
                        <w:t>Interface(s) Utflization</w:t>
                      </w:r>
                    </w:p>
                  </w:txbxContent>
                </v:textbox>
                <w10:wrap anchorx="page"/>
              </v:shape>
            </w:pict>
          </mc:Fallback>
        </mc:AlternateContent>
      </w:r>
      <w:r>
        <w:rPr>
          <w:noProof/>
          <w:lang w:bidi="ar-SA"/>
        </w:rPr>
        <mc:AlternateContent>
          <mc:Choice Requires="wps">
            <w:drawing>
              <wp:anchor distT="0" distB="0" distL="0" distR="0" simplePos="0" relativeHeight="251673600" behindDoc="0" locked="0" layoutInCell="1" allowOverlap="1">
                <wp:simplePos x="0" y="0"/>
                <wp:positionH relativeFrom="page">
                  <wp:posOffset>720090</wp:posOffset>
                </wp:positionH>
                <wp:positionV relativeFrom="paragraph">
                  <wp:posOffset>1504950</wp:posOffset>
                </wp:positionV>
                <wp:extent cx="530225" cy="283210"/>
                <wp:effectExtent l="0" t="0" r="0" b="0"/>
                <wp:wrapNone/>
                <wp:docPr id="227" name="Shape 227"/>
                <wp:cNvGraphicFramePr/>
                <a:graphic xmlns:a="http://schemas.openxmlformats.org/drawingml/2006/main">
                  <a:graphicData uri="http://schemas.microsoft.com/office/word/2010/wordprocessingShape">
                    <wps:wsp>
                      <wps:cNvSpPr txBox="1"/>
                      <wps:spPr>
                        <a:xfrm>
                          <a:off x="0" y="0"/>
                          <a:ext cx="530225" cy="283210"/>
                        </a:xfrm>
                        <a:prstGeom prst="rect">
                          <a:avLst/>
                        </a:prstGeom>
                        <a:noFill/>
                      </wps:spPr>
                      <wps:txbx>
                        <w:txbxContent>
                          <w:p w:rsidR="00215B20" w:rsidRDefault="00FD0AA3">
                            <w:pPr>
                              <w:pStyle w:val="Titulekobrzku0"/>
                              <w:shd w:val="clear" w:color="auto" w:fill="auto"/>
                              <w:spacing w:after="200" w:line="240" w:lineRule="auto"/>
                              <w:ind w:firstLine="0"/>
                              <w:rPr>
                                <w:sz w:val="8"/>
                                <w:szCs w:val="8"/>
                              </w:rPr>
                            </w:pPr>
                            <w:r>
                              <w:rPr>
                                <w:color w:val="231F20"/>
                                <w:sz w:val="8"/>
                                <w:szCs w:val="8"/>
                                <w:lang w:val="en-US" w:eastAsia="en-US" w:bidi="en-US"/>
                              </w:rPr>
                              <w:t xml:space="preserve">rows </w:t>
                            </w:r>
                            <w:r>
                              <w:rPr>
                                <w:color w:val="000000"/>
                                <w:sz w:val="8"/>
                                <w:szCs w:val="8"/>
                                <w:lang w:val="en-US" w:eastAsia="en-US" w:bidi="en-US"/>
                              </w:rPr>
                              <w:t>displayed</w:t>
                            </w:r>
                          </w:p>
                          <w:p w:rsidR="00215B20" w:rsidRDefault="00FD0AA3">
                            <w:pPr>
                              <w:pStyle w:val="Titulekobrzku0"/>
                              <w:shd w:val="clear" w:color="auto" w:fill="auto"/>
                              <w:spacing w:line="240" w:lineRule="auto"/>
                              <w:ind w:firstLine="0"/>
                              <w:rPr>
                                <w:sz w:val="8"/>
                                <w:szCs w:val="8"/>
                              </w:rPr>
                            </w:pPr>
                            <w:r>
                              <w:rPr>
                                <w:sz w:val="8"/>
                                <w:szCs w:val="8"/>
                              </w:rPr>
                              <w:t xml:space="preserve">|GN61176 </w:t>
                            </w:r>
                            <w:r>
                              <w:rPr>
                                <w:sz w:val="8"/>
                                <w:szCs w:val="8"/>
                                <w:lang w:val="en-US" w:eastAsia="en-US" w:bidi="en-US"/>
                              </w:rPr>
                              <w:t>Incoming</w:t>
                            </w:r>
                          </w:p>
                        </w:txbxContent>
                      </wps:txbx>
                      <wps:bodyPr lIns="0" tIns="0" rIns="0" bIns="0"/>
                    </wps:wsp>
                  </a:graphicData>
                </a:graphic>
              </wp:anchor>
            </w:drawing>
          </mc:Choice>
          <mc:Fallback>
            <w:pict>
              <v:shape id="_x0000_s1253" type="#_x0000_t202" style="position:absolute;margin-left:56.700000000000003pt;margin-top:118.5pt;width:41.75pt;height:22.300000000000001pt;z-index:251657759;mso-wrap-distance-left:0;mso-wrap-distance-right:0;mso-position-horizontal-relative:page" filled="f" stroked="f">
                <v:textbox inset="0,0,0,0">
                  <w:txbxContent>
                    <w:p>
                      <w:pPr>
                        <w:pStyle w:val="Style2"/>
                        <w:keepNext w:val="0"/>
                        <w:keepLines w:val="0"/>
                        <w:widowControl w:val="0"/>
                        <w:shd w:val="clear" w:color="auto" w:fill="auto"/>
                        <w:bidi w:val="0"/>
                        <w:spacing w:before="0" w:after="200" w:line="240" w:lineRule="auto"/>
                        <w:ind w:left="0" w:right="0" w:firstLine="0"/>
                        <w:jc w:val="left"/>
                        <w:rPr>
                          <w:sz w:val="8"/>
                          <w:szCs w:val="8"/>
                        </w:rPr>
                      </w:pPr>
                      <w:r>
                        <w:rPr>
                          <w:color w:val="231F20"/>
                          <w:spacing w:val="0"/>
                          <w:w w:val="100"/>
                          <w:position w:val="0"/>
                          <w:sz w:val="8"/>
                          <w:szCs w:val="8"/>
                          <w:shd w:val="clear" w:color="auto" w:fill="auto"/>
                          <w:lang w:val="en-US" w:eastAsia="en-US" w:bidi="en-US"/>
                        </w:rPr>
                        <w:t xml:space="preserve">rows </w:t>
                      </w:r>
                      <w:r>
                        <w:rPr>
                          <w:color w:val="000000"/>
                          <w:spacing w:val="0"/>
                          <w:w w:val="100"/>
                          <w:position w:val="0"/>
                          <w:sz w:val="8"/>
                          <w:szCs w:val="8"/>
                          <w:shd w:val="clear" w:color="auto" w:fill="auto"/>
                          <w:lang w:val="en-US" w:eastAsia="en-US" w:bidi="en-US"/>
                        </w:rPr>
                        <w:t>displayed</w:t>
                      </w:r>
                    </w:p>
                    <w:p>
                      <w:pPr>
                        <w:pStyle w:val="Style2"/>
                        <w:keepNext w:val="0"/>
                        <w:keepLines w:val="0"/>
                        <w:widowControl w:val="0"/>
                        <w:shd w:val="clear" w:color="auto" w:fill="auto"/>
                        <w:bidi w:val="0"/>
                        <w:spacing w:before="0" w:after="0" w:line="240" w:lineRule="auto"/>
                        <w:ind w:left="0" w:right="0" w:firstLine="0"/>
                        <w:jc w:val="left"/>
                        <w:rPr>
                          <w:sz w:val="8"/>
                          <w:szCs w:val="8"/>
                        </w:rPr>
                      </w:pPr>
                      <w:r>
                        <w:rPr>
                          <w:spacing w:val="0"/>
                          <w:w w:val="100"/>
                          <w:position w:val="0"/>
                          <w:sz w:val="8"/>
                          <w:szCs w:val="8"/>
                          <w:shd w:val="clear" w:color="auto" w:fill="auto"/>
                          <w:lang w:val="cs-CZ" w:eastAsia="cs-CZ" w:bidi="cs-CZ"/>
                        </w:rPr>
                        <w:t xml:space="preserve">|GN61176 </w:t>
                      </w:r>
                      <w:r>
                        <w:rPr>
                          <w:spacing w:val="0"/>
                          <w:w w:val="100"/>
                          <w:position w:val="0"/>
                          <w:sz w:val="8"/>
                          <w:szCs w:val="8"/>
                          <w:shd w:val="clear" w:color="auto" w:fill="auto"/>
                          <w:lang w:val="en-US" w:eastAsia="en-US" w:bidi="en-US"/>
                        </w:rPr>
                        <w:t>Incoming</w:t>
                      </w:r>
                    </w:p>
                  </w:txbxContent>
                </v:textbox>
                <w10:wrap anchorx="page"/>
              </v:shape>
            </w:pict>
          </mc:Fallback>
        </mc:AlternateContent>
      </w:r>
      <w:r>
        <w:rPr>
          <w:noProof/>
          <w:lang w:bidi="ar-SA"/>
        </w:rPr>
        <mc:AlternateContent>
          <mc:Choice Requires="wps">
            <w:drawing>
              <wp:anchor distT="0" distB="0" distL="0" distR="0" simplePos="0" relativeHeight="251674624" behindDoc="0" locked="0" layoutInCell="1" allowOverlap="1">
                <wp:simplePos x="0" y="0"/>
                <wp:positionH relativeFrom="page">
                  <wp:posOffset>716915</wp:posOffset>
                </wp:positionH>
                <wp:positionV relativeFrom="paragraph">
                  <wp:posOffset>2066290</wp:posOffset>
                </wp:positionV>
                <wp:extent cx="1304290" cy="728345"/>
                <wp:effectExtent l="0" t="0" r="0" b="0"/>
                <wp:wrapNone/>
                <wp:docPr id="229" name="Shape 229"/>
                <wp:cNvGraphicFramePr/>
                <a:graphic xmlns:a="http://schemas.openxmlformats.org/drawingml/2006/main">
                  <a:graphicData uri="http://schemas.microsoft.com/office/word/2010/wordprocessingShape">
                    <wps:wsp>
                      <wps:cNvSpPr txBox="1"/>
                      <wps:spPr>
                        <a:xfrm>
                          <a:off x="0" y="0"/>
                          <a:ext cx="1304290" cy="728345"/>
                        </a:xfrm>
                        <a:prstGeom prst="rect">
                          <a:avLst/>
                        </a:prstGeom>
                        <a:noFill/>
                      </wps:spPr>
                      <wps:txbx>
                        <w:txbxContent>
                          <w:p w:rsidR="00215B20" w:rsidRDefault="00FD0AA3">
                            <w:pPr>
                              <w:pStyle w:val="Titulekobrzku0"/>
                              <w:shd w:val="clear" w:color="auto" w:fill="auto"/>
                              <w:spacing w:line="240" w:lineRule="auto"/>
                              <w:ind w:firstLine="0"/>
                            </w:pPr>
                            <w:r>
                              <w:rPr>
                                <w:color w:val="231F20"/>
                              </w:rPr>
                              <w:t xml:space="preserve">ilization </w:t>
                            </w:r>
                            <w:r>
                              <w:rPr>
                                <w:color w:val="213D66"/>
                              </w:rPr>
                              <w:t xml:space="preserve">(Circuit </w:t>
                            </w:r>
                            <w:r>
                              <w:rPr>
                                <w:color w:val="231F20"/>
                              </w:rPr>
                              <w:t xml:space="preserve">ID:GN61176} </w:t>
                            </w:r>
                            <w:r>
                              <w:rPr>
                                <w:color w:val="000000"/>
                              </w:rPr>
                              <w:t xml:space="preserve">(11.4.13 </w:t>
                            </w:r>
                            <w:r>
                              <w:rPr>
                                <w:color w:val="231F20"/>
                              </w:rPr>
                              <w:t>9:15</w:t>
                            </w:r>
                          </w:p>
                          <w:p w:rsidR="00215B20" w:rsidRDefault="00FD0AA3">
                            <w:pPr>
                              <w:pStyle w:val="Titulekobrzku0"/>
                              <w:shd w:val="clear" w:color="auto" w:fill="auto"/>
                              <w:spacing w:after="40" w:line="240" w:lineRule="auto"/>
                              <w:ind w:firstLine="0"/>
                              <w:rPr>
                                <w:sz w:val="8"/>
                                <w:szCs w:val="8"/>
                              </w:rPr>
                            </w:pPr>
                            <w:r>
                              <w:rPr>
                                <w:color w:val="000000"/>
                                <w:sz w:val="8"/>
                                <w:szCs w:val="8"/>
                              </w:rPr>
                              <w:t>65</w:t>
                            </w:r>
                          </w:p>
                          <w:p w:rsidR="00215B20" w:rsidRDefault="00FD0AA3">
                            <w:pPr>
                              <w:pStyle w:val="Titulekobrzku0"/>
                              <w:shd w:val="clear" w:color="auto" w:fill="auto"/>
                              <w:spacing w:after="40" w:line="240" w:lineRule="auto"/>
                              <w:ind w:firstLine="0"/>
                              <w:rPr>
                                <w:sz w:val="8"/>
                                <w:szCs w:val="8"/>
                              </w:rPr>
                            </w:pPr>
                            <w:r>
                              <w:rPr>
                                <w:color w:val="000000"/>
                                <w:sz w:val="8"/>
                                <w:szCs w:val="8"/>
                              </w:rPr>
                              <w:t>60</w:t>
                            </w:r>
                          </w:p>
                          <w:p w:rsidR="00215B20" w:rsidRDefault="00FD0AA3">
                            <w:pPr>
                              <w:pStyle w:val="Titulekobrzku0"/>
                              <w:shd w:val="clear" w:color="auto" w:fill="auto"/>
                              <w:spacing w:after="40" w:line="240" w:lineRule="auto"/>
                              <w:ind w:firstLine="0"/>
                              <w:rPr>
                                <w:sz w:val="8"/>
                                <w:szCs w:val="8"/>
                              </w:rPr>
                            </w:pPr>
                            <w:r>
                              <w:rPr>
                                <w:color w:val="000000"/>
                                <w:sz w:val="8"/>
                                <w:szCs w:val="8"/>
                              </w:rPr>
                              <w:t>55</w:t>
                            </w:r>
                          </w:p>
                          <w:p w:rsidR="00215B20" w:rsidRDefault="00FD0AA3">
                            <w:pPr>
                              <w:pStyle w:val="Titulekobrzku0"/>
                              <w:shd w:val="clear" w:color="auto" w:fill="auto"/>
                              <w:spacing w:after="40" w:line="240" w:lineRule="auto"/>
                              <w:ind w:firstLine="0"/>
                              <w:rPr>
                                <w:sz w:val="8"/>
                                <w:szCs w:val="8"/>
                              </w:rPr>
                            </w:pPr>
                            <w:r>
                              <w:rPr>
                                <w:color w:val="000000"/>
                                <w:sz w:val="8"/>
                                <w:szCs w:val="8"/>
                              </w:rPr>
                              <w:t>50</w:t>
                            </w:r>
                          </w:p>
                          <w:p w:rsidR="00215B20" w:rsidRDefault="00FD0AA3">
                            <w:pPr>
                              <w:pStyle w:val="Titulekobrzku0"/>
                              <w:shd w:val="clear" w:color="auto" w:fill="auto"/>
                              <w:spacing w:after="40" w:line="240" w:lineRule="auto"/>
                              <w:ind w:firstLine="0"/>
                              <w:rPr>
                                <w:sz w:val="8"/>
                                <w:szCs w:val="8"/>
                              </w:rPr>
                            </w:pPr>
                            <w:r>
                              <w:rPr>
                                <w:color w:val="000000"/>
                                <w:sz w:val="8"/>
                                <w:szCs w:val="8"/>
                              </w:rPr>
                              <w:t>45</w:t>
                            </w:r>
                          </w:p>
                          <w:p w:rsidR="00215B20" w:rsidRDefault="00FD0AA3">
                            <w:pPr>
                              <w:pStyle w:val="Titulekobrzku0"/>
                              <w:shd w:val="clear" w:color="auto" w:fill="auto"/>
                              <w:spacing w:after="40" w:line="240" w:lineRule="auto"/>
                              <w:ind w:firstLine="0"/>
                              <w:rPr>
                                <w:sz w:val="8"/>
                                <w:szCs w:val="8"/>
                              </w:rPr>
                            </w:pPr>
                            <w:r>
                              <w:rPr>
                                <w:color w:val="000000"/>
                                <w:sz w:val="8"/>
                                <w:szCs w:val="8"/>
                              </w:rPr>
                              <w:t>40</w:t>
                            </w:r>
                          </w:p>
                          <w:p w:rsidR="00215B20" w:rsidRDefault="00FD0AA3">
                            <w:pPr>
                              <w:pStyle w:val="Titulekobrzku0"/>
                              <w:shd w:val="clear" w:color="auto" w:fill="auto"/>
                              <w:spacing w:after="40" w:line="240" w:lineRule="auto"/>
                              <w:ind w:firstLine="0"/>
                              <w:rPr>
                                <w:sz w:val="8"/>
                                <w:szCs w:val="8"/>
                              </w:rPr>
                            </w:pPr>
                            <w:r>
                              <w:rPr>
                                <w:color w:val="000000"/>
                                <w:sz w:val="8"/>
                                <w:szCs w:val="8"/>
                              </w:rPr>
                              <w:t>35</w:t>
                            </w:r>
                          </w:p>
                        </w:txbxContent>
                      </wps:txbx>
                      <wps:bodyPr lIns="0" tIns="0" rIns="0" bIns="0"/>
                    </wps:wsp>
                  </a:graphicData>
                </a:graphic>
              </wp:anchor>
            </w:drawing>
          </mc:Choice>
          <mc:Fallback>
            <w:pict>
              <v:shape id="_x0000_s1255" type="#_x0000_t202" style="position:absolute;margin-left:56.450000000000003pt;margin-top:162.69999999999999pt;width:102.7pt;height:57.350000000000001pt;z-index:25165776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cs-CZ" w:eastAsia="cs-CZ" w:bidi="cs-CZ"/>
                        </w:rPr>
                        <w:t xml:space="preserve">ilization </w:t>
                      </w:r>
                      <w:r>
                        <w:rPr>
                          <w:color w:val="213D66"/>
                          <w:spacing w:val="0"/>
                          <w:w w:val="100"/>
                          <w:position w:val="0"/>
                          <w:shd w:val="clear" w:color="auto" w:fill="auto"/>
                          <w:lang w:val="cs-CZ" w:eastAsia="cs-CZ" w:bidi="cs-CZ"/>
                        </w:rPr>
                        <w:t xml:space="preserve">(Circuit </w:t>
                      </w:r>
                      <w:r>
                        <w:rPr>
                          <w:color w:val="231F20"/>
                          <w:spacing w:val="0"/>
                          <w:w w:val="100"/>
                          <w:position w:val="0"/>
                          <w:shd w:val="clear" w:color="auto" w:fill="auto"/>
                          <w:lang w:val="cs-CZ" w:eastAsia="cs-CZ" w:bidi="cs-CZ"/>
                        </w:rPr>
                        <w:t xml:space="preserve">ID:GN61176} </w:t>
                      </w:r>
                      <w:r>
                        <w:rPr>
                          <w:color w:val="000000"/>
                          <w:spacing w:val="0"/>
                          <w:w w:val="100"/>
                          <w:position w:val="0"/>
                          <w:shd w:val="clear" w:color="auto" w:fill="auto"/>
                          <w:lang w:val="cs-CZ" w:eastAsia="cs-CZ" w:bidi="cs-CZ"/>
                        </w:rPr>
                        <w:t xml:space="preserve">(11.4.13 </w:t>
                      </w:r>
                      <w:r>
                        <w:rPr>
                          <w:color w:val="231F20"/>
                          <w:spacing w:val="0"/>
                          <w:w w:val="100"/>
                          <w:position w:val="0"/>
                          <w:shd w:val="clear" w:color="auto" w:fill="auto"/>
                          <w:lang w:val="cs-CZ" w:eastAsia="cs-CZ" w:bidi="cs-CZ"/>
                        </w:rPr>
                        <w:t>9:15</w:t>
                      </w:r>
                    </w:p>
                    <w:p>
                      <w:pPr>
                        <w:pStyle w:val="Style2"/>
                        <w:keepNext w:val="0"/>
                        <w:keepLines w:val="0"/>
                        <w:widowControl w:val="0"/>
                        <w:shd w:val="clear" w:color="auto" w:fill="auto"/>
                        <w:bidi w:val="0"/>
                        <w:spacing w:before="0" w:after="40" w:line="240" w:lineRule="auto"/>
                        <w:ind w:left="0" w:right="0" w:firstLine="0"/>
                        <w:jc w:val="left"/>
                        <w:rPr>
                          <w:sz w:val="8"/>
                          <w:szCs w:val="8"/>
                        </w:rPr>
                      </w:pPr>
                      <w:r>
                        <w:rPr>
                          <w:color w:val="000000"/>
                          <w:spacing w:val="0"/>
                          <w:w w:val="100"/>
                          <w:position w:val="0"/>
                          <w:sz w:val="8"/>
                          <w:szCs w:val="8"/>
                          <w:shd w:val="clear" w:color="auto" w:fill="auto"/>
                          <w:lang w:val="cs-CZ" w:eastAsia="cs-CZ" w:bidi="cs-CZ"/>
                        </w:rPr>
                        <w:t>65</w:t>
                      </w:r>
                    </w:p>
                    <w:p>
                      <w:pPr>
                        <w:pStyle w:val="Style2"/>
                        <w:keepNext w:val="0"/>
                        <w:keepLines w:val="0"/>
                        <w:widowControl w:val="0"/>
                        <w:shd w:val="clear" w:color="auto" w:fill="auto"/>
                        <w:bidi w:val="0"/>
                        <w:spacing w:before="0" w:after="40" w:line="240" w:lineRule="auto"/>
                        <w:ind w:left="0" w:right="0" w:firstLine="0"/>
                        <w:jc w:val="left"/>
                        <w:rPr>
                          <w:sz w:val="8"/>
                          <w:szCs w:val="8"/>
                        </w:rPr>
                      </w:pPr>
                      <w:r>
                        <w:rPr>
                          <w:color w:val="000000"/>
                          <w:spacing w:val="0"/>
                          <w:w w:val="100"/>
                          <w:position w:val="0"/>
                          <w:sz w:val="8"/>
                          <w:szCs w:val="8"/>
                          <w:shd w:val="clear" w:color="auto" w:fill="auto"/>
                          <w:lang w:val="cs-CZ" w:eastAsia="cs-CZ" w:bidi="cs-CZ"/>
                        </w:rPr>
                        <w:t>60</w:t>
                      </w:r>
                    </w:p>
                    <w:p>
                      <w:pPr>
                        <w:pStyle w:val="Style2"/>
                        <w:keepNext w:val="0"/>
                        <w:keepLines w:val="0"/>
                        <w:widowControl w:val="0"/>
                        <w:shd w:val="clear" w:color="auto" w:fill="auto"/>
                        <w:bidi w:val="0"/>
                        <w:spacing w:before="0" w:after="40" w:line="240" w:lineRule="auto"/>
                        <w:ind w:left="0" w:right="0" w:firstLine="0"/>
                        <w:jc w:val="left"/>
                        <w:rPr>
                          <w:sz w:val="8"/>
                          <w:szCs w:val="8"/>
                        </w:rPr>
                      </w:pPr>
                      <w:r>
                        <w:rPr>
                          <w:color w:val="000000"/>
                          <w:spacing w:val="0"/>
                          <w:w w:val="100"/>
                          <w:position w:val="0"/>
                          <w:sz w:val="8"/>
                          <w:szCs w:val="8"/>
                          <w:shd w:val="clear" w:color="auto" w:fill="auto"/>
                          <w:lang w:val="cs-CZ" w:eastAsia="cs-CZ" w:bidi="cs-CZ"/>
                        </w:rPr>
                        <w:t>55</w:t>
                      </w:r>
                    </w:p>
                    <w:p>
                      <w:pPr>
                        <w:pStyle w:val="Style2"/>
                        <w:keepNext w:val="0"/>
                        <w:keepLines w:val="0"/>
                        <w:widowControl w:val="0"/>
                        <w:shd w:val="clear" w:color="auto" w:fill="auto"/>
                        <w:bidi w:val="0"/>
                        <w:spacing w:before="0" w:after="40" w:line="240" w:lineRule="auto"/>
                        <w:ind w:left="0" w:right="0" w:firstLine="0"/>
                        <w:jc w:val="left"/>
                        <w:rPr>
                          <w:sz w:val="8"/>
                          <w:szCs w:val="8"/>
                        </w:rPr>
                      </w:pPr>
                      <w:r>
                        <w:rPr>
                          <w:color w:val="000000"/>
                          <w:spacing w:val="0"/>
                          <w:w w:val="100"/>
                          <w:position w:val="0"/>
                          <w:sz w:val="8"/>
                          <w:szCs w:val="8"/>
                          <w:shd w:val="clear" w:color="auto" w:fill="auto"/>
                          <w:lang w:val="cs-CZ" w:eastAsia="cs-CZ" w:bidi="cs-CZ"/>
                        </w:rPr>
                        <w:t>50</w:t>
                      </w:r>
                    </w:p>
                    <w:p>
                      <w:pPr>
                        <w:pStyle w:val="Style2"/>
                        <w:keepNext w:val="0"/>
                        <w:keepLines w:val="0"/>
                        <w:widowControl w:val="0"/>
                        <w:shd w:val="clear" w:color="auto" w:fill="auto"/>
                        <w:bidi w:val="0"/>
                        <w:spacing w:before="0" w:after="40" w:line="240" w:lineRule="auto"/>
                        <w:ind w:left="0" w:right="0" w:firstLine="0"/>
                        <w:jc w:val="left"/>
                        <w:rPr>
                          <w:sz w:val="8"/>
                          <w:szCs w:val="8"/>
                        </w:rPr>
                      </w:pPr>
                      <w:r>
                        <w:rPr>
                          <w:color w:val="000000"/>
                          <w:spacing w:val="0"/>
                          <w:w w:val="100"/>
                          <w:position w:val="0"/>
                          <w:sz w:val="8"/>
                          <w:szCs w:val="8"/>
                          <w:shd w:val="clear" w:color="auto" w:fill="auto"/>
                          <w:lang w:val="cs-CZ" w:eastAsia="cs-CZ" w:bidi="cs-CZ"/>
                        </w:rPr>
                        <w:t>45</w:t>
                      </w:r>
                    </w:p>
                    <w:p>
                      <w:pPr>
                        <w:pStyle w:val="Style2"/>
                        <w:keepNext w:val="0"/>
                        <w:keepLines w:val="0"/>
                        <w:widowControl w:val="0"/>
                        <w:shd w:val="clear" w:color="auto" w:fill="auto"/>
                        <w:bidi w:val="0"/>
                        <w:spacing w:before="0" w:after="40" w:line="240" w:lineRule="auto"/>
                        <w:ind w:left="0" w:right="0" w:firstLine="0"/>
                        <w:jc w:val="left"/>
                        <w:rPr>
                          <w:sz w:val="8"/>
                          <w:szCs w:val="8"/>
                        </w:rPr>
                      </w:pPr>
                      <w:r>
                        <w:rPr>
                          <w:color w:val="000000"/>
                          <w:spacing w:val="0"/>
                          <w:w w:val="100"/>
                          <w:position w:val="0"/>
                          <w:sz w:val="8"/>
                          <w:szCs w:val="8"/>
                          <w:shd w:val="clear" w:color="auto" w:fill="auto"/>
                          <w:lang w:val="cs-CZ" w:eastAsia="cs-CZ" w:bidi="cs-CZ"/>
                        </w:rPr>
                        <w:t>40</w:t>
                      </w:r>
                    </w:p>
                    <w:p>
                      <w:pPr>
                        <w:pStyle w:val="Style2"/>
                        <w:keepNext w:val="0"/>
                        <w:keepLines w:val="0"/>
                        <w:widowControl w:val="0"/>
                        <w:shd w:val="clear" w:color="auto" w:fill="auto"/>
                        <w:bidi w:val="0"/>
                        <w:spacing w:before="0" w:after="40" w:line="240" w:lineRule="auto"/>
                        <w:ind w:left="0" w:right="0" w:firstLine="0"/>
                        <w:jc w:val="left"/>
                        <w:rPr>
                          <w:sz w:val="8"/>
                          <w:szCs w:val="8"/>
                        </w:rPr>
                      </w:pPr>
                      <w:r>
                        <w:rPr>
                          <w:color w:val="000000"/>
                          <w:spacing w:val="0"/>
                          <w:w w:val="100"/>
                          <w:position w:val="0"/>
                          <w:sz w:val="8"/>
                          <w:szCs w:val="8"/>
                          <w:shd w:val="clear" w:color="auto" w:fill="auto"/>
                          <w:lang w:val="cs-CZ" w:eastAsia="cs-CZ" w:bidi="cs-CZ"/>
                        </w:rPr>
                        <w:t>35</w:t>
                      </w:r>
                    </w:p>
                  </w:txbxContent>
                </v:textbox>
                <w10:wrap anchorx="page"/>
              </v:shape>
            </w:pict>
          </mc:Fallback>
        </mc:AlternateContent>
      </w:r>
      <w:r>
        <w:rPr>
          <w:noProof/>
          <w:lang w:bidi="ar-SA"/>
        </w:rPr>
        <mc:AlternateContent>
          <mc:Choice Requires="wps">
            <w:drawing>
              <wp:anchor distT="0" distB="0" distL="0" distR="0" simplePos="0" relativeHeight="251675648" behindDoc="0" locked="0" layoutInCell="1" allowOverlap="1">
                <wp:simplePos x="0" y="0"/>
                <wp:positionH relativeFrom="page">
                  <wp:posOffset>720090</wp:posOffset>
                </wp:positionH>
                <wp:positionV relativeFrom="paragraph">
                  <wp:posOffset>1346835</wp:posOffset>
                </wp:positionV>
                <wp:extent cx="969010" cy="137160"/>
                <wp:effectExtent l="0" t="0" r="0" b="0"/>
                <wp:wrapNone/>
                <wp:docPr id="231" name="Shape 231"/>
                <wp:cNvGraphicFramePr/>
                <a:graphic xmlns:a="http://schemas.openxmlformats.org/drawingml/2006/main">
                  <a:graphicData uri="http://schemas.microsoft.com/office/word/2010/wordprocessingShape">
                    <wps:wsp>
                      <wps:cNvSpPr txBox="1"/>
                      <wps:spPr>
                        <a:xfrm>
                          <a:off x="0" y="0"/>
                          <a:ext cx="969010" cy="137160"/>
                        </a:xfrm>
                        <a:prstGeom prst="rect">
                          <a:avLst/>
                        </a:prstGeom>
                        <a:noFill/>
                      </wps:spPr>
                      <wps:txbx>
                        <w:txbxContent>
                          <w:p w:rsidR="00215B20" w:rsidRDefault="00FD0AA3">
                            <w:pPr>
                              <w:pStyle w:val="Titulekobrzku0"/>
                              <w:shd w:val="clear" w:color="auto" w:fill="auto"/>
                              <w:spacing w:line="240" w:lineRule="auto"/>
                              <w:ind w:firstLine="0"/>
                            </w:pPr>
                            <w:r>
                              <w:rPr>
                                <w:color w:val="231F20"/>
                                <w:lang w:val="en-US" w:eastAsia="en-US" w:bidi="en-US"/>
                              </w:rPr>
                              <w:t xml:space="preserve">ay </w:t>
                            </w:r>
                            <w:r>
                              <w:rPr>
                                <w:color w:val="213D66"/>
                                <w:lang w:val="en-US" w:eastAsia="en-US" w:bidi="en-US"/>
                              </w:rPr>
                              <w:t xml:space="preserve">week </w:t>
                            </w:r>
                            <w:r>
                              <w:rPr>
                                <w:color w:val="231F20"/>
                                <w:lang w:val="en-US" w:eastAsia="en-US" w:bidi="en-US"/>
                              </w:rPr>
                              <w:t>month Calendar</w:t>
                            </w:r>
                          </w:p>
                        </w:txbxContent>
                      </wps:txbx>
                      <wps:bodyPr lIns="0" tIns="0" rIns="0" bIns="0"/>
                    </wps:wsp>
                  </a:graphicData>
                </a:graphic>
              </wp:anchor>
            </w:drawing>
          </mc:Choice>
          <mc:Fallback>
            <w:pict>
              <v:shape id="_x0000_s1257" type="#_x0000_t202" style="position:absolute;margin-left:56.700000000000003pt;margin-top:106.05pt;width:76.299999999999997pt;height:10.800000000000001pt;z-index:25165776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en-US" w:eastAsia="en-US" w:bidi="en-US"/>
                        </w:rPr>
                        <w:t xml:space="preserve">ay </w:t>
                      </w:r>
                      <w:r>
                        <w:rPr>
                          <w:color w:val="213D66"/>
                          <w:spacing w:val="0"/>
                          <w:w w:val="100"/>
                          <w:position w:val="0"/>
                          <w:shd w:val="clear" w:color="auto" w:fill="auto"/>
                          <w:lang w:val="en-US" w:eastAsia="en-US" w:bidi="en-US"/>
                        </w:rPr>
                        <w:t xml:space="preserve">week </w:t>
                      </w:r>
                      <w:r>
                        <w:rPr>
                          <w:color w:val="231F20"/>
                          <w:spacing w:val="0"/>
                          <w:w w:val="100"/>
                          <w:position w:val="0"/>
                          <w:shd w:val="clear" w:color="auto" w:fill="auto"/>
                          <w:lang w:val="en-US" w:eastAsia="en-US" w:bidi="en-US"/>
                        </w:rPr>
                        <w:t>month Calendar</w:t>
                      </w:r>
                    </w:p>
                  </w:txbxContent>
                </v:textbox>
                <w10:wrap anchorx="page"/>
              </v:shape>
            </w:pict>
          </mc:Fallback>
        </mc:AlternateContent>
      </w:r>
      <w:r>
        <w:rPr>
          <w:noProof/>
          <w:lang w:bidi="ar-SA"/>
        </w:rPr>
        <mc:AlternateContent>
          <mc:Choice Requires="wps">
            <w:drawing>
              <wp:anchor distT="0" distB="0" distL="0" distR="0" simplePos="0" relativeHeight="251676672" behindDoc="0" locked="0" layoutInCell="1" allowOverlap="1">
                <wp:simplePos x="0" y="0"/>
                <wp:positionH relativeFrom="page">
                  <wp:posOffset>2025015</wp:posOffset>
                </wp:positionH>
                <wp:positionV relativeFrom="paragraph">
                  <wp:posOffset>2066290</wp:posOffset>
                </wp:positionV>
                <wp:extent cx="1024255" cy="100330"/>
                <wp:effectExtent l="0" t="0" r="0" b="0"/>
                <wp:wrapNone/>
                <wp:docPr id="233" name="Shape 233"/>
                <wp:cNvGraphicFramePr/>
                <a:graphic xmlns:a="http://schemas.openxmlformats.org/drawingml/2006/main">
                  <a:graphicData uri="http://schemas.microsoft.com/office/word/2010/wordprocessingShape">
                    <wps:wsp>
                      <wps:cNvSpPr txBox="1"/>
                      <wps:spPr>
                        <a:xfrm>
                          <a:off x="0" y="0"/>
                          <a:ext cx="1024255" cy="100330"/>
                        </a:xfrm>
                        <a:prstGeom prst="rect">
                          <a:avLst/>
                        </a:prstGeom>
                        <a:noFill/>
                      </wps:spPr>
                      <wps:txbx>
                        <w:txbxContent>
                          <w:p w:rsidR="00215B20" w:rsidRDefault="00FD0AA3">
                            <w:pPr>
                              <w:pStyle w:val="Titulekobrzku0"/>
                              <w:shd w:val="clear" w:color="auto" w:fill="auto"/>
                              <w:spacing w:line="240" w:lineRule="auto"/>
                              <w:ind w:firstLine="0"/>
                            </w:pPr>
                            <w:r>
                              <w:rPr>
                                <w:color w:val="000000"/>
                              </w:rPr>
                              <w:t>- 12.4.13 9:19 CEST (UTC+0200}}</w:t>
                            </w:r>
                          </w:p>
                        </w:txbxContent>
                      </wps:txbx>
                      <wps:bodyPr lIns="0" tIns="0" rIns="0" bIns="0"/>
                    </wps:wsp>
                  </a:graphicData>
                </a:graphic>
              </wp:anchor>
            </w:drawing>
          </mc:Choice>
          <mc:Fallback>
            <w:pict>
              <v:shape id="_x0000_s1259" type="#_x0000_t202" style="position:absolute;margin-left:159.44999999999999pt;margin-top:162.69999999999999pt;width:80.650000000000006pt;height:7.9000000000000004pt;z-index:25165776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- 12.4.13 9:19 CEST (UTC+0200}}</w:t>
                      </w:r>
                    </w:p>
                  </w:txbxContent>
                </v:textbox>
                <w10:wrap anchorx="page"/>
              </v:shape>
            </w:pict>
          </mc:Fallback>
        </mc:AlternateContent>
      </w:r>
      <w:r>
        <w:rPr>
          <w:noProof/>
          <w:lang w:bidi="ar-SA"/>
        </w:rPr>
        <mc:AlternateContent>
          <mc:Choice Requires="wps">
            <w:drawing>
              <wp:anchor distT="0" distB="0" distL="0" distR="0" simplePos="0" relativeHeight="251677696" behindDoc="0" locked="0" layoutInCell="1" allowOverlap="1">
                <wp:simplePos x="0" y="0"/>
                <wp:positionH relativeFrom="page">
                  <wp:posOffset>1713865</wp:posOffset>
                </wp:positionH>
                <wp:positionV relativeFrom="paragraph">
                  <wp:posOffset>1258570</wp:posOffset>
                </wp:positionV>
                <wp:extent cx="1752600" cy="228600"/>
                <wp:effectExtent l="0" t="0" r="0" b="0"/>
                <wp:wrapNone/>
                <wp:docPr id="235" name="Shape 235"/>
                <wp:cNvGraphicFramePr/>
                <a:graphic xmlns:a="http://schemas.openxmlformats.org/drawingml/2006/main">
                  <a:graphicData uri="http://schemas.microsoft.com/office/word/2010/wordprocessingShape">
                    <wps:wsp>
                      <wps:cNvSpPr txBox="1"/>
                      <wps:spPr>
                        <a:xfrm>
                          <a:off x="0" y="0"/>
                          <a:ext cx="1752600" cy="228600"/>
                        </a:xfrm>
                        <a:prstGeom prst="rect">
                          <a:avLst/>
                        </a:prstGeom>
                        <a:noFill/>
                      </wps:spPr>
                      <wps:txbx>
                        <w:txbxContent>
                          <w:p w:rsidR="00215B20" w:rsidRDefault="00FD0AA3">
                            <w:pPr>
                              <w:pStyle w:val="Titulekobrzku0"/>
                              <w:shd w:val="clear" w:color="auto" w:fill="auto"/>
                              <w:tabs>
                                <w:tab w:val="left" w:pos="379"/>
                              </w:tabs>
                              <w:spacing w:line="240" w:lineRule="auto"/>
                              <w:ind w:firstLine="0"/>
                              <w:rPr>
                                <w:sz w:val="8"/>
                                <w:szCs w:val="8"/>
                              </w:rPr>
                            </w:pPr>
                            <w:r>
                              <w:rPr>
                                <w:color w:val="000000"/>
                                <w:sz w:val="8"/>
                                <w:szCs w:val="8"/>
                              </w:rPr>
                              <w:t>13:00</w:t>
                            </w:r>
                            <w:r>
                              <w:rPr>
                                <w:color w:val="000000"/>
                                <w:sz w:val="8"/>
                                <w:szCs w:val="8"/>
                              </w:rPr>
                              <w:tab/>
                              <w:t>14:00</w:t>
                            </w:r>
                          </w:p>
                          <w:p w:rsidR="00215B20" w:rsidRDefault="00FD0AA3">
                            <w:pPr>
                              <w:pStyle w:val="Titulekobrzku0"/>
                              <w:shd w:val="clear" w:color="auto" w:fill="auto"/>
                              <w:spacing w:line="240" w:lineRule="auto"/>
                              <w:ind w:firstLine="0"/>
                            </w:pPr>
                            <w:r>
                              <w:rPr>
                                <w:color w:val="6B6C6F"/>
                                <w:u w:val="single"/>
                              </w:rPr>
                              <w:t>R| &gt; im</w:t>
                            </w:r>
                            <w:r>
                              <w:rPr>
                                <w:color w:val="6B6C6F"/>
                              </w:rPr>
                              <w:t xml:space="preserve">n </w:t>
                            </w:r>
                            <w:r>
                              <w:rPr>
                                <w:color w:val="929292"/>
                                <w:lang w:val="en-US" w:eastAsia="en-US" w:bidi="en-US"/>
                              </w:rPr>
                              <w:t xml:space="preserve">I </w:t>
                            </w:r>
                            <w:r>
                              <w:rPr>
                                <w:color w:val="6B6C6F"/>
                                <w:u w:val="single"/>
                                <w:lang w:val="en-US" w:eastAsia="en-US" w:bidi="en-US"/>
                              </w:rPr>
                              <w:t>Apply t</w:t>
                            </w:r>
                            <w:r>
                              <w:rPr>
                                <w:color w:val="6B6C6F"/>
                                <w:lang w:val="en-US" w:eastAsia="en-US" w:bidi="en-US"/>
                              </w:rPr>
                              <w:t xml:space="preserve">o </w:t>
                            </w:r>
                            <w:r>
                              <w:rPr>
                                <w:color w:val="231F20"/>
                                <w:lang w:val="en-US" w:eastAsia="en-US" w:bidi="en-US"/>
                              </w:rPr>
                              <w:t xml:space="preserve">all </w:t>
                            </w:r>
                            <w:r>
                              <w:rPr>
                                <w:color w:val="611F26"/>
                                <w:lang w:val="en-US" w:eastAsia="en-US" w:bidi="en-US"/>
                              </w:rPr>
                              <w:t xml:space="preserve">Reset </w:t>
                            </w:r>
                            <w:r>
                              <w:rPr>
                                <w:color w:val="611F26"/>
                              </w:rPr>
                              <w:t xml:space="preserve">Popu </w:t>
                            </w:r>
                            <w:r>
                              <w:rPr>
                                <w:color w:val="D92026"/>
                              </w:rPr>
                              <w:t xml:space="preserve">j </w:t>
                            </w:r>
                            <w:r>
                              <w:t>More...</w:t>
                            </w:r>
                          </w:p>
                        </w:txbxContent>
                      </wps:txbx>
                      <wps:bodyPr lIns="0" tIns="0" rIns="0" bIns="0"/>
                    </wps:wsp>
                  </a:graphicData>
                </a:graphic>
              </wp:anchor>
            </w:drawing>
          </mc:Choice>
          <mc:Fallback>
            <w:pict>
              <v:shape id="_x0000_s1261" type="#_x0000_t202" style="position:absolute;margin-left:134.94999999999999pt;margin-top:99.099999999999994pt;width:138.pt;height:18.pt;z-index:251657767;mso-wrap-distance-left:0;mso-wrap-distance-right:0;mso-position-horizontal-relative:page" filled="f" stroked="f">
                <v:textbox inset="0,0,0,0">
                  <w:txbxContent>
                    <w:p>
                      <w:pPr>
                        <w:pStyle w:val="Style2"/>
                        <w:keepNext w:val="0"/>
                        <w:keepLines w:val="0"/>
                        <w:widowControl w:val="0"/>
                        <w:shd w:val="clear" w:color="auto" w:fill="auto"/>
                        <w:tabs>
                          <w:tab w:pos="379" w:val="left"/>
                        </w:tabs>
                        <w:bidi w:val="0"/>
                        <w:spacing w:before="0" w:after="0" w:line="240" w:lineRule="auto"/>
                        <w:ind w:left="0" w:right="0" w:firstLine="0"/>
                        <w:jc w:val="left"/>
                        <w:rPr>
                          <w:sz w:val="8"/>
                          <w:szCs w:val="8"/>
                        </w:rPr>
                      </w:pPr>
                      <w:r>
                        <w:rPr>
                          <w:color w:val="000000"/>
                          <w:spacing w:val="0"/>
                          <w:w w:val="100"/>
                          <w:position w:val="0"/>
                          <w:sz w:val="8"/>
                          <w:szCs w:val="8"/>
                          <w:shd w:val="clear" w:color="auto" w:fill="auto"/>
                          <w:lang w:val="cs-CZ" w:eastAsia="cs-CZ" w:bidi="cs-CZ"/>
                        </w:rPr>
                        <w:t>13:00</w:t>
                        <w:tab/>
                        <w:t>14:00</w:t>
                      </w:r>
                    </w:p>
                    <w:p>
                      <w:pPr>
                        <w:pStyle w:val="Style2"/>
                        <w:keepNext w:val="0"/>
                        <w:keepLines w:val="0"/>
                        <w:widowControl w:val="0"/>
                        <w:shd w:val="clear" w:color="auto" w:fill="auto"/>
                        <w:bidi w:val="0"/>
                        <w:spacing w:before="0" w:after="0" w:line="240" w:lineRule="auto"/>
                        <w:ind w:left="0" w:right="0" w:firstLine="0"/>
                        <w:jc w:val="left"/>
                      </w:pPr>
                      <w:r>
                        <w:rPr>
                          <w:color w:val="6B6C6F"/>
                          <w:spacing w:val="0"/>
                          <w:w w:val="100"/>
                          <w:position w:val="0"/>
                          <w:u w:val="single"/>
                          <w:shd w:val="clear" w:color="auto" w:fill="auto"/>
                          <w:lang w:val="cs-CZ" w:eastAsia="cs-CZ" w:bidi="cs-CZ"/>
                        </w:rPr>
                        <w:t>R| &gt; im</w:t>
                      </w:r>
                      <w:r>
                        <w:rPr>
                          <w:color w:val="6B6C6F"/>
                          <w:spacing w:val="0"/>
                          <w:w w:val="100"/>
                          <w:position w:val="0"/>
                          <w:shd w:val="clear" w:color="auto" w:fill="auto"/>
                          <w:lang w:val="cs-CZ" w:eastAsia="cs-CZ" w:bidi="cs-CZ"/>
                        </w:rPr>
                        <w:t xml:space="preserve">n </w:t>
                      </w:r>
                      <w:r>
                        <w:rPr>
                          <w:color w:val="929292"/>
                          <w:spacing w:val="0"/>
                          <w:w w:val="100"/>
                          <w:position w:val="0"/>
                          <w:shd w:val="clear" w:color="auto" w:fill="auto"/>
                          <w:lang w:val="en-US" w:eastAsia="en-US" w:bidi="en-US"/>
                        </w:rPr>
                        <w:t xml:space="preserve">I </w:t>
                      </w:r>
                      <w:r>
                        <w:rPr>
                          <w:color w:val="6B6C6F"/>
                          <w:spacing w:val="0"/>
                          <w:w w:val="100"/>
                          <w:position w:val="0"/>
                          <w:u w:val="single"/>
                          <w:shd w:val="clear" w:color="auto" w:fill="auto"/>
                          <w:lang w:val="en-US" w:eastAsia="en-US" w:bidi="en-US"/>
                        </w:rPr>
                        <w:t>Apply t</w:t>
                      </w:r>
                      <w:r>
                        <w:rPr>
                          <w:color w:val="6B6C6F"/>
                          <w:spacing w:val="0"/>
                          <w:w w:val="100"/>
                          <w:position w:val="0"/>
                          <w:shd w:val="clear" w:color="auto" w:fill="auto"/>
                          <w:lang w:val="en-US" w:eastAsia="en-US" w:bidi="en-US"/>
                        </w:rPr>
                        <w:t xml:space="preserve">o </w:t>
                      </w:r>
                      <w:r>
                        <w:rPr>
                          <w:color w:val="231F20"/>
                          <w:spacing w:val="0"/>
                          <w:w w:val="100"/>
                          <w:position w:val="0"/>
                          <w:shd w:val="clear" w:color="auto" w:fill="auto"/>
                          <w:lang w:val="en-US" w:eastAsia="en-US" w:bidi="en-US"/>
                        </w:rPr>
                        <w:t xml:space="preserve">all </w:t>
                      </w:r>
                      <w:r>
                        <w:rPr>
                          <w:color w:val="611F26"/>
                          <w:spacing w:val="0"/>
                          <w:w w:val="100"/>
                          <w:position w:val="0"/>
                          <w:shd w:val="clear" w:color="auto" w:fill="auto"/>
                          <w:lang w:val="en-US" w:eastAsia="en-US" w:bidi="en-US"/>
                        </w:rPr>
                        <w:t xml:space="preserve">Reset </w:t>
                      </w:r>
                      <w:r>
                        <w:rPr>
                          <w:color w:val="611F26"/>
                          <w:spacing w:val="0"/>
                          <w:w w:val="100"/>
                          <w:position w:val="0"/>
                          <w:shd w:val="clear" w:color="auto" w:fill="auto"/>
                          <w:lang w:val="cs-CZ" w:eastAsia="cs-CZ" w:bidi="cs-CZ"/>
                        </w:rPr>
                        <w:t xml:space="preserve">Popu </w:t>
                      </w:r>
                      <w:r>
                        <w:rPr>
                          <w:color w:val="D92026"/>
                          <w:spacing w:val="0"/>
                          <w:w w:val="100"/>
                          <w:position w:val="0"/>
                          <w:shd w:val="clear" w:color="auto" w:fill="auto"/>
                          <w:lang w:val="cs-CZ" w:eastAsia="cs-CZ" w:bidi="cs-CZ"/>
                        </w:rPr>
                        <w:t xml:space="preserve">j </w:t>
                      </w:r>
                      <w:r>
                        <w:rPr>
                          <w:spacing w:val="0"/>
                          <w:w w:val="100"/>
                          <w:position w:val="0"/>
                          <w:shd w:val="clear" w:color="auto" w:fill="auto"/>
                          <w:lang w:val="cs-CZ" w:eastAsia="cs-CZ" w:bidi="cs-CZ"/>
                        </w:rPr>
                        <w:t>More...</w:t>
                      </w:r>
                    </w:p>
                  </w:txbxContent>
                </v:textbox>
                <w10:wrap anchorx="page"/>
              </v:shape>
            </w:pict>
          </mc:Fallback>
        </mc:AlternateContent>
      </w:r>
      <w:r>
        <w:rPr>
          <w:noProof/>
          <w:lang w:bidi="ar-SA"/>
        </w:rPr>
        <mc:AlternateContent>
          <mc:Choice Requires="wps">
            <w:drawing>
              <wp:anchor distT="725170" distB="1539240" distL="0" distR="0" simplePos="0" relativeHeight="125829397" behindDoc="0" locked="0" layoutInCell="1" allowOverlap="1">
                <wp:simplePos x="0" y="0"/>
                <wp:positionH relativeFrom="page">
                  <wp:posOffset>3481705</wp:posOffset>
                </wp:positionH>
                <wp:positionV relativeFrom="paragraph">
                  <wp:posOffset>725170</wp:posOffset>
                </wp:positionV>
                <wp:extent cx="2987040" cy="54229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2987040" cy="54229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773"/>
                              <w:gridCol w:w="3845"/>
                              <w:gridCol w:w="86"/>
                            </w:tblGrid>
                            <w:tr w:rsidR="00215B20">
                              <w:tblPrEx>
                                <w:tblCellMar>
                                  <w:top w:w="0" w:type="dxa"/>
                                  <w:bottom w:w="0" w:type="dxa"/>
                                </w:tblCellMar>
                              </w:tblPrEx>
                              <w:trPr>
                                <w:trHeight w:hRule="exact" w:val="130"/>
                                <w:tblHeader/>
                              </w:trPr>
                              <w:tc>
                                <w:tcPr>
                                  <w:tcW w:w="773" w:type="dxa"/>
                                  <w:tcBorders>
                                    <w:left w:val="single" w:sz="4" w:space="0" w:color="auto"/>
                                  </w:tcBorders>
                                  <w:shd w:val="clear" w:color="auto" w:fill="025D8E"/>
                                </w:tcPr>
                                <w:p w:rsidR="00215B20" w:rsidRDefault="00FD0AA3">
                                  <w:pPr>
                                    <w:pStyle w:val="Jin0"/>
                                    <w:pBdr>
                                      <w:top w:val="single" w:sz="0" w:space="0" w:color="015D8E"/>
                                      <w:left w:val="single" w:sz="0" w:space="0" w:color="015D8E"/>
                                      <w:bottom w:val="single" w:sz="0" w:space="0" w:color="015D8E"/>
                                      <w:right w:val="single" w:sz="0" w:space="0" w:color="015D8E"/>
                                    </w:pBdr>
                                    <w:shd w:val="clear" w:color="auto" w:fill="015D8E"/>
                                    <w:spacing w:after="0" w:line="240" w:lineRule="auto"/>
                                    <w:rPr>
                                      <w:sz w:val="8"/>
                                      <w:szCs w:val="8"/>
                                    </w:rPr>
                                  </w:pPr>
                                  <w:r>
                                    <w:rPr>
                                      <w:b/>
                                      <w:bCs/>
                                      <w:color w:val="FFFFFF"/>
                                      <w:sz w:val="8"/>
                                      <w:szCs w:val="8"/>
                                    </w:rPr>
                                    <w:t>1 Download</w:t>
                                  </w:r>
                                </w:p>
                              </w:tc>
                              <w:tc>
                                <w:tcPr>
                                  <w:tcW w:w="3845" w:type="dxa"/>
                                  <w:shd w:val="clear" w:color="auto" w:fill="025D8E"/>
                                </w:tcPr>
                                <w:p w:rsidR="00215B20" w:rsidRDefault="00FD0AA3">
                                  <w:pPr>
                                    <w:pStyle w:val="Jin0"/>
                                    <w:pBdr>
                                      <w:top w:val="single" w:sz="0" w:space="0" w:color="015D8E"/>
                                      <w:left w:val="single" w:sz="0" w:space="0" w:color="015D8E"/>
                                      <w:bottom w:val="single" w:sz="0" w:space="0" w:color="015D8E"/>
                                      <w:right w:val="single" w:sz="0" w:space="0" w:color="015D8E"/>
                                    </w:pBdr>
                                    <w:shd w:val="clear" w:color="auto" w:fill="015D8E"/>
                                    <w:spacing w:after="0" w:line="240" w:lineRule="auto"/>
                                    <w:jc w:val="center"/>
                                    <w:rPr>
                                      <w:sz w:val="8"/>
                                      <w:szCs w:val="8"/>
                                    </w:rPr>
                                  </w:pPr>
                                  <w:r>
                                    <w:rPr>
                                      <w:b/>
                                      <w:bCs/>
                                      <w:color w:val="FAE2C1"/>
                                      <w:sz w:val="8"/>
                                      <w:szCs w:val="8"/>
                                      <w:lang w:val="en-US" w:eastAsia="en-US" w:bidi="en-US"/>
                                    </w:rPr>
                                    <w:t>Description</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44"/>
                              </w:trPr>
                              <w:tc>
                                <w:tcPr>
                                  <w:tcW w:w="773" w:type="dxa"/>
                                  <w:tcBorders>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658CC6"/>
                                      <w:sz w:val="8"/>
                                      <w:szCs w:val="8"/>
                                    </w:rPr>
                                    <w:t>png</w:t>
                                  </w:r>
                                </w:p>
                              </w:tc>
                              <w:tc>
                                <w:tcPr>
                                  <w:tcW w:w="3845" w:type="dxa"/>
                                  <w:tcBorders>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213D66"/>
                                      <w:sz w:val="8"/>
                                      <w:szCs w:val="8"/>
                                      <w:lang w:val="en-US" w:eastAsia="en-US" w:bidi="en-US"/>
                                    </w:rPr>
                                    <w:t xml:space="preserve">Portable </w:t>
                                  </w:r>
                                  <w:r>
                                    <w:rPr>
                                      <w:color w:val="6B6C6F"/>
                                      <w:sz w:val="8"/>
                                      <w:szCs w:val="8"/>
                                    </w:rPr>
                                    <w:t xml:space="preserve">Network </w:t>
                                  </w:r>
                                  <w:r>
                                    <w:rPr>
                                      <w:color w:val="213D66"/>
                                      <w:sz w:val="8"/>
                                      <w:szCs w:val="8"/>
                                      <w:lang w:val="en-US" w:eastAsia="en-US" w:bidi="en-US"/>
                                    </w:rPr>
                                    <w:t>Graphics, a lossless image format.</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44"/>
                              </w:trPr>
                              <w:tc>
                                <w:tcPr>
                                  <w:tcW w:w="773"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658CC6"/>
                                      <w:sz w:val="8"/>
                                      <w:szCs w:val="8"/>
                                    </w:rPr>
                                    <w:t>pdf</w:t>
                                  </w:r>
                                </w:p>
                              </w:tc>
                              <w:tc>
                                <w:tcPr>
                                  <w:tcW w:w="3845"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sidRPr="00920265">
                                    <w:rPr>
                                      <w:color w:val="213D66"/>
                                      <w:sz w:val="8"/>
                                      <w:szCs w:val="8"/>
                                      <w:lang w:val="fr-FR" w:eastAsia="en-US" w:bidi="en-US"/>
                                    </w:rPr>
                                    <w:t xml:space="preserve">Portable </w:t>
                                  </w:r>
                                  <w:r w:rsidRPr="00920265">
                                    <w:rPr>
                                      <w:color w:val="444444"/>
                                      <w:sz w:val="8"/>
                                      <w:szCs w:val="8"/>
                                      <w:lang w:val="fr-FR" w:eastAsia="en-US" w:bidi="en-US"/>
                                    </w:rPr>
                                    <w:t xml:space="preserve">Document </w:t>
                                  </w:r>
                                  <w:r w:rsidRPr="00920265">
                                    <w:rPr>
                                      <w:color w:val="213D66"/>
                                      <w:sz w:val="8"/>
                                      <w:szCs w:val="8"/>
                                      <w:lang w:val="fr-FR" w:eastAsia="en-US" w:bidi="en-US"/>
                                    </w:rPr>
                                    <w:t xml:space="preserve">Format, </w:t>
                                  </w:r>
                                  <w:r w:rsidRPr="00920265">
                                    <w:rPr>
                                      <w:color w:val="6B6C6F"/>
                                      <w:sz w:val="8"/>
                                      <w:szCs w:val="8"/>
                                      <w:lang w:val="fr-FR" w:eastAsia="en-US" w:bidi="en-US"/>
                                    </w:rPr>
                                    <w:t xml:space="preserve">vector </w:t>
                                  </w:r>
                                  <w:r w:rsidRPr="00920265">
                                    <w:rPr>
                                      <w:color w:val="444444"/>
                                      <w:sz w:val="8"/>
                                      <w:szCs w:val="8"/>
                                      <w:lang w:val="fr-FR" w:eastAsia="en-US" w:bidi="en-US"/>
                                    </w:rPr>
                                    <w:t>graphics format.</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44"/>
                              </w:trPr>
                              <w:tc>
                                <w:tcPr>
                                  <w:tcW w:w="773"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rFonts w:ascii="Times New Roman" w:eastAsia="Times New Roman" w:hAnsi="Times New Roman" w:cs="Times New Roman"/>
                                      <w:b/>
                                      <w:bCs/>
                                      <w:color w:val="658CC6"/>
                                      <w:sz w:val="8"/>
                                      <w:szCs w:val="8"/>
                                      <w:lang w:val="en-US" w:eastAsia="en-US" w:bidi="en-US"/>
                                    </w:rPr>
                                    <w:t>CSV</w:t>
                                  </w:r>
                                </w:p>
                              </w:tc>
                              <w:tc>
                                <w:tcPr>
                                  <w:tcW w:w="3845"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213D66"/>
                                      <w:sz w:val="8"/>
                                      <w:szCs w:val="8"/>
                                      <w:lang w:val="en-US" w:eastAsia="en-US" w:bidi="en-US"/>
                                    </w:rPr>
                                    <w:t xml:space="preserve">Comma </w:t>
                                  </w:r>
                                  <w:r>
                                    <w:rPr>
                                      <w:sz w:val="8"/>
                                      <w:szCs w:val="8"/>
                                      <w:lang w:val="en-US" w:eastAsia="en-US" w:bidi="en-US"/>
                                    </w:rPr>
                                    <w:t xml:space="preserve">Separated </w:t>
                                  </w:r>
                                  <w:r>
                                    <w:rPr>
                                      <w:color w:val="213D66"/>
                                      <w:sz w:val="8"/>
                                      <w:szCs w:val="8"/>
                                      <w:lang w:val="en-US" w:eastAsia="en-US" w:bidi="en-US"/>
                                    </w:rPr>
                                    <w:t xml:space="preserve">Values, simple text based numeric </w:t>
                                  </w:r>
                                  <w:r>
                                    <w:rPr>
                                      <w:sz w:val="8"/>
                                      <w:szCs w:val="8"/>
                                      <w:lang w:val="en-US" w:eastAsia="en-US" w:bidi="en-US"/>
                                    </w:rPr>
                                    <w:t xml:space="preserve">data </w:t>
                                  </w:r>
                                  <w:r>
                                    <w:rPr>
                                      <w:color w:val="213D66"/>
                                      <w:sz w:val="8"/>
                                      <w:szCs w:val="8"/>
                                      <w:lang w:val="en-US" w:eastAsia="en-US" w:bidi="en-US"/>
                                    </w:rPr>
                                    <w:t>format</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54"/>
                              </w:trPr>
                              <w:tc>
                                <w:tcPr>
                                  <w:tcW w:w="77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658CC6"/>
                                      <w:sz w:val="8"/>
                                      <w:szCs w:val="8"/>
                                    </w:rPr>
                                    <w:t>xls</w:t>
                                  </w:r>
                                </w:p>
                              </w:tc>
                              <w:tc>
                                <w:tcPr>
                                  <w:tcW w:w="3845"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213D66"/>
                                      <w:sz w:val="8"/>
                                      <w:szCs w:val="8"/>
                                      <w:lang w:val="en-US" w:eastAsia="en-US" w:bidi="en-US"/>
                                    </w:rPr>
                                    <w:t>Excel spread sheet, numeric data format.</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39"/>
                              </w:trPr>
                              <w:tc>
                                <w:tcPr>
                                  <w:tcW w:w="773" w:type="dxa"/>
                                  <w:tcBorders>
                                    <w:top w:val="single" w:sz="4" w:space="0" w:color="auto"/>
                                    <w:left w:val="single" w:sz="4" w:space="0" w:color="auto"/>
                                    <w:bottom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658CC6"/>
                                      <w:sz w:val="8"/>
                                      <w:szCs w:val="8"/>
                                    </w:rPr>
                                    <w:t>json</w:t>
                                  </w:r>
                                </w:p>
                              </w:tc>
                              <w:tc>
                                <w:tcPr>
                                  <w:tcW w:w="3845" w:type="dxa"/>
                                  <w:tcBorders>
                                    <w:top w:val="single" w:sz="4" w:space="0" w:color="auto"/>
                                    <w:left w:val="single" w:sz="4" w:space="0" w:color="auto"/>
                                    <w:bottom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213D66"/>
                                      <w:sz w:val="8"/>
                                      <w:szCs w:val="8"/>
                                      <w:lang w:val="en-US" w:eastAsia="en-US" w:bidi="en-US"/>
                                    </w:rPr>
                                    <w:t xml:space="preserve">JavaScript Object Notation, structured </w:t>
                                  </w:r>
                                  <w:r>
                                    <w:rPr>
                                      <w:sz w:val="8"/>
                                      <w:szCs w:val="8"/>
                                      <w:lang w:val="en-US" w:eastAsia="en-US" w:bidi="en-US"/>
                                    </w:rPr>
                                    <w:t xml:space="preserve">textual data </w:t>
                                  </w:r>
                                  <w:r>
                                    <w:rPr>
                                      <w:color w:val="213D66"/>
                                      <w:sz w:val="8"/>
                                      <w:szCs w:val="8"/>
                                      <w:lang w:val="en-US" w:eastAsia="en-US" w:bidi="en-US"/>
                                    </w:rPr>
                                    <w:t>format</w:t>
                                  </w:r>
                                </w:p>
                              </w:tc>
                              <w:tc>
                                <w:tcPr>
                                  <w:tcW w:w="86" w:type="dxa"/>
                                  <w:tcBorders>
                                    <w:left w:val="single" w:sz="4" w:space="0" w:color="auto"/>
                                    <w:bottom w:val="single" w:sz="4" w:space="0" w:color="auto"/>
                                    <w:right w:val="single" w:sz="4" w:space="0" w:color="auto"/>
                                  </w:tcBorders>
                                  <w:shd w:val="clear" w:color="auto" w:fill="FFFFFF"/>
                                </w:tcPr>
                                <w:p w:rsidR="00215B20" w:rsidRDefault="00215B20">
                                  <w:pPr>
                                    <w:rPr>
                                      <w:sz w:val="10"/>
                                      <w:szCs w:val="10"/>
                                    </w:rPr>
                                  </w:pPr>
                                </w:p>
                              </w:tc>
                            </w:tr>
                          </w:tbl>
                          <w:p w:rsidR="00215B20" w:rsidRDefault="00215B20">
                            <w:pPr>
                              <w:spacing w:line="1" w:lineRule="exact"/>
                            </w:pPr>
                          </w:p>
                        </w:txbxContent>
                      </wps:txbx>
                      <wps:bodyPr lIns="0" tIns="0" rIns="0" bIns="0"/>
                    </wps:wsp>
                  </a:graphicData>
                </a:graphic>
              </wp:anchor>
            </w:drawing>
          </mc:Choice>
          <mc:Fallback>
            <w:pict>
              <v:shape id="Shape 237" o:spid="_x0000_s1052" type="#_x0000_t202" style="position:absolute;margin-left:274.15pt;margin-top:57.1pt;width:235.2pt;height:42.7pt;z-index:125829397;visibility:visible;mso-wrap-style:square;mso-wrap-distance-left:0;mso-wrap-distance-top:57.1pt;mso-wrap-distance-right:0;mso-wrap-distance-bottom:12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773"/>
                        <w:gridCol w:w="3845"/>
                        <w:gridCol w:w="86"/>
                      </w:tblGrid>
                      <w:tr w:rsidR="00215B20">
                        <w:tblPrEx>
                          <w:tblCellMar>
                            <w:top w:w="0" w:type="dxa"/>
                            <w:bottom w:w="0" w:type="dxa"/>
                          </w:tblCellMar>
                        </w:tblPrEx>
                        <w:trPr>
                          <w:trHeight w:hRule="exact" w:val="130"/>
                          <w:tblHeader/>
                        </w:trPr>
                        <w:tc>
                          <w:tcPr>
                            <w:tcW w:w="773" w:type="dxa"/>
                            <w:tcBorders>
                              <w:left w:val="single" w:sz="4" w:space="0" w:color="auto"/>
                            </w:tcBorders>
                            <w:shd w:val="clear" w:color="auto" w:fill="025D8E"/>
                          </w:tcPr>
                          <w:p w:rsidR="00215B20" w:rsidRDefault="00FD0AA3">
                            <w:pPr>
                              <w:pStyle w:val="Jin0"/>
                              <w:pBdr>
                                <w:top w:val="single" w:sz="0" w:space="0" w:color="015D8E"/>
                                <w:left w:val="single" w:sz="0" w:space="0" w:color="015D8E"/>
                                <w:bottom w:val="single" w:sz="0" w:space="0" w:color="015D8E"/>
                                <w:right w:val="single" w:sz="0" w:space="0" w:color="015D8E"/>
                              </w:pBdr>
                              <w:shd w:val="clear" w:color="auto" w:fill="015D8E"/>
                              <w:spacing w:after="0" w:line="240" w:lineRule="auto"/>
                              <w:rPr>
                                <w:sz w:val="8"/>
                                <w:szCs w:val="8"/>
                              </w:rPr>
                            </w:pPr>
                            <w:r>
                              <w:rPr>
                                <w:b/>
                                <w:bCs/>
                                <w:color w:val="FFFFFF"/>
                                <w:sz w:val="8"/>
                                <w:szCs w:val="8"/>
                              </w:rPr>
                              <w:t>1 Download</w:t>
                            </w:r>
                          </w:p>
                        </w:tc>
                        <w:tc>
                          <w:tcPr>
                            <w:tcW w:w="3845" w:type="dxa"/>
                            <w:shd w:val="clear" w:color="auto" w:fill="025D8E"/>
                          </w:tcPr>
                          <w:p w:rsidR="00215B20" w:rsidRDefault="00FD0AA3">
                            <w:pPr>
                              <w:pStyle w:val="Jin0"/>
                              <w:pBdr>
                                <w:top w:val="single" w:sz="0" w:space="0" w:color="015D8E"/>
                                <w:left w:val="single" w:sz="0" w:space="0" w:color="015D8E"/>
                                <w:bottom w:val="single" w:sz="0" w:space="0" w:color="015D8E"/>
                                <w:right w:val="single" w:sz="0" w:space="0" w:color="015D8E"/>
                              </w:pBdr>
                              <w:shd w:val="clear" w:color="auto" w:fill="015D8E"/>
                              <w:spacing w:after="0" w:line="240" w:lineRule="auto"/>
                              <w:jc w:val="center"/>
                              <w:rPr>
                                <w:sz w:val="8"/>
                                <w:szCs w:val="8"/>
                              </w:rPr>
                            </w:pPr>
                            <w:r>
                              <w:rPr>
                                <w:b/>
                                <w:bCs/>
                                <w:color w:val="FAE2C1"/>
                                <w:sz w:val="8"/>
                                <w:szCs w:val="8"/>
                                <w:lang w:val="en-US" w:eastAsia="en-US" w:bidi="en-US"/>
                              </w:rPr>
                              <w:t>Description</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44"/>
                        </w:trPr>
                        <w:tc>
                          <w:tcPr>
                            <w:tcW w:w="773" w:type="dxa"/>
                            <w:tcBorders>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658CC6"/>
                                <w:sz w:val="8"/>
                                <w:szCs w:val="8"/>
                              </w:rPr>
                              <w:t>png</w:t>
                            </w:r>
                          </w:p>
                        </w:tc>
                        <w:tc>
                          <w:tcPr>
                            <w:tcW w:w="3845" w:type="dxa"/>
                            <w:tcBorders>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213D66"/>
                                <w:sz w:val="8"/>
                                <w:szCs w:val="8"/>
                                <w:lang w:val="en-US" w:eastAsia="en-US" w:bidi="en-US"/>
                              </w:rPr>
                              <w:t xml:space="preserve">Portable </w:t>
                            </w:r>
                            <w:r>
                              <w:rPr>
                                <w:color w:val="6B6C6F"/>
                                <w:sz w:val="8"/>
                                <w:szCs w:val="8"/>
                              </w:rPr>
                              <w:t xml:space="preserve">Network </w:t>
                            </w:r>
                            <w:r>
                              <w:rPr>
                                <w:color w:val="213D66"/>
                                <w:sz w:val="8"/>
                                <w:szCs w:val="8"/>
                                <w:lang w:val="en-US" w:eastAsia="en-US" w:bidi="en-US"/>
                              </w:rPr>
                              <w:t>Graphics, a lossless image format.</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44"/>
                        </w:trPr>
                        <w:tc>
                          <w:tcPr>
                            <w:tcW w:w="773"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658CC6"/>
                                <w:sz w:val="8"/>
                                <w:szCs w:val="8"/>
                              </w:rPr>
                              <w:t>pdf</w:t>
                            </w:r>
                          </w:p>
                        </w:tc>
                        <w:tc>
                          <w:tcPr>
                            <w:tcW w:w="3845"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sidRPr="00920265">
                              <w:rPr>
                                <w:color w:val="213D66"/>
                                <w:sz w:val="8"/>
                                <w:szCs w:val="8"/>
                                <w:lang w:val="fr-FR" w:eastAsia="en-US" w:bidi="en-US"/>
                              </w:rPr>
                              <w:t xml:space="preserve">Portable </w:t>
                            </w:r>
                            <w:r w:rsidRPr="00920265">
                              <w:rPr>
                                <w:color w:val="444444"/>
                                <w:sz w:val="8"/>
                                <w:szCs w:val="8"/>
                                <w:lang w:val="fr-FR" w:eastAsia="en-US" w:bidi="en-US"/>
                              </w:rPr>
                              <w:t xml:space="preserve">Document </w:t>
                            </w:r>
                            <w:r w:rsidRPr="00920265">
                              <w:rPr>
                                <w:color w:val="213D66"/>
                                <w:sz w:val="8"/>
                                <w:szCs w:val="8"/>
                                <w:lang w:val="fr-FR" w:eastAsia="en-US" w:bidi="en-US"/>
                              </w:rPr>
                              <w:t xml:space="preserve">Format, </w:t>
                            </w:r>
                            <w:r w:rsidRPr="00920265">
                              <w:rPr>
                                <w:color w:val="6B6C6F"/>
                                <w:sz w:val="8"/>
                                <w:szCs w:val="8"/>
                                <w:lang w:val="fr-FR" w:eastAsia="en-US" w:bidi="en-US"/>
                              </w:rPr>
                              <w:t xml:space="preserve">vector </w:t>
                            </w:r>
                            <w:r w:rsidRPr="00920265">
                              <w:rPr>
                                <w:color w:val="444444"/>
                                <w:sz w:val="8"/>
                                <w:szCs w:val="8"/>
                                <w:lang w:val="fr-FR" w:eastAsia="en-US" w:bidi="en-US"/>
                              </w:rPr>
                              <w:t>graphics format.</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44"/>
                        </w:trPr>
                        <w:tc>
                          <w:tcPr>
                            <w:tcW w:w="773"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rFonts w:ascii="Times New Roman" w:eastAsia="Times New Roman" w:hAnsi="Times New Roman" w:cs="Times New Roman"/>
                                <w:b/>
                                <w:bCs/>
                                <w:color w:val="658CC6"/>
                                <w:sz w:val="8"/>
                                <w:szCs w:val="8"/>
                                <w:lang w:val="en-US" w:eastAsia="en-US" w:bidi="en-US"/>
                              </w:rPr>
                              <w:t>CSV</w:t>
                            </w:r>
                          </w:p>
                        </w:tc>
                        <w:tc>
                          <w:tcPr>
                            <w:tcW w:w="3845" w:type="dxa"/>
                            <w:tcBorders>
                              <w:top w:val="single" w:sz="4" w:space="0" w:color="auto"/>
                              <w:left w:val="single" w:sz="4" w:space="0" w:color="auto"/>
                            </w:tcBorders>
                            <w:shd w:val="clear" w:color="auto" w:fill="FFFFFF"/>
                            <w:vAlign w:val="bottom"/>
                          </w:tcPr>
                          <w:p w:rsidR="00215B20" w:rsidRDefault="00FD0AA3">
                            <w:pPr>
                              <w:pStyle w:val="Jin0"/>
                              <w:shd w:val="clear" w:color="auto" w:fill="auto"/>
                              <w:spacing w:after="0" w:line="240" w:lineRule="auto"/>
                              <w:rPr>
                                <w:sz w:val="8"/>
                                <w:szCs w:val="8"/>
                              </w:rPr>
                            </w:pPr>
                            <w:r>
                              <w:rPr>
                                <w:color w:val="213D66"/>
                                <w:sz w:val="8"/>
                                <w:szCs w:val="8"/>
                                <w:lang w:val="en-US" w:eastAsia="en-US" w:bidi="en-US"/>
                              </w:rPr>
                              <w:t xml:space="preserve">Comma </w:t>
                            </w:r>
                            <w:r>
                              <w:rPr>
                                <w:sz w:val="8"/>
                                <w:szCs w:val="8"/>
                                <w:lang w:val="en-US" w:eastAsia="en-US" w:bidi="en-US"/>
                              </w:rPr>
                              <w:t xml:space="preserve">Separated </w:t>
                            </w:r>
                            <w:r>
                              <w:rPr>
                                <w:color w:val="213D66"/>
                                <w:sz w:val="8"/>
                                <w:szCs w:val="8"/>
                                <w:lang w:val="en-US" w:eastAsia="en-US" w:bidi="en-US"/>
                              </w:rPr>
                              <w:t xml:space="preserve">Values, simple text based numeric </w:t>
                            </w:r>
                            <w:r>
                              <w:rPr>
                                <w:sz w:val="8"/>
                                <w:szCs w:val="8"/>
                                <w:lang w:val="en-US" w:eastAsia="en-US" w:bidi="en-US"/>
                              </w:rPr>
                              <w:t xml:space="preserve">data </w:t>
                            </w:r>
                            <w:r>
                              <w:rPr>
                                <w:color w:val="213D66"/>
                                <w:sz w:val="8"/>
                                <w:szCs w:val="8"/>
                                <w:lang w:val="en-US" w:eastAsia="en-US" w:bidi="en-US"/>
                              </w:rPr>
                              <w:t>format</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54"/>
                        </w:trPr>
                        <w:tc>
                          <w:tcPr>
                            <w:tcW w:w="773"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658CC6"/>
                                <w:sz w:val="8"/>
                                <w:szCs w:val="8"/>
                              </w:rPr>
                              <w:t>xls</w:t>
                            </w:r>
                          </w:p>
                        </w:tc>
                        <w:tc>
                          <w:tcPr>
                            <w:tcW w:w="3845" w:type="dxa"/>
                            <w:tcBorders>
                              <w:top w:val="single" w:sz="4" w:space="0" w:color="auto"/>
                              <w:left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213D66"/>
                                <w:sz w:val="8"/>
                                <w:szCs w:val="8"/>
                                <w:lang w:val="en-US" w:eastAsia="en-US" w:bidi="en-US"/>
                              </w:rPr>
                              <w:t>Excel spread sheet, numeric data format.</w:t>
                            </w:r>
                          </w:p>
                        </w:tc>
                        <w:tc>
                          <w:tcPr>
                            <w:tcW w:w="86" w:type="dxa"/>
                            <w:tcBorders>
                              <w:left w:val="single" w:sz="4" w:space="0" w:color="auto"/>
                              <w:righ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139"/>
                        </w:trPr>
                        <w:tc>
                          <w:tcPr>
                            <w:tcW w:w="773" w:type="dxa"/>
                            <w:tcBorders>
                              <w:top w:val="single" w:sz="4" w:space="0" w:color="auto"/>
                              <w:left w:val="single" w:sz="4" w:space="0" w:color="auto"/>
                              <w:bottom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658CC6"/>
                                <w:sz w:val="8"/>
                                <w:szCs w:val="8"/>
                              </w:rPr>
                              <w:t>json</w:t>
                            </w:r>
                          </w:p>
                        </w:tc>
                        <w:tc>
                          <w:tcPr>
                            <w:tcW w:w="3845" w:type="dxa"/>
                            <w:tcBorders>
                              <w:top w:val="single" w:sz="4" w:space="0" w:color="auto"/>
                              <w:left w:val="single" w:sz="4" w:space="0" w:color="auto"/>
                              <w:bottom w:val="single" w:sz="4" w:space="0" w:color="auto"/>
                            </w:tcBorders>
                            <w:shd w:val="clear" w:color="auto" w:fill="FFFFFF"/>
                          </w:tcPr>
                          <w:p w:rsidR="00215B20" w:rsidRDefault="00FD0AA3">
                            <w:pPr>
                              <w:pStyle w:val="Jin0"/>
                              <w:shd w:val="clear" w:color="auto" w:fill="auto"/>
                              <w:spacing w:after="0" w:line="240" w:lineRule="auto"/>
                              <w:rPr>
                                <w:sz w:val="8"/>
                                <w:szCs w:val="8"/>
                              </w:rPr>
                            </w:pPr>
                            <w:r>
                              <w:rPr>
                                <w:color w:val="213D66"/>
                                <w:sz w:val="8"/>
                                <w:szCs w:val="8"/>
                                <w:lang w:val="en-US" w:eastAsia="en-US" w:bidi="en-US"/>
                              </w:rPr>
                              <w:t xml:space="preserve">JavaScript Object Notation, structured </w:t>
                            </w:r>
                            <w:r>
                              <w:rPr>
                                <w:sz w:val="8"/>
                                <w:szCs w:val="8"/>
                                <w:lang w:val="en-US" w:eastAsia="en-US" w:bidi="en-US"/>
                              </w:rPr>
                              <w:t xml:space="preserve">textual data </w:t>
                            </w:r>
                            <w:r>
                              <w:rPr>
                                <w:color w:val="213D66"/>
                                <w:sz w:val="8"/>
                                <w:szCs w:val="8"/>
                                <w:lang w:val="en-US" w:eastAsia="en-US" w:bidi="en-US"/>
                              </w:rPr>
                              <w:t>format</w:t>
                            </w:r>
                          </w:p>
                        </w:tc>
                        <w:tc>
                          <w:tcPr>
                            <w:tcW w:w="86" w:type="dxa"/>
                            <w:tcBorders>
                              <w:left w:val="single" w:sz="4" w:space="0" w:color="auto"/>
                              <w:bottom w:val="single" w:sz="4" w:space="0" w:color="auto"/>
                              <w:right w:val="single" w:sz="4" w:space="0" w:color="auto"/>
                            </w:tcBorders>
                            <w:shd w:val="clear" w:color="auto" w:fill="FFFFFF"/>
                          </w:tcPr>
                          <w:p w:rsidR="00215B20" w:rsidRDefault="00215B20">
                            <w:pPr>
                              <w:rPr>
                                <w:sz w:val="10"/>
                                <w:szCs w:val="10"/>
                              </w:rPr>
                            </w:pPr>
                          </w:p>
                        </w:tc>
                      </w:tr>
                    </w:tbl>
                    <w:p w:rsidR="00215B20" w:rsidRDefault="00215B20">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678720" behindDoc="0" locked="0" layoutInCell="1" allowOverlap="1">
                <wp:simplePos x="0" y="0"/>
                <wp:positionH relativeFrom="page">
                  <wp:posOffset>3734435</wp:posOffset>
                </wp:positionH>
                <wp:positionV relativeFrom="paragraph">
                  <wp:posOffset>584835</wp:posOffset>
                </wp:positionV>
                <wp:extent cx="374650" cy="115570"/>
                <wp:effectExtent l="0" t="0" r="0" b="0"/>
                <wp:wrapNone/>
                <wp:docPr id="239" name="Shape 239"/>
                <wp:cNvGraphicFramePr/>
                <a:graphic xmlns:a="http://schemas.openxmlformats.org/drawingml/2006/main">
                  <a:graphicData uri="http://schemas.microsoft.com/office/word/2010/wordprocessingShape">
                    <wps:wsp>
                      <wps:cNvSpPr txBox="1"/>
                      <wps:spPr>
                        <a:xfrm>
                          <a:off x="0" y="0"/>
                          <a:ext cx="374650" cy="115570"/>
                        </a:xfrm>
                        <a:prstGeom prst="rect">
                          <a:avLst/>
                        </a:prstGeom>
                        <a:noFill/>
                      </wps:spPr>
                      <wps:txbx>
                        <w:txbxContent>
                          <w:p w:rsidR="00215B20" w:rsidRDefault="00FD0AA3">
                            <w:pPr>
                              <w:pStyle w:val="Titulektabulky0"/>
                              <w:shd w:val="clear" w:color="auto" w:fill="auto"/>
                              <w:rPr>
                                <w:sz w:val="11"/>
                                <w:szCs w:val="11"/>
                              </w:rPr>
                            </w:pPr>
                            <w:r>
                              <w:rPr>
                                <w:color w:val="D92026"/>
                                <w:sz w:val="11"/>
                                <w:szCs w:val="11"/>
                              </w:rPr>
                              <w:t xml:space="preserve">I </w:t>
                            </w:r>
                            <w:r>
                              <w:rPr>
                                <w:sz w:val="11"/>
                                <w:szCs w:val="11"/>
                              </w:rPr>
                              <w:t>Export</w:t>
                            </w:r>
                          </w:p>
                        </w:txbxContent>
                      </wps:txbx>
                      <wps:bodyPr lIns="0" tIns="0" rIns="0" bIns="0"/>
                    </wps:wsp>
                  </a:graphicData>
                </a:graphic>
              </wp:anchor>
            </w:drawing>
          </mc:Choice>
          <mc:Fallback>
            <w:pict>
              <v:shape id="_x0000_s1265" type="#_x0000_t202" style="position:absolute;margin-left:294.05000000000001pt;margin-top:46.049999999999997pt;width:29.5pt;height:9.0999999999999996pt;z-index:251657769;mso-wrap-distance-left:0;mso-wrap-distance-right:0;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rPr>
                          <w:sz w:val="11"/>
                          <w:szCs w:val="11"/>
                        </w:rPr>
                      </w:pPr>
                      <w:r>
                        <w:rPr>
                          <w:color w:val="D92026"/>
                          <w:spacing w:val="0"/>
                          <w:w w:val="100"/>
                          <w:position w:val="0"/>
                          <w:sz w:val="11"/>
                          <w:szCs w:val="11"/>
                          <w:shd w:val="clear" w:color="auto" w:fill="auto"/>
                          <w:lang w:val="cs-CZ" w:eastAsia="cs-CZ" w:bidi="cs-CZ"/>
                        </w:rPr>
                        <w:t xml:space="preserve">I </w:t>
                      </w:r>
                      <w:r>
                        <w:rPr>
                          <w:spacing w:val="0"/>
                          <w:w w:val="100"/>
                          <w:position w:val="0"/>
                          <w:sz w:val="11"/>
                          <w:szCs w:val="11"/>
                          <w:shd w:val="clear" w:color="auto" w:fill="auto"/>
                          <w:lang w:val="cs-CZ" w:eastAsia="cs-CZ" w:bidi="cs-CZ"/>
                        </w:rPr>
                        <w:t>Export</w:t>
                      </w:r>
                    </w:p>
                  </w:txbxContent>
                </v:textbox>
                <w10:wrap anchorx="page"/>
              </v:shape>
            </w:pict>
          </mc:Fallback>
        </mc:AlternateContent>
      </w:r>
      <w:r>
        <w:br w:type="page"/>
      </w:r>
    </w:p>
    <w:p w:rsidR="00215B20" w:rsidRDefault="00FD0AA3">
      <w:pPr>
        <w:pStyle w:val="Nadpis60"/>
        <w:keepNext/>
        <w:keepLines/>
        <w:numPr>
          <w:ilvl w:val="1"/>
          <w:numId w:val="13"/>
        </w:numPr>
        <w:shd w:val="clear" w:color="auto" w:fill="auto"/>
        <w:tabs>
          <w:tab w:val="left" w:pos="459"/>
        </w:tabs>
        <w:spacing w:after="140" w:line="240" w:lineRule="auto"/>
      </w:pPr>
      <w:bookmarkStart w:id="178" w:name="bookmark178"/>
      <w:bookmarkStart w:id="179" w:name="bookmark179"/>
      <w:r>
        <w:rPr>
          <w:color w:val="231F20"/>
        </w:rPr>
        <w:lastRenderedPageBreak/>
        <w:t>Filtr zobrazení</w:t>
      </w:r>
      <w:bookmarkEnd w:id="178"/>
      <w:bookmarkEnd w:id="179"/>
    </w:p>
    <w:p w:rsidR="00215B20" w:rsidRDefault="00FD0AA3">
      <w:pPr>
        <w:pStyle w:val="Zkladntext20"/>
        <w:shd w:val="clear" w:color="auto" w:fill="auto"/>
        <w:spacing w:after="40"/>
      </w:pPr>
      <w:r>
        <w:t xml:space="preserve">Pro filtrování zobrazených rozhraní (resp. QoS tříd) stačí požadované rozhraní (resp. QoS třídu) zapsat do příslušného </w:t>
      </w:r>
      <w:r w:rsidRPr="00920265">
        <w:rPr>
          <w:lang w:eastAsia="en-US" w:bidi="en-US"/>
        </w:rPr>
        <w:t xml:space="preserve">pole “Filter...“, </w:t>
      </w:r>
      <w:r>
        <w:t xml:space="preserve">v případě požadavku na filtraci více rozhraní stačí v příslušném poli </w:t>
      </w:r>
      <w:r w:rsidRPr="00920265">
        <w:rPr>
          <w:lang w:eastAsia="en-US" w:bidi="en-US"/>
        </w:rPr>
        <w:t xml:space="preserve">„Filter...“ </w:t>
      </w:r>
      <w:r>
        <w:t>jednotlivé rozhraní oddělit čárkou. A</w:t>
      </w:r>
      <w:r>
        <w:t>lternativně, klikněte na požadované rohraní (resp. QoS třídu) v tabulce pod grafem. Při výběru více rozhraní (resp. QoS tříd) podržte tlačítko Ctrl.</w:t>
      </w:r>
    </w:p>
    <w:p w:rsidR="00215B20" w:rsidRDefault="00FD0AA3">
      <w:pPr>
        <w:jc w:val="center"/>
        <w:rPr>
          <w:sz w:val="2"/>
          <w:szCs w:val="2"/>
        </w:rPr>
      </w:pPr>
      <w:r>
        <w:rPr>
          <w:noProof/>
          <w:lang w:bidi="ar-SA"/>
        </w:rPr>
        <w:drawing>
          <wp:inline distT="0" distB="0" distL="0" distR="0">
            <wp:extent cx="5974080" cy="2170430"/>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1"/>
                    <a:stretch/>
                  </pic:blipFill>
                  <pic:spPr>
                    <a:xfrm>
                      <a:off x="0" y="0"/>
                      <a:ext cx="5974080" cy="2170430"/>
                    </a:xfrm>
                    <a:prstGeom prst="rect">
                      <a:avLst/>
                    </a:prstGeom>
                  </pic:spPr>
                </pic:pic>
              </a:graphicData>
            </a:graphic>
          </wp:inline>
        </w:drawing>
      </w:r>
    </w:p>
    <w:p w:rsidR="00215B20" w:rsidRDefault="00215B20">
      <w:pPr>
        <w:spacing w:after="139" w:line="1" w:lineRule="exact"/>
      </w:pPr>
    </w:p>
    <w:p w:rsidR="00215B20" w:rsidRDefault="00FD0AA3">
      <w:pPr>
        <w:pStyle w:val="Nadpis60"/>
        <w:keepNext/>
        <w:keepLines/>
        <w:numPr>
          <w:ilvl w:val="1"/>
          <w:numId w:val="13"/>
        </w:numPr>
        <w:shd w:val="clear" w:color="auto" w:fill="auto"/>
        <w:tabs>
          <w:tab w:val="left" w:pos="459"/>
        </w:tabs>
        <w:spacing w:after="140" w:line="240" w:lineRule="auto"/>
      </w:pPr>
      <w:bookmarkStart w:id="180" w:name="bookmark180"/>
      <w:bookmarkStart w:id="181" w:name="bookmark181"/>
      <w:r>
        <w:rPr>
          <w:color w:val="231F20"/>
          <w:lang w:val="en-US" w:eastAsia="en-US" w:bidi="en-US"/>
        </w:rPr>
        <w:t>Zoom</w:t>
      </w:r>
      <w:bookmarkEnd w:id="180"/>
      <w:bookmarkEnd w:id="181"/>
    </w:p>
    <w:p w:rsidR="00215B20" w:rsidRDefault="00FD0AA3">
      <w:pPr>
        <w:pStyle w:val="Zkladntext20"/>
        <w:shd w:val="clear" w:color="auto" w:fill="auto"/>
        <w:spacing w:after="40" w:line="394" w:lineRule="auto"/>
      </w:pPr>
      <w:r>
        <w:t xml:space="preserve">Pro zvětšení požadované části grafu jednoduše označete vybranou oblast přímo v grafu (podržením </w:t>
      </w:r>
      <w:r>
        <w:t>levého tlačítka myši). Pro zvětšení grafu lze použít také tlačítka + a -.</w:t>
      </w:r>
    </w:p>
    <w:p w:rsidR="00215B20" w:rsidRDefault="00FD0AA3">
      <w:pPr>
        <w:framePr w:w="7579" w:h="3931" w:wrap="notBeside" w:vAnchor="text" w:hAnchor="text" w:x="1059" w:y="1"/>
        <w:rPr>
          <w:sz w:val="2"/>
          <w:szCs w:val="2"/>
        </w:rPr>
      </w:pPr>
      <w:r>
        <w:rPr>
          <w:noProof/>
          <w:lang w:bidi="ar-SA"/>
        </w:rPr>
        <w:drawing>
          <wp:inline distT="0" distB="0" distL="0" distR="0">
            <wp:extent cx="4815840" cy="2499360"/>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92"/>
                    <a:stretch/>
                  </pic:blipFill>
                  <pic:spPr>
                    <a:xfrm>
                      <a:off x="0" y="0"/>
                      <a:ext cx="4815840" cy="2499360"/>
                    </a:xfrm>
                    <a:prstGeom prst="rect">
                      <a:avLst/>
                    </a:prstGeom>
                  </pic:spPr>
                </pic:pic>
              </a:graphicData>
            </a:graphic>
          </wp:inline>
        </w:drawing>
      </w:r>
    </w:p>
    <w:p w:rsidR="00215B20" w:rsidRDefault="00FD0AA3">
      <w:pPr>
        <w:spacing w:line="1" w:lineRule="exact"/>
      </w:pPr>
      <w:r>
        <w:rPr>
          <w:noProof/>
          <w:lang w:bidi="ar-SA"/>
        </w:rPr>
        <mc:AlternateContent>
          <mc:Choice Requires="wps">
            <w:drawing>
              <wp:anchor distT="0" distB="0" distL="671830" distR="5217160" simplePos="0" relativeHeight="125829399" behindDoc="0" locked="0" layoutInCell="1" allowOverlap="1">
                <wp:simplePos x="0" y="0"/>
                <wp:positionH relativeFrom="column">
                  <wp:posOffset>4387215</wp:posOffset>
                </wp:positionH>
                <wp:positionV relativeFrom="paragraph">
                  <wp:posOffset>2334895</wp:posOffset>
                </wp:positionV>
                <wp:extent cx="267970" cy="8509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267970" cy="85090"/>
                        </a:xfrm>
                        <a:prstGeom prst="rect">
                          <a:avLst/>
                        </a:prstGeom>
                        <a:noFill/>
                      </wps:spPr>
                      <wps:txbx>
                        <w:txbxContent>
                          <w:p w:rsidR="00215B20" w:rsidRDefault="00FD0AA3">
                            <w:pPr>
                              <w:pStyle w:val="Titulekobrzku0"/>
                              <w:shd w:val="clear" w:color="auto" w:fill="auto"/>
                              <w:spacing w:line="240" w:lineRule="auto"/>
                              <w:ind w:firstLine="0"/>
                              <w:rPr>
                                <w:sz w:val="8"/>
                                <w:szCs w:val="8"/>
                              </w:rPr>
                            </w:pPr>
                            <w:r>
                              <w:rPr>
                                <w:b/>
                                <w:bCs/>
                                <w:sz w:val="8"/>
                                <w:szCs w:val="8"/>
                              </w:rPr>
                              <w:t>0.00587</w:t>
                            </w:r>
                          </w:p>
                        </w:txbxContent>
                      </wps:txbx>
                      <wps:bodyPr lIns="0" tIns="0" rIns="0" bIns="0"/>
                    </wps:wsp>
                  </a:graphicData>
                </a:graphic>
              </wp:anchor>
            </w:drawing>
          </mc:Choice>
          <mc:Fallback>
            <w:pict>
              <v:shape id="_x0000_s1269" type="#_x0000_t202" style="position:absolute;margin-left:345.44999999999999pt;margin-top:183.84999999999999pt;width:21.100000000000001pt;height:6.7000000000000002pt;z-index:-125829354;mso-wrap-distance-left:52.899999999999999pt;mso-wrap-distance-right:410.80000000000001pt"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b/>
                          <w:bCs/>
                          <w:spacing w:val="0"/>
                          <w:w w:val="100"/>
                          <w:position w:val="0"/>
                          <w:sz w:val="8"/>
                          <w:szCs w:val="8"/>
                          <w:shd w:val="clear" w:color="auto" w:fill="auto"/>
                          <w:lang w:val="cs-CZ" w:eastAsia="cs-CZ" w:bidi="cs-CZ"/>
                        </w:rPr>
                        <w:t>0.00587</w:t>
                      </w:r>
                    </w:p>
                  </w:txbxContent>
                </v:textbox>
                <w10:wrap type="topAndBottom"/>
              </v:shape>
            </w:pict>
          </mc:Fallback>
        </mc:AlternateContent>
      </w:r>
      <w:r>
        <w:rPr>
          <w:noProof/>
          <w:lang w:bidi="ar-SA"/>
        </w:rPr>
        <mc:AlternateContent>
          <mc:Choice Requires="wps">
            <w:drawing>
              <wp:anchor distT="0" distB="0" distL="671830" distR="4518660" simplePos="0" relativeHeight="125829401" behindDoc="0" locked="0" layoutInCell="1" allowOverlap="1">
                <wp:simplePos x="0" y="0"/>
                <wp:positionH relativeFrom="column">
                  <wp:posOffset>714375</wp:posOffset>
                </wp:positionH>
                <wp:positionV relativeFrom="paragraph">
                  <wp:posOffset>36830</wp:posOffset>
                </wp:positionV>
                <wp:extent cx="966470" cy="113030"/>
                <wp:effectExtent l="0" t="0" r="0" b="0"/>
                <wp:wrapTopAndBottom/>
                <wp:docPr id="245" name="Shape 245"/>
                <wp:cNvGraphicFramePr/>
                <a:graphic xmlns:a="http://schemas.openxmlformats.org/drawingml/2006/main">
                  <a:graphicData uri="http://schemas.microsoft.com/office/word/2010/wordprocessingShape">
                    <wps:wsp>
                      <wps:cNvSpPr txBox="1"/>
                      <wps:spPr>
                        <a:xfrm>
                          <a:off x="0" y="0"/>
                          <a:ext cx="966470" cy="113030"/>
                        </a:xfrm>
                        <a:prstGeom prst="rect">
                          <a:avLst/>
                        </a:prstGeom>
                        <a:noFill/>
                      </wps:spPr>
                      <wps:txbx>
                        <w:txbxContent>
                          <w:p w:rsidR="00215B20" w:rsidRDefault="00FD0AA3">
                            <w:pPr>
                              <w:pStyle w:val="Titulekobrzku0"/>
                              <w:pBdr>
                                <w:top w:val="single" w:sz="0" w:space="0" w:color="075A8B"/>
                                <w:left w:val="single" w:sz="0" w:space="0" w:color="075A8B"/>
                                <w:bottom w:val="single" w:sz="0" w:space="0" w:color="075A8B"/>
                                <w:right w:val="single" w:sz="0" w:space="0" w:color="075A8B"/>
                              </w:pBdr>
                              <w:shd w:val="clear" w:color="auto" w:fill="075A8B"/>
                              <w:spacing w:line="240" w:lineRule="auto"/>
                              <w:ind w:firstLine="0"/>
                            </w:pPr>
                            <w:r>
                              <w:rPr>
                                <w:b/>
                                <w:bCs/>
                                <w:color w:val="FFFFFF"/>
                                <w:lang w:val="en-US" w:eastAsia="en-US" w:bidi="en-US"/>
                              </w:rPr>
                              <w:t xml:space="preserve">WAH </w:t>
                            </w:r>
                            <w:r>
                              <w:rPr>
                                <w:b/>
                                <w:bCs/>
                                <w:color w:val="FFFFFF"/>
                              </w:rPr>
                              <w:t xml:space="preserve">Interface(s) </w:t>
                            </w:r>
                            <w:r>
                              <w:rPr>
                                <w:b/>
                                <w:bCs/>
                                <w:color w:val="FFFFFF"/>
                                <w:lang w:val="en-US" w:eastAsia="en-US" w:bidi="en-US"/>
                              </w:rPr>
                              <w:t>Traffic</w:t>
                            </w:r>
                          </w:p>
                        </w:txbxContent>
                      </wps:txbx>
                      <wps:bodyPr lIns="0" tIns="0" rIns="0" bIns="0"/>
                    </wps:wsp>
                  </a:graphicData>
                </a:graphic>
              </wp:anchor>
            </w:drawing>
          </mc:Choice>
          <mc:Fallback>
            <w:pict>
              <v:shape id="_x0000_s1271" type="#_x0000_t202" style="position:absolute;margin-left:56.25pt;margin-top:2.8999999999999999pt;width:76.099999999999994pt;height:8.9000000000000004pt;z-index:-125829352;mso-wrap-distance-left:52.899999999999999pt;mso-wrap-distance-right:355.80000000000001pt" filled="f" stroked="f">
                <v:textbox inset="0,0,0,0">
                  <w:txbxContent>
                    <w:p>
                      <w:pPr>
                        <w:pStyle w:val="Style2"/>
                        <w:keepNext w:val="0"/>
                        <w:keepLines w:val="0"/>
                        <w:widowControl w:val="0"/>
                        <w:pBdr>
                          <w:top w:val="single" w:sz="0" w:space="0" w:color="075A8B"/>
                          <w:left w:val="single" w:sz="0" w:space="0" w:color="075A8B"/>
                          <w:bottom w:val="single" w:sz="0" w:space="0" w:color="075A8B"/>
                          <w:right w:val="single" w:sz="0" w:space="0" w:color="075A8B"/>
                        </w:pBdr>
                        <w:shd w:val="clear" w:color="auto" w:fill="075A8B"/>
                        <w:bidi w:val="0"/>
                        <w:spacing w:before="0" w:after="0" w:line="240" w:lineRule="auto"/>
                        <w:ind w:left="0" w:right="0" w:firstLine="0"/>
                        <w:jc w:val="left"/>
                      </w:pPr>
                      <w:r>
                        <w:rPr>
                          <w:b/>
                          <w:bCs/>
                          <w:color w:val="FFFFFF"/>
                          <w:spacing w:val="0"/>
                          <w:w w:val="100"/>
                          <w:position w:val="0"/>
                          <w:sz w:val="10"/>
                          <w:szCs w:val="10"/>
                          <w:shd w:val="clear" w:color="auto" w:fill="auto"/>
                          <w:lang w:val="en-US" w:eastAsia="en-US" w:bidi="en-US"/>
                        </w:rPr>
                        <w:t xml:space="preserve">WAH </w:t>
                      </w:r>
                      <w:r>
                        <w:rPr>
                          <w:b/>
                          <w:bCs/>
                          <w:color w:val="FFFFFF"/>
                          <w:spacing w:val="0"/>
                          <w:w w:val="100"/>
                          <w:position w:val="0"/>
                          <w:sz w:val="10"/>
                          <w:szCs w:val="10"/>
                          <w:shd w:val="clear" w:color="auto" w:fill="auto"/>
                          <w:lang w:val="cs-CZ" w:eastAsia="cs-CZ" w:bidi="cs-CZ"/>
                        </w:rPr>
                        <w:t xml:space="preserve">Interface(s) </w:t>
                      </w:r>
                      <w:r>
                        <w:rPr>
                          <w:b/>
                          <w:bCs/>
                          <w:color w:val="FFFFFF"/>
                          <w:spacing w:val="0"/>
                          <w:w w:val="100"/>
                          <w:position w:val="0"/>
                          <w:sz w:val="10"/>
                          <w:szCs w:val="10"/>
                          <w:shd w:val="clear" w:color="auto" w:fill="auto"/>
                          <w:lang w:val="en-US" w:eastAsia="en-US" w:bidi="en-US"/>
                        </w:rPr>
                        <w:t>Traffic</w:t>
                      </w:r>
                    </w:p>
                  </w:txbxContent>
                </v:textbox>
                <w10:wrap type="topAndBottom"/>
              </v:shape>
            </w:pict>
          </mc:Fallback>
        </mc:AlternateContent>
      </w:r>
      <w:r>
        <w:rPr>
          <w:noProof/>
          <w:lang w:bidi="ar-SA"/>
        </w:rPr>
        <mc:AlternateContent>
          <mc:Choice Requires="wps">
            <w:drawing>
              <wp:anchor distT="0" distB="0" distL="671830" distR="3735705" simplePos="0" relativeHeight="125829403" behindDoc="0" locked="0" layoutInCell="1" allowOverlap="1">
                <wp:simplePos x="0" y="0"/>
                <wp:positionH relativeFrom="column">
                  <wp:posOffset>693420</wp:posOffset>
                </wp:positionH>
                <wp:positionV relativeFrom="paragraph">
                  <wp:posOffset>201295</wp:posOffset>
                </wp:positionV>
                <wp:extent cx="1749425" cy="158750"/>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1749425" cy="158750"/>
                        </a:xfrm>
                        <a:prstGeom prst="rect">
                          <a:avLst/>
                        </a:prstGeom>
                        <a:noFill/>
                      </wps:spPr>
                      <wps:txbx>
                        <w:txbxContent>
                          <w:p w:rsidR="00215B20" w:rsidRDefault="00FD0AA3">
                            <w:pPr>
                              <w:pStyle w:val="Titulekobrzku0"/>
                              <w:shd w:val="clear" w:color="auto" w:fill="auto"/>
                              <w:spacing w:line="240" w:lineRule="auto"/>
                              <w:ind w:firstLine="0"/>
                            </w:pPr>
                            <w:r>
                              <w:rPr>
                                <w:b/>
                                <w:bCs/>
                                <w:color w:val="231F20"/>
                                <w:lang w:val="en-US" w:eastAsia="en-US" w:bidi="en-US"/>
                              </w:rPr>
                              <w:t xml:space="preserve">Traffic </w:t>
                            </w:r>
                            <w:r>
                              <w:rPr>
                                <w:b/>
                                <w:bCs/>
                                <w:color w:val="231F20"/>
                              </w:rPr>
                              <w:t xml:space="preserve">(Circuit ID:GN61176) (11.4.13 12:45 - </w:t>
                            </w:r>
                            <w:r>
                              <w:rPr>
                                <w:b/>
                                <w:bCs/>
                                <w:color w:val="000000"/>
                              </w:rPr>
                              <w:t>11</w:t>
                            </w:r>
                          </w:p>
                          <w:p w:rsidR="00215B20" w:rsidRDefault="00FD0AA3">
                            <w:pPr>
                              <w:pStyle w:val="Titulekobrzku0"/>
                              <w:shd w:val="clear" w:color="auto" w:fill="auto"/>
                              <w:tabs>
                                <w:tab w:val="left" w:leader="hyphen" w:pos="673"/>
                              </w:tabs>
                              <w:spacing w:line="240" w:lineRule="auto"/>
                              <w:ind w:firstLine="260"/>
                              <w:rPr>
                                <w:sz w:val="8"/>
                                <w:szCs w:val="8"/>
                              </w:rPr>
                            </w:pPr>
                            <w:r>
                              <w:rPr>
                                <w:color w:val="000000"/>
                                <w:sz w:val="8"/>
                                <w:szCs w:val="8"/>
                              </w:rPr>
                              <w:t xml:space="preserve">4.5 </w:t>
                            </w:r>
                            <w:r>
                              <w:rPr>
                                <w:color w:val="000000"/>
                                <w:sz w:val="8"/>
                                <w:szCs w:val="8"/>
                              </w:rPr>
                              <w:tab/>
                            </w:r>
                          </w:p>
                        </w:txbxContent>
                      </wps:txbx>
                      <wps:bodyPr lIns="0" tIns="0" rIns="0" bIns="0"/>
                    </wps:wsp>
                  </a:graphicData>
                </a:graphic>
              </wp:anchor>
            </w:drawing>
          </mc:Choice>
          <mc:Fallback>
            <w:pict>
              <v:shape id="_x0000_s1273" type="#_x0000_t202" style="position:absolute;margin-left:54.600000000000001pt;margin-top:15.85pt;width:137.75pt;height:12.5pt;z-index:-125829350;mso-wrap-distance-left:52.899999999999999pt;mso-wrap-distance-right:294.14999999999998pt"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231F20"/>
                          <w:spacing w:val="0"/>
                          <w:w w:val="100"/>
                          <w:position w:val="0"/>
                          <w:shd w:val="clear" w:color="auto" w:fill="auto"/>
                          <w:lang w:val="en-US" w:eastAsia="en-US" w:bidi="en-US"/>
                        </w:rPr>
                        <w:t xml:space="preserve">Traffic </w:t>
                      </w:r>
                      <w:r>
                        <w:rPr>
                          <w:b/>
                          <w:bCs/>
                          <w:color w:val="231F20"/>
                          <w:spacing w:val="0"/>
                          <w:w w:val="100"/>
                          <w:position w:val="0"/>
                          <w:shd w:val="clear" w:color="auto" w:fill="auto"/>
                          <w:lang w:val="cs-CZ" w:eastAsia="cs-CZ" w:bidi="cs-CZ"/>
                        </w:rPr>
                        <w:t xml:space="preserve">(Circuit ID:GN61176) (11.4.13 12:45 - </w:t>
                      </w:r>
                      <w:r>
                        <w:rPr>
                          <w:b/>
                          <w:bCs/>
                          <w:color w:val="000000"/>
                          <w:spacing w:val="0"/>
                          <w:w w:val="100"/>
                          <w:position w:val="0"/>
                          <w:shd w:val="clear" w:color="auto" w:fill="auto"/>
                          <w:lang w:val="cs-CZ" w:eastAsia="cs-CZ" w:bidi="cs-CZ"/>
                        </w:rPr>
                        <w:t>11</w:t>
                      </w:r>
                    </w:p>
                    <w:p>
                      <w:pPr>
                        <w:pStyle w:val="Style2"/>
                        <w:keepNext w:val="0"/>
                        <w:keepLines w:val="0"/>
                        <w:widowControl w:val="0"/>
                        <w:shd w:val="clear" w:color="auto" w:fill="auto"/>
                        <w:tabs>
                          <w:tab w:leader="hyphen" w:pos="673" w:val="left"/>
                        </w:tabs>
                        <w:bidi w:val="0"/>
                        <w:spacing w:before="0" w:after="0" w:line="240" w:lineRule="auto"/>
                        <w:ind w:left="0" w:right="0" w:firstLine="260"/>
                        <w:jc w:val="left"/>
                        <w:rPr>
                          <w:sz w:val="8"/>
                          <w:szCs w:val="8"/>
                        </w:rPr>
                      </w:pPr>
                      <w:r>
                        <w:rPr>
                          <w:color w:val="000000"/>
                          <w:spacing w:val="0"/>
                          <w:w w:val="100"/>
                          <w:position w:val="0"/>
                          <w:sz w:val="8"/>
                          <w:szCs w:val="8"/>
                          <w:shd w:val="clear" w:color="auto" w:fill="auto"/>
                          <w:lang w:val="cs-CZ" w:eastAsia="cs-CZ" w:bidi="cs-CZ"/>
                        </w:rPr>
                        <w:t xml:space="preserve">4.5 </w:t>
                        <w:tab/>
                      </w:r>
                    </w:p>
                  </w:txbxContent>
                </v:textbox>
                <w10:wrap type="topAndBottom"/>
              </v:shape>
            </w:pict>
          </mc:Fallback>
        </mc:AlternateContent>
      </w:r>
      <w:r>
        <w:rPr>
          <w:noProof/>
          <w:lang w:bidi="ar-SA"/>
        </w:rPr>
        <mc:AlternateContent>
          <mc:Choice Requires="wps">
            <w:drawing>
              <wp:anchor distT="0" distB="0" distL="671830" distR="5363210" simplePos="0" relativeHeight="125829405" behindDoc="0" locked="0" layoutInCell="1" allowOverlap="1">
                <wp:simplePos x="0" y="0"/>
                <wp:positionH relativeFrom="column">
                  <wp:posOffset>2506980</wp:posOffset>
                </wp:positionH>
                <wp:positionV relativeFrom="paragraph">
                  <wp:posOffset>201295</wp:posOffset>
                </wp:positionV>
                <wp:extent cx="121920" cy="97790"/>
                <wp:effectExtent l="0" t="0" r="0" b="0"/>
                <wp:wrapTopAndBottom/>
                <wp:docPr id="249" name="Shape 249"/>
                <wp:cNvGraphicFramePr/>
                <a:graphic xmlns:a="http://schemas.openxmlformats.org/drawingml/2006/main">
                  <a:graphicData uri="http://schemas.microsoft.com/office/word/2010/wordprocessingShape">
                    <wps:wsp>
                      <wps:cNvSpPr txBox="1"/>
                      <wps:spPr>
                        <a:xfrm>
                          <a:off x="0" y="0"/>
                          <a:ext cx="121920" cy="97790"/>
                        </a:xfrm>
                        <a:prstGeom prst="rect">
                          <a:avLst/>
                        </a:prstGeom>
                        <a:noFill/>
                      </wps:spPr>
                      <wps:txbx>
                        <w:txbxContent>
                          <w:p w:rsidR="00215B20" w:rsidRDefault="00FD0AA3">
                            <w:pPr>
                              <w:pStyle w:val="Titulekobrzku0"/>
                              <w:shd w:val="clear" w:color="auto" w:fill="auto"/>
                              <w:spacing w:line="240" w:lineRule="auto"/>
                              <w:ind w:firstLine="0"/>
                              <w:jc w:val="both"/>
                            </w:pPr>
                            <w:r>
                              <w:rPr>
                                <w:b/>
                                <w:bCs/>
                                <w:color w:val="231F20"/>
                              </w:rPr>
                              <w:t>.13</w:t>
                            </w:r>
                          </w:p>
                        </w:txbxContent>
                      </wps:txbx>
                      <wps:bodyPr lIns="0" tIns="0" rIns="0" bIns="0"/>
                    </wps:wsp>
                  </a:graphicData>
                </a:graphic>
              </wp:anchor>
            </w:drawing>
          </mc:Choice>
          <mc:Fallback>
            <w:pict>
              <v:shape id="_x0000_s1275" type="#_x0000_t202" style="position:absolute;margin-left:197.40000000000001pt;margin-top:15.85pt;width:9.5999999999999996pt;height:7.7000000000000002pt;z-index:-125829348;mso-wrap-distance-left:52.899999999999999pt;mso-wrap-distance-right:422.30000000000001pt" filled="f" stroked="f">
                <v:textbox inset="0,0,0,0">
                  <w:txbxContent>
                    <w:p>
                      <w:pPr>
                        <w:pStyle w:val="Style2"/>
                        <w:keepNext w:val="0"/>
                        <w:keepLines w:val="0"/>
                        <w:widowControl w:val="0"/>
                        <w:shd w:val="clear" w:color="auto" w:fill="auto"/>
                        <w:bidi w:val="0"/>
                        <w:spacing w:before="0" w:after="0" w:line="240" w:lineRule="auto"/>
                        <w:ind w:left="0" w:right="0" w:firstLine="0"/>
                        <w:jc w:val="both"/>
                      </w:pPr>
                      <w:r>
                        <w:rPr>
                          <w:b/>
                          <w:bCs/>
                          <w:color w:val="231F20"/>
                          <w:spacing w:val="0"/>
                          <w:w w:val="100"/>
                          <w:position w:val="0"/>
                          <w:shd w:val="clear" w:color="auto" w:fill="auto"/>
                          <w:lang w:val="cs-CZ" w:eastAsia="cs-CZ" w:bidi="cs-CZ"/>
                        </w:rPr>
                        <w:t>.13</w:t>
                      </w:r>
                    </w:p>
                  </w:txbxContent>
                </v:textbox>
                <w10:wrap type="topAndBottom"/>
              </v:shape>
            </w:pict>
          </mc:Fallback>
        </mc:AlternateContent>
      </w:r>
      <w:r>
        <w:rPr>
          <w:noProof/>
          <w:lang w:bidi="ar-SA"/>
        </w:rPr>
        <mc:AlternateContent>
          <mc:Choice Requires="wps">
            <w:drawing>
              <wp:anchor distT="0" distB="0" distL="671830" distR="4902835" simplePos="0" relativeHeight="125829407" behindDoc="0" locked="0" layoutInCell="1" allowOverlap="1">
                <wp:simplePos x="0" y="0"/>
                <wp:positionH relativeFrom="column">
                  <wp:posOffset>714375</wp:posOffset>
                </wp:positionH>
                <wp:positionV relativeFrom="paragraph">
                  <wp:posOffset>2018030</wp:posOffset>
                </wp:positionV>
                <wp:extent cx="582295" cy="103505"/>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582295" cy="103505"/>
                        </a:xfrm>
                        <a:prstGeom prst="rect">
                          <a:avLst/>
                        </a:prstGeom>
                        <a:noFill/>
                      </wps:spPr>
                      <wps:txbx>
                        <w:txbxContent>
                          <w:p w:rsidR="00215B20" w:rsidRDefault="00FD0AA3">
                            <w:pPr>
                              <w:pStyle w:val="Titulekobrzku0"/>
                              <w:shd w:val="clear" w:color="auto" w:fill="auto"/>
                              <w:spacing w:line="240" w:lineRule="auto"/>
                              <w:ind w:firstLine="0"/>
                            </w:pPr>
                            <w:r>
                              <w:rPr>
                                <w:color w:val="231F20"/>
                              </w:rPr>
                              <w:t xml:space="preserve">2 </w:t>
                            </w:r>
                            <w:r>
                              <w:rPr>
                                <w:color w:val="231F20"/>
                                <w:lang w:val="en-US" w:eastAsia="en-US" w:bidi="en-US"/>
                              </w:rPr>
                              <w:t>rows displayed</w:t>
                            </w:r>
                          </w:p>
                        </w:txbxContent>
                      </wps:txbx>
                      <wps:bodyPr lIns="0" tIns="0" rIns="0" bIns="0"/>
                    </wps:wsp>
                  </a:graphicData>
                </a:graphic>
              </wp:anchor>
            </w:drawing>
          </mc:Choice>
          <mc:Fallback>
            <w:pict>
              <v:shape id="_x0000_s1277" type="#_x0000_t202" style="position:absolute;margin-left:56.25pt;margin-top:158.90000000000001pt;width:45.850000000000001pt;height:8.1500000000000004pt;z-index:-125829346;mso-wrap-distance-left:52.899999999999999pt;mso-wrap-distance-right:386.05000000000001pt"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cs-CZ" w:eastAsia="cs-CZ" w:bidi="cs-CZ"/>
                        </w:rPr>
                        <w:t xml:space="preserve">2 </w:t>
                      </w:r>
                      <w:r>
                        <w:rPr>
                          <w:color w:val="231F20"/>
                          <w:spacing w:val="0"/>
                          <w:w w:val="100"/>
                          <w:position w:val="0"/>
                          <w:shd w:val="clear" w:color="auto" w:fill="auto"/>
                          <w:lang w:val="en-US" w:eastAsia="en-US" w:bidi="en-US"/>
                        </w:rPr>
                        <w:t>rows displayed</w:t>
                      </w:r>
                    </w:p>
                  </w:txbxContent>
                </v:textbox>
                <w10:wrap type="topAndBottom"/>
              </v:shape>
            </w:pict>
          </mc:Fallback>
        </mc:AlternateContent>
      </w:r>
      <w:r>
        <w:rPr>
          <w:noProof/>
          <w:lang w:bidi="ar-SA"/>
        </w:rPr>
        <mc:AlternateContent>
          <mc:Choice Requires="wps">
            <w:drawing>
              <wp:anchor distT="0" distB="0" distL="671830" distR="4756785" simplePos="0" relativeHeight="125829409" behindDoc="0" locked="0" layoutInCell="1" allowOverlap="1">
                <wp:simplePos x="0" y="0"/>
                <wp:positionH relativeFrom="column">
                  <wp:posOffset>695960</wp:posOffset>
                </wp:positionH>
                <wp:positionV relativeFrom="paragraph">
                  <wp:posOffset>2331720</wp:posOffset>
                </wp:positionV>
                <wp:extent cx="728345" cy="118745"/>
                <wp:effectExtent l="0" t="0" r="0" b="0"/>
                <wp:wrapTopAndBottom/>
                <wp:docPr id="253" name="Shape 253"/>
                <wp:cNvGraphicFramePr/>
                <a:graphic xmlns:a="http://schemas.openxmlformats.org/drawingml/2006/main">
                  <a:graphicData uri="http://schemas.microsoft.com/office/word/2010/wordprocessingShape">
                    <wps:wsp>
                      <wps:cNvSpPr txBox="1"/>
                      <wps:spPr>
                        <a:xfrm>
                          <a:off x="0" y="0"/>
                          <a:ext cx="728345" cy="118745"/>
                        </a:xfrm>
                        <a:prstGeom prst="rect">
                          <a:avLst/>
                        </a:prstGeom>
                        <a:noFill/>
                      </wps:spPr>
                      <wps:txbx>
                        <w:txbxContent>
                          <w:p w:rsidR="00215B20" w:rsidRDefault="00FD0AA3">
                            <w:pPr>
                              <w:pStyle w:val="Titulekobrzku0"/>
                              <w:shd w:val="clear" w:color="auto" w:fill="auto"/>
                              <w:spacing w:line="240" w:lineRule="auto"/>
                              <w:ind w:firstLine="0"/>
                              <w:rPr>
                                <w:sz w:val="8"/>
                                <w:szCs w:val="8"/>
                              </w:rPr>
                            </w:pPr>
                            <w:r>
                              <w:rPr>
                                <w:b/>
                                <w:bCs/>
                                <w:color w:val="231F20"/>
                                <w:sz w:val="8"/>
                                <w:szCs w:val="8"/>
                              </w:rPr>
                              <w:t xml:space="preserve">!□ |GN61176 </w:t>
                            </w:r>
                            <w:r>
                              <w:rPr>
                                <w:b/>
                                <w:bCs/>
                                <w:color w:val="231F20"/>
                                <w:sz w:val="8"/>
                                <w:szCs w:val="8"/>
                                <w:lang w:val="en-US" w:eastAsia="en-US" w:bidi="en-US"/>
                              </w:rPr>
                              <w:t>Outgoing</w:t>
                            </w:r>
                          </w:p>
                        </w:txbxContent>
                      </wps:txbx>
                      <wps:bodyPr lIns="0" tIns="0" rIns="0" bIns="0"/>
                    </wps:wsp>
                  </a:graphicData>
                </a:graphic>
              </wp:anchor>
            </w:drawing>
          </mc:Choice>
          <mc:Fallback>
            <w:pict>
              <v:shape id="_x0000_s1279" type="#_x0000_t202" style="position:absolute;margin-left:54.799999999999997pt;margin-top:183.59999999999999pt;width:57.350000000000001pt;height:9.3499999999999996pt;z-index:-125829344;mso-wrap-distance-left:52.899999999999999pt;mso-wrap-distance-right:374.55000000000001pt"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b/>
                          <w:bCs/>
                          <w:color w:val="231F20"/>
                          <w:spacing w:val="0"/>
                          <w:w w:val="100"/>
                          <w:position w:val="0"/>
                          <w:sz w:val="8"/>
                          <w:szCs w:val="8"/>
                          <w:shd w:val="clear" w:color="auto" w:fill="auto"/>
                          <w:lang w:val="cs-CZ" w:eastAsia="cs-CZ" w:bidi="cs-CZ"/>
                        </w:rPr>
                        <w:t xml:space="preserve">!□ |GN61176 </w:t>
                      </w:r>
                      <w:r>
                        <w:rPr>
                          <w:b/>
                          <w:bCs/>
                          <w:color w:val="231F20"/>
                          <w:spacing w:val="0"/>
                          <w:w w:val="100"/>
                          <w:position w:val="0"/>
                          <w:sz w:val="8"/>
                          <w:szCs w:val="8"/>
                          <w:shd w:val="clear" w:color="auto" w:fill="auto"/>
                          <w:lang w:val="en-US" w:eastAsia="en-US" w:bidi="en-US"/>
                        </w:rPr>
                        <w:t>Outgoing</w:t>
                      </w:r>
                    </w:p>
                  </w:txbxContent>
                </v:textbox>
                <w10:wrap type="topAndBottom"/>
              </v:shape>
            </w:pict>
          </mc:Fallback>
        </mc:AlternateContent>
      </w:r>
      <w:r>
        <w:rPr>
          <w:noProof/>
          <w:lang w:bidi="ar-SA"/>
        </w:rPr>
        <mc:AlternateContent>
          <mc:Choice Requires="wps">
            <w:drawing>
              <wp:anchor distT="0" distB="0" distL="671830" distR="5396865" simplePos="0" relativeHeight="125829411" behindDoc="0" locked="0" layoutInCell="1" allowOverlap="1">
                <wp:simplePos x="0" y="0"/>
                <wp:positionH relativeFrom="column">
                  <wp:posOffset>2418080</wp:posOffset>
                </wp:positionH>
                <wp:positionV relativeFrom="paragraph">
                  <wp:posOffset>201295</wp:posOffset>
                </wp:positionV>
                <wp:extent cx="88265" cy="97790"/>
                <wp:effectExtent l="0" t="0" r="0" b="0"/>
                <wp:wrapTopAndBottom/>
                <wp:docPr id="255" name="Shape 255"/>
                <wp:cNvGraphicFramePr/>
                <a:graphic xmlns:a="http://schemas.openxmlformats.org/drawingml/2006/main">
                  <a:graphicData uri="http://schemas.microsoft.com/office/word/2010/wordprocessingShape">
                    <wps:wsp>
                      <wps:cNvSpPr txBox="1"/>
                      <wps:spPr>
                        <a:xfrm>
                          <a:off x="0" y="0"/>
                          <a:ext cx="88265" cy="97790"/>
                        </a:xfrm>
                        <a:prstGeom prst="rect">
                          <a:avLst/>
                        </a:prstGeom>
                        <a:noFill/>
                      </wps:spPr>
                      <wps:txbx>
                        <w:txbxContent>
                          <w:p w:rsidR="00215B20" w:rsidRDefault="00FD0AA3">
                            <w:pPr>
                              <w:pStyle w:val="Titulekobrzku0"/>
                              <w:shd w:val="clear" w:color="auto" w:fill="auto"/>
                              <w:spacing w:line="240" w:lineRule="auto"/>
                              <w:ind w:firstLine="0"/>
                            </w:pPr>
                            <w:r>
                              <w:rPr>
                                <w:b/>
                                <w:bCs/>
                              </w:rPr>
                              <w:t>.4</w:t>
                            </w:r>
                          </w:p>
                        </w:txbxContent>
                      </wps:txbx>
                      <wps:bodyPr lIns="0" tIns="0" rIns="0" bIns="0"/>
                    </wps:wsp>
                  </a:graphicData>
                </a:graphic>
              </wp:anchor>
            </w:drawing>
          </mc:Choice>
          <mc:Fallback>
            <w:pict>
              <v:shape id="_x0000_s1281" type="#_x0000_t202" style="position:absolute;margin-left:190.40000000000001pt;margin-top:15.85pt;width:6.9500000000000002pt;height:7.7000000000000002pt;z-index:-125829342;mso-wrap-distance-left:52.899999999999999pt;mso-wrap-distance-right:424.94999999999999pt"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cs-CZ" w:eastAsia="cs-CZ" w:bidi="cs-CZ"/>
                        </w:rPr>
                        <w:t>.4</w:t>
                      </w:r>
                    </w:p>
                  </w:txbxContent>
                </v:textbox>
                <w10:wrap type="topAndBottom"/>
              </v:shape>
            </w:pict>
          </mc:Fallback>
        </mc:AlternateContent>
      </w:r>
      <w:r>
        <w:rPr>
          <w:noProof/>
          <w:lang w:bidi="ar-SA"/>
        </w:rPr>
        <mc:AlternateContent>
          <mc:Choice Requires="wps">
            <w:drawing>
              <wp:anchor distT="0" distB="0" distL="671830" distR="4558665" simplePos="0" relativeHeight="125829413" behindDoc="0" locked="0" layoutInCell="1" allowOverlap="1">
                <wp:simplePos x="0" y="0"/>
                <wp:positionH relativeFrom="column">
                  <wp:posOffset>2628900</wp:posOffset>
                </wp:positionH>
                <wp:positionV relativeFrom="paragraph">
                  <wp:posOffset>201295</wp:posOffset>
                </wp:positionV>
                <wp:extent cx="926465" cy="106680"/>
                <wp:effectExtent l="0" t="0" r="0" b="0"/>
                <wp:wrapTopAndBottom/>
                <wp:docPr id="257" name="Shape 257"/>
                <wp:cNvGraphicFramePr/>
                <a:graphic xmlns:a="http://schemas.openxmlformats.org/drawingml/2006/main">
                  <a:graphicData uri="http://schemas.microsoft.com/office/word/2010/wordprocessingShape">
                    <wps:wsp>
                      <wps:cNvSpPr txBox="1"/>
                      <wps:spPr>
                        <a:xfrm>
                          <a:off x="0" y="0"/>
                          <a:ext cx="926465" cy="106680"/>
                        </a:xfrm>
                        <a:prstGeom prst="rect">
                          <a:avLst/>
                        </a:prstGeom>
                        <a:noFill/>
                      </wps:spPr>
                      <wps:txbx>
                        <w:txbxContent>
                          <w:p w:rsidR="00215B20" w:rsidRDefault="00FD0AA3">
                            <w:pPr>
                              <w:pStyle w:val="Titulekobrzku0"/>
                              <w:shd w:val="clear" w:color="auto" w:fill="auto"/>
                              <w:spacing w:line="240" w:lineRule="auto"/>
                              <w:ind w:firstLine="0"/>
                            </w:pPr>
                            <w:r>
                              <w:rPr>
                                <w:b/>
                                <w:bCs/>
                                <w:color w:val="000000"/>
                              </w:rPr>
                              <w:t>18:12 CEST (UTC+0200))</w:t>
                            </w:r>
                          </w:p>
                        </w:txbxContent>
                      </wps:txbx>
                      <wps:bodyPr lIns="0" tIns="0" rIns="0" bIns="0"/>
                    </wps:wsp>
                  </a:graphicData>
                </a:graphic>
              </wp:anchor>
            </w:drawing>
          </mc:Choice>
          <mc:Fallback>
            <w:pict>
              <v:shape id="_x0000_s1283" type="#_x0000_t202" style="position:absolute;margin-left:207.pt;margin-top:15.85pt;width:72.950000000000003pt;height:8.4000000000000004pt;z-index:-125829340;mso-wrap-distance-left:52.899999999999999pt;mso-wrap-distance-right:358.94999999999999pt"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18:12 CEST (UTC+0200))</w:t>
                      </w:r>
                    </w:p>
                  </w:txbxContent>
                </v:textbox>
                <w10:wrap type="topAndBottom"/>
              </v:shape>
            </w:pict>
          </mc:Fallback>
        </mc:AlternateContent>
      </w:r>
      <w:r>
        <w:rPr>
          <w:noProof/>
          <w:lang w:bidi="ar-SA"/>
        </w:rPr>
        <mc:AlternateContent>
          <mc:Choice Requires="wps">
            <w:drawing>
              <wp:anchor distT="0" distB="0" distL="671830" distR="2506980" simplePos="0" relativeHeight="125829415" behindDoc="0" locked="0" layoutInCell="1" allowOverlap="1">
                <wp:simplePos x="0" y="0"/>
                <wp:positionH relativeFrom="column">
                  <wp:posOffset>1183640</wp:posOffset>
                </wp:positionH>
                <wp:positionV relativeFrom="paragraph">
                  <wp:posOffset>1743710</wp:posOffset>
                </wp:positionV>
                <wp:extent cx="2978150" cy="100330"/>
                <wp:effectExtent l="0" t="0" r="0" b="0"/>
                <wp:wrapTopAndBottom/>
                <wp:docPr id="259" name="Shape 259"/>
                <wp:cNvGraphicFramePr/>
                <a:graphic xmlns:a="http://schemas.openxmlformats.org/drawingml/2006/main">
                  <a:graphicData uri="http://schemas.microsoft.com/office/word/2010/wordprocessingShape">
                    <wps:wsp>
                      <wps:cNvSpPr txBox="1"/>
                      <wps:spPr>
                        <a:xfrm>
                          <a:off x="0" y="0"/>
                          <a:ext cx="2978150" cy="100330"/>
                        </a:xfrm>
                        <a:prstGeom prst="rect">
                          <a:avLst/>
                        </a:prstGeom>
                        <a:noFill/>
                      </wps:spPr>
                      <wps:txbx>
                        <w:txbxContent>
                          <w:p w:rsidR="00215B20" w:rsidRDefault="00FD0AA3">
                            <w:pPr>
                              <w:pStyle w:val="Titulekobrzku0"/>
                              <w:shd w:val="clear" w:color="auto" w:fill="auto"/>
                              <w:tabs>
                                <w:tab w:val="left" w:pos="485"/>
                                <w:tab w:val="left" w:pos="970"/>
                                <w:tab w:val="left" w:pos="1454"/>
                                <w:tab w:val="left" w:pos="1939"/>
                                <w:tab w:val="left" w:pos="2424"/>
                                <w:tab w:val="left" w:pos="2914"/>
                                <w:tab w:val="left" w:pos="3398"/>
                                <w:tab w:val="left" w:pos="3874"/>
                                <w:tab w:val="left" w:pos="4363"/>
                              </w:tabs>
                              <w:spacing w:line="240" w:lineRule="auto"/>
                              <w:ind w:firstLine="0"/>
                              <w:rPr>
                                <w:sz w:val="8"/>
                                <w:szCs w:val="8"/>
                              </w:rPr>
                            </w:pPr>
                            <w:r>
                              <w:rPr>
                                <w:sz w:val="8"/>
                                <w:szCs w:val="8"/>
                              </w:rPr>
                              <w:t>12:59</w:t>
                            </w:r>
                            <w:r>
                              <w:rPr>
                                <w:sz w:val="8"/>
                                <w:szCs w:val="8"/>
                              </w:rPr>
                              <w:tab/>
                              <w:t>13:14</w:t>
                            </w:r>
                            <w:r>
                              <w:rPr>
                                <w:sz w:val="8"/>
                                <w:szCs w:val="8"/>
                              </w:rPr>
                              <w:tab/>
                              <w:t>13 29</w:t>
                            </w:r>
                            <w:r>
                              <w:rPr>
                                <w:sz w:val="8"/>
                                <w:szCs w:val="8"/>
                              </w:rPr>
                              <w:tab/>
                            </w:r>
                            <w:r>
                              <w:rPr>
                                <w:color w:val="000000"/>
                                <w:sz w:val="8"/>
                                <w:szCs w:val="8"/>
                              </w:rPr>
                              <w:t>13:44</w:t>
                            </w:r>
                            <w:r>
                              <w:rPr>
                                <w:color w:val="000000"/>
                                <w:sz w:val="8"/>
                                <w:szCs w:val="8"/>
                              </w:rPr>
                              <w:tab/>
                            </w:r>
                            <w:r>
                              <w:rPr>
                                <w:sz w:val="8"/>
                                <w:szCs w:val="8"/>
                              </w:rPr>
                              <w:t>13.59</w:t>
                            </w:r>
                            <w:r>
                              <w:rPr>
                                <w:sz w:val="8"/>
                                <w:szCs w:val="8"/>
                              </w:rPr>
                              <w:tab/>
                            </w:r>
                            <w:r>
                              <w:rPr>
                                <w:color w:val="231F20"/>
                                <w:sz w:val="8"/>
                                <w:szCs w:val="8"/>
                              </w:rPr>
                              <w:t>14.14</w:t>
                            </w:r>
                            <w:r>
                              <w:rPr>
                                <w:color w:val="231F20"/>
                                <w:sz w:val="8"/>
                                <w:szCs w:val="8"/>
                              </w:rPr>
                              <w:tab/>
                            </w:r>
                            <w:r>
                              <w:rPr>
                                <w:sz w:val="8"/>
                                <w:szCs w:val="8"/>
                              </w:rPr>
                              <w:t>14.29</w:t>
                            </w:r>
                            <w:r>
                              <w:rPr>
                                <w:sz w:val="8"/>
                                <w:szCs w:val="8"/>
                              </w:rPr>
                              <w:tab/>
                            </w:r>
                            <w:r>
                              <w:rPr>
                                <w:color w:val="231F20"/>
                                <w:sz w:val="8"/>
                                <w:szCs w:val="8"/>
                              </w:rPr>
                              <w:t>14.44</w:t>
                            </w:r>
                            <w:r>
                              <w:rPr>
                                <w:color w:val="231F20"/>
                                <w:sz w:val="8"/>
                                <w:szCs w:val="8"/>
                              </w:rPr>
                              <w:tab/>
                              <w:t>14.59</w:t>
                            </w:r>
                            <w:r>
                              <w:rPr>
                                <w:color w:val="231F20"/>
                                <w:sz w:val="8"/>
                                <w:szCs w:val="8"/>
                              </w:rPr>
                              <w:tab/>
                            </w:r>
                            <w:r>
                              <w:rPr>
                                <w:sz w:val="8"/>
                                <w:szCs w:val="8"/>
                              </w:rPr>
                              <w:t>15.14</w:t>
                            </w:r>
                          </w:p>
                        </w:txbxContent>
                      </wps:txbx>
                      <wps:bodyPr lIns="0" tIns="0" rIns="0" bIns="0"/>
                    </wps:wsp>
                  </a:graphicData>
                </a:graphic>
              </wp:anchor>
            </w:drawing>
          </mc:Choice>
          <mc:Fallback>
            <w:pict>
              <v:shape id="_x0000_s1285" type="#_x0000_t202" style="position:absolute;margin-left:93.200000000000003pt;margin-top:137.30000000000001pt;width:234.5pt;height:7.9000000000000004pt;z-index:-125829338;mso-wrap-distance-left:52.899999999999999pt;mso-wrap-distance-right:197.40000000000001pt" filled="f" stroked="f">
                <v:textbox inset="0,0,0,0">
                  <w:txbxContent>
                    <w:p>
                      <w:pPr>
                        <w:pStyle w:val="Style2"/>
                        <w:keepNext w:val="0"/>
                        <w:keepLines w:val="0"/>
                        <w:widowControl w:val="0"/>
                        <w:shd w:val="clear" w:color="auto" w:fill="auto"/>
                        <w:tabs>
                          <w:tab w:pos="485" w:val="left"/>
                          <w:tab w:pos="970" w:val="left"/>
                          <w:tab w:pos="1454" w:val="left"/>
                          <w:tab w:pos="1939" w:val="left"/>
                          <w:tab w:pos="2424" w:val="left"/>
                          <w:tab w:pos="2914" w:val="left"/>
                          <w:tab w:pos="3398" w:val="left"/>
                          <w:tab w:pos="3874" w:val="left"/>
                          <w:tab w:pos="4363" w:val="left"/>
                        </w:tabs>
                        <w:bidi w:val="0"/>
                        <w:spacing w:before="0" w:after="0" w:line="240" w:lineRule="auto"/>
                        <w:ind w:left="0" w:right="0" w:firstLine="0"/>
                        <w:jc w:val="left"/>
                        <w:rPr>
                          <w:sz w:val="8"/>
                          <w:szCs w:val="8"/>
                        </w:rPr>
                      </w:pPr>
                      <w:r>
                        <w:rPr>
                          <w:spacing w:val="0"/>
                          <w:w w:val="100"/>
                          <w:position w:val="0"/>
                          <w:sz w:val="8"/>
                          <w:szCs w:val="8"/>
                          <w:shd w:val="clear" w:color="auto" w:fill="auto"/>
                          <w:lang w:val="cs-CZ" w:eastAsia="cs-CZ" w:bidi="cs-CZ"/>
                        </w:rPr>
                        <w:t>12:59</w:t>
                        <w:tab/>
                        <w:t>13:14</w:t>
                        <w:tab/>
                        <w:t>13 29</w:t>
                        <w:tab/>
                      </w:r>
                      <w:r>
                        <w:rPr>
                          <w:color w:val="000000"/>
                          <w:spacing w:val="0"/>
                          <w:w w:val="100"/>
                          <w:position w:val="0"/>
                          <w:sz w:val="8"/>
                          <w:szCs w:val="8"/>
                          <w:shd w:val="clear" w:color="auto" w:fill="auto"/>
                          <w:lang w:val="cs-CZ" w:eastAsia="cs-CZ" w:bidi="cs-CZ"/>
                        </w:rPr>
                        <w:t>13:44</w:t>
                        <w:tab/>
                      </w:r>
                      <w:r>
                        <w:rPr>
                          <w:spacing w:val="0"/>
                          <w:w w:val="100"/>
                          <w:position w:val="0"/>
                          <w:sz w:val="8"/>
                          <w:szCs w:val="8"/>
                          <w:shd w:val="clear" w:color="auto" w:fill="auto"/>
                          <w:lang w:val="cs-CZ" w:eastAsia="cs-CZ" w:bidi="cs-CZ"/>
                        </w:rPr>
                        <w:t>13.59</w:t>
                        <w:tab/>
                      </w:r>
                      <w:r>
                        <w:rPr>
                          <w:color w:val="231F20"/>
                          <w:spacing w:val="0"/>
                          <w:w w:val="100"/>
                          <w:position w:val="0"/>
                          <w:sz w:val="8"/>
                          <w:szCs w:val="8"/>
                          <w:shd w:val="clear" w:color="auto" w:fill="auto"/>
                          <w:lang w:val="cs-CZ" w:eastAsia="cs-CZ" w:bidi="cs-CZ"/>
                        </w:rPr>
                        <w:t>14.14</w:t>
                        <w:tab/>
                      </w:r>
                      <w:r>
                        <w:rPr>
                          <w:spacing w:val="0"/>
                          <w:w w:val="100"/>
                          <w:position w:val="0"/>
                          <w:sz w:val="8"/>
                          <w:szCs w:val="8"/>
                          <w:shd w:val="clear" w:color="auto" w:fill="auto"/>
                          <w:lang w:val="cs-CZ" w:eastAsia="cs-CZ" w:bidi="cs-CZ"/>
                        </w:rPr>
                        <w:t>14.29</w:t>
                        <w:tab/>
                      </w:r>
                      <w:r>
                        <w:rPr>
                          <w:color w:val="231F20"/>
                          <w:spacing w:val="0"/>
                          <w:w w:val="100"/>
                          <w:position w:val="0"/>
                          <w:sz w:val="8"/>
                          <w:szCs w:val="8"/>
                          <w:shd w:val="clear" w:color="auto" w:fill="auto"/>
                          <w:lang w:val="cs-CZ" w:eastAsia="cs-CZ" w:bidi="cs-CZ"/>
                        </w:rPr>
                        <w:t>14.44</w:t>
                        <w:tab/>
                        <w:t>14.59</w:t>
                        <w:tab/>
                      </w:r>
                      <w:r>
                        <w:rPr>
                          <w:spacing w:val="0"/>
                          <w:w w:val="100"/>
                          <w:position w:val="0"/>
                          <w:sz w:val="8"/>
                          <w:szCs w:val="8"/>
                          <w:shd w:val="clear" w:color="auto" w:fill="auto"/>
                          <w:lang w:val="cs-CZ" w:eastAsia="cs-CZ" w:bidi="cs-CZ"/>
                        </w:rPr>
                        <w:t>15.14</w:t>
                      </w:r>
                    </w:p>
                  </w:txbxContent>
                </v:textbox>
                <w10:wrap type="topAndBottom"/>
              </v:shape>
            </w:pict>
          </mc:Fallback>
        </mc:AlternateContent>
      </w:r>
      <w:r>
        <w:rPr>
          <w:noProof/>
          <w:lang w:bidi="ar-SA"/>
        </w:rPr>
        <mc:AlternateContent>
          <mc:Choice Requires="wps">
            <w:drawing>
              <wp:anchor distT="0" distB="0" distL="671830" distR="2089785" simplePos="0" relativeHeight="125829417" behindDoc="0" locked="0" layoutInCell="1" allowOverlap="1">
                <wp:simplePos x="0" y="0"/>
                <wp:positionH relativeFrom="column">
                  <wp:posOffset>702310</wp:posOffset>
                </wp:positionH>
                <wp:positionV relativeFrom="paragraph">
                  <wp:posOffset>1847215</wp:posOffset>
                </wp:positionV>
                <wp:extent cx="3395345" cy="152400"/>
                <wp:effectExtent l="0" t="0" r="0" b="0"/>
                <wp:wrapTopAndBottom/>
                <wp:docPr id="261" name="Shape 261"/>
                <wp:cNvGraphicFramePr/>
                <a:graphic xmlns:a="http://schemas.openxmlformats.org/drawingml/2006/main">
                  <a:graphicData uri="http://schemas.microsoft.com/office/word/2010/wordprocessingShape">
                    <wps:wsp>
                      <wps:cNvSpPr txBox="1"/>
                      <wps:spPr>
                        <a:xfrm>
                          <a:off x="0" y="0"/>
                          <a:ext cx="3395345" cy="152400"/>
                        </a:xfrm>
                        <a:prstGeom prst="rect">
                          <a:avLst/>
                        </a:prstGeom>
                        <a:noFill/>
                      </wps:spPr>
                      <wps:txbx>
                        <w:txbxContent>
                          <w:p w:rsidR="00215B20" w:rsidRDefault="00FD0AA3">
                            <w:pPr>
                              <w:pStyle w:val="Titulekobrzku0"/>
                              <w:shd w:val="clear" w:color="auto" w:fill="auto"/>
                              <w:tabs>
                                <w:tab w:val="left" w:pos="2280"/>
                                <w:tab w:val="left" w:pos="2520"/>
                                <w:tab w:val="left" w:pos="2750"/>
                              </w:tabs>
                              <w:spacing w:line="240" w:lineRule="auto"/>
                              <w:ind w:firstLine="0"/>
                              <w:rPr>
                                <w:sz w:val="11"/>
                                <w:szCs w:val="11"/>
                              </w:rPr>
                            </w:pPr>
                            <w:r>
                              <w:rPr>
                                <w:b/>
                                <w:bCs/>
                                <w:color w:val="231F20"/>
                                <w:sz w:val="11"/>
                                <w:szCs w:val="11"/>
                                <w:lang w:val="en-US" w:eastAsia="en-US" w:bidi="en-US"/>
                              </w:rPr>
                              <w:t xml:space="preserve">day </w:t>
                            </w:r>
                            <w:r>
                              <w:rPr>
                                <w:b/>
                                <w:bCs/>
                                <w:sz w:val="11"/>
                                <w:szCs w:val="11"/>
                                <w:lang w:val="en-US" w:eastAsia="en-US" w:bidi="en-US"/>
                              </w:rPr>
                              <w:t xml:space="preserve">week month Calendar </w:t>
                            </w:r>
                            <w:r>
                              <w:rPr>
                                <w:b/>
                                <w:bCs/>
                                <w:color w:val="231F20"/>
                                <w:sz w:val="11"/>
                                <w:szCs w:val="11"/>
                                <w:lang w:val="en-US" w:eastAsia="en-US" w:bidi="en-US"/>
                              </w:rPr>
                              <w:t>&lt;</w:t>
                            </w:r>
                            <w:r>
                              <w:rPr>
                                <w:b/>
                                <w:bCs/>
                                <w:color w:val="231F20"/>
                                <w:sz w:val="11"/>
                                <w:szCs w:val="11"/>
                                <w:lang w:val="en-US" w:eastAsia="en-US" w:bidi="en-US"/>
                              </w:rPr>
                              <w:tab/>
                            </w:r>
                            <w:r>
                              <w:rPr>
                                <w:b/>
                                <w:bCs/>
                                <w:sz w:val="11"/>
                                <w:szCs w:val="11"/>
                                <w:lang w:val="en-US" w:eastAsia="en-US" w:bidi="en-US"/>
                              </w:rPr>
                              <w:t>&gt;</w:t>
                            </w:r>
                            <w:r>
                              <w:rPr>
                                <w:b/>
                                <w:bCs/>
                                <w:sz w:val="11"/>
                                <w:szCs w:val="11"/>
                                <w:lang w:val="en-US" w:eastAsia="en-US" w:bidi="en-US"/>
                              </w:rPr>
                              <w:tab/>
                              <w:t>+</w:t>
                            </w:r>
                            <w:r>
                              <w:rPr>
                                <w:b/>
                                <w:bCs/>
                                <w:sz w:val="11"/>
                                <w:szCs w:val="11"/>
                                <w:lang w:val="en-US" w:eastAsia="en-US" w:bidi="en-US"/>
                              </w:rPr>
                              <w:tab/>
                              <w:t xml:space="preserve">- Apply </w:t>
                            </w:r>
                            <w:r>
                              <w:rPr>
                                <w:b/>
                                <w:bCs/>
                                <w:color w:val="231F20"/>
                                <w:sz w:val="11"/>
                                <w:szCs w:val="11"/>
                                <w:lang w:val="en-US" w:eastAsia="en-US" w:bidi="en-US"/>
                              </w:rPr>
                              <w:t xml:space="preserve">to </w:t>
                            </w:r>
                            <w:r>
                              <w:rPr>
                                <w:b/>
                                <w:bCs/>
                                <w:sz w:val="11"/>
                                <w:szCs w:val="11"/>
                                <w:lang w:val="en-US" w:eastAsia="en-US" w:bidi="en-US"/>
                              </w:rPr>
                              <w:t>all Reset Popup More...</w:t>
                            </w:r>
                          </w:p>
                        </w:txbxContent>
                      </wps:txbx>
                      <wps:bodyPr lIns="0" tIns="0" rIns="0" bIns="0"/>
                    </wps:wsp>
                  </a:graphicData>
                </a:graphic>
              </wp:anchor>
            </w:drawing>
          </mc:Choice>
          <mc:Fallback>
            <w:pict>
              <v:shape id="_x0000_s1287" type="#_x0000_t202" style="position:absolute;margin-left:55.299999999999997pt;margin-top:145.44999999999999pt;width:267.35000000000002pt;height:12.pt;z-index:-125829336;mso-wrap-distance-left:52.899999999999999pt;mso-wrap-distance-right:164.55000000000001pt" filled="f" stroked="f">
                <v:textbox inset="0,0,0,0">
                  <w:txbxContent>
                    <w:p>
                      <w:pPr>
                        <w:pStyle w:val="Style2"/>
                        <w:keepNext w:val="0"/>
                        <w:keepLines w:val="0"/>
                        <w:widowControl w:val="0"/>
                        <w:shd w:val="clear" w:color="auto" w:fill="auto"/>
                        <w:tabs>
                          <w:tab w:pos="2280" w:val="left"/>
                          <w:tab w:pos="2520" w:val="left"/>
                          <w:tab w:pos="2750" w:val="left"/>
                        </w:tabs>
                        <w:bidi w:val="0"/>
                        <w:spacing w:before="0" w:after="0" w:line="240" w:lineRule="auto"/>
                        <w:ind w:left="0" w:right="0" w:firstLine="0"/>
                        <w:jc w:val="left"/>
                        <w:rPr>
                          <w:sz w:val="11"/>
                          <w:szCs w:val="11"/>
                        </w:rPr>
                      </w:pPr>
                      <w:r>
                        <w:rPr>
                          <w:b/>
                          <w:bCs/>
                          <w:color w:val="231F20"/>
                          <w:spacing w:val="0"/>
                          <w:w w:val="100"/>
                          <w:position w:val="0"/>
                          <w:sz w:val="11"/>
                          <w:szCs w:val="11"/>
                          <w:shd w:val="clear" w:color="auto" w:fill="auto"/>
                          <w:lang w:val="en-US" w:eastAsia="en-US" w:bidi="en-US"/>
                        </w:rPr>
                        <w:t xml:space="preserve">day </w:t>
                      </w:r>
                      <w:r>
                        <w:rPr>
                          <w:b/>
                          <w:bCs/>
                          <w:spacing w:val="0"/>
                          <w:w w:val="100"/>
                          <w:position w:val="0"/>
                          <w:sz w:val="11"/>
                          <w:szCs w:val="11"/>
                          <w:shd w:val="clear" w:color="auto" w:fill="auto"/>
                          <w:lang w:val="en-US" w:eastAsia="en-US" w:bidi="en-US"/>
                        </w:rPr>
                        <w:t xml:space="preserve">week month Calendar </w:t>
                      </w:r>
                      <w:r>
                        <w:rPr>
                          <w:b/>
                          <w:bCs/>
                          <w:color w:val="231F20"/>
                          <w:spacing w:val="0"/>
                          <w:w w:val="100"/>
                          <w:position w:val="0"/>
                          <w:sz w:val="11"/>
                          <w:szCs w:val="11"/>
                          <w:shd w:val="clear" w:color="auto" w:fill="auto"/>
                          <w:lang w:val="en-US" w:eastAsia="en-US" w:bidi="en-US"/>
                        </w:rPr>
                        <w:t>&lt;</w:t>
                        <w:tab/>
                      </w:r>
                      <w:r>
                        <w:rPr>
                          <w:b/>
                          <w:bCs/>
                          <w:spacing w:val="0"/>
                          <w:w w:val="100"/>
                          <w:position w:val="0"/>
                          <w:sz w:val="11"/>
                          <w:szCs w:val="11"/>
                          <w:shd w:val="clear" w:color="auto" w:fill="auto"/>
                          <w:lang w:val="en-US" w:eastAsia="en-US" w:bidi="en-US"/>
                        </w:rPr>
                        <w:t>&gt;</w:t>
                        <w:tab/>
                        <w:t>+</w:t>
                        <w:tab/>
                        <w:t xml:space="preserve">- Apply </w:t>
                      </w:r>
                      <w:r>
                        <w:rPr>
                          <w:b/>
                          <w:bCs/>
                          <w:color w:val="231F20"/>
                          <w:spacing w:val="0"/>
                          <w:w w:val="100"/>
                          <w:position w:val="0"/>
                          <w:sz w:val="11"/>
                          <w:szCs w:val="11"/>
                          <w:shd w:val="clear" w:color="auto" w:fill="auto"/>
                          <w:lang w:val="en-US" w:eastAsia="en-US" w:bidi="en-US"/>
                        </w:rPr>
                        <w:t xml:space="preserve">to </w:t>
                      </w:r>
                      <w:r>
                        <w:rPr>
                          <w:b/>
                          <w:bCs/>
                          <w:spacing w:val="0"/>
                          <w:w w:val="100"/>
                          <w:position w:val="0"/>
                          <w:sz w:val="11"/>
                          <w:szCs w:val="11"/>
                          <w:shd w:val="clear" w:color="auto" w:fill="auto"/>
                          <w:lang w:val="en-US" w:eastAsia="en-US" w:bidi="en-US"/>
                        </w:rPr>
                        <w:t>all Reset Popup More...</w:t>
                      </w:r>
                    </w:p>
                  </w:txbxContent>
                </v:textbox>
                <w10:wrap type="topAndBottom"/>
              </v:shape>
            </w:pict>
          </mc:Fallback>
        </mc:AlternateContent>
      </w:r>
      <w:r>
        <w:rPr>
          <w:noProof/>
          <w:lang w:bidi="ar-SA"/>
        </w:rPr>
        <mc:AlternateContent>
          <mc:Choice Requires="wps">
            <w:drawing>
              <wp:anchor distT="0" distB="0" distL="671830" distR="4930140" simplePos="0" relativeHeight="125829419" behindDoc="0" locked="0" layoutInCell="1" allowOverlap="1">
                <wp:simplePos x="0" y="0"/>
                <wp:positionH relativeFrom="column">
                  <wp:posOffset>863600</wp:posOffset>
                </wp:positionH>
                <wp:positionV relativeFrom="paragraph">
                  <wp:posOffset>2237105</wp:posOffset>
                </wp:positionV>
                <wp:extent cx="554990" cy="94615"/>
                <wp:effectExtent l="0" t="0" r="0" b="0"/>
                <wp:wrapTopAndBottom/>
                <wp:docPr id="263" name="Shape 263"/>
                <wp:cNvGraphicFramePr/>
                <a:graphic xmlns:a="http://schemas.openxmlformats.org/drawingml/2006/main">
                  <a:graphicData uri="http://schemas.microsoft.com/office/word/2010/wordprocessingShape">
                    <wps:wsp>
                      <wps:cNvSpPr txBox="1"/>
                      <wps:spPr>
                        <a:xfrm>
                          <a:off x="0" y="0"/>
                          <a:ext cx="554990" cy="94615"/>
                        </a:xfrm>
                        <a:prstGeom prst="rect">
                          <a:avLst/>
                        </a:prstGeom>
                        <a:noFill/>
                      </wps:spPr>
                      <wps:txbx>
                        <w:txbxContent>
                          <w:p w:rsidR="00215B20" w:rsidRDefault="00FD0AA3">
                            <w:pPr>
                              <w:pStyle w:val="Titulekobrzku0"/>
                              <w:shd w:val="clear" w:color="auto" w:fill="auto"/>
                              <w:spacing w:line="240" w:lineRule="auto"/>
                              <w:ind w:firstLine="0"/>
                              <w:rPr>
                                <w:sz w:val="8"/>
                                <w:szCs w:val="8"/>
                              </w:rPr>
                            </w:pPr>
                            <w:r>
                              <w:rPr>
                                <w:sz w:val="8"/>
                                <w:szCs w:val="8"/>
                                <w:lang w:val="en-US" w:eastAsia="en-US" w:bidi="en-US"/>
                              </w:rPr>
                              <w:t>GN61176 Incoming</w:t>
                            </w:r>
                          </w:p>
                        </w:txbxContent>
                      </wps:txbx>
                      <wps:bodyPr lIns="0" tIns="0" rIns="0" bIns="0"/>
                    </wps:wsp>
                  </a:graphicData>
                </a:graphic>
              </wp:anchor>
            </w:drawing>
          </mc:Choice>
          <mc:Fallback>
            <w:pict>
              <v:shape id="_x0000_s1289" type="#_x0000_t202" style="position:absolute;margin-left:68.pt;margin-top:176.15000000000001pt;width:43.700000000000003pt;height:7.4500000000000002pt;z-index:-125829334;mso-wrap-distance-left:52.899999999999999pt;mso-wrap-distance-right:388.19999999999999pt"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spacing w:val="0"/>
                          <w:w w:val="100"/>
                          <w:position w:val="0"/>
                          <w:sz w:val="8"/>
                          <w:szCs w:val="8"/>
                          <w:shd w:val="clear" w:color="auto" w:fill="auto"/>
                          <w:lang w:val="en-US" w:eastAsia="en-US" w:bidi="en-US"/>
                        </w:rPr>
                        <w:t>GN61176 Incoming</w:t>
                      </w:r>
                    </w:p>
                  </w:txbxContent>
                </v:textbox>
                <w10:wrap type="topAndBottom"/>
              </v:shape>
            </w:pict>
          </mc:Fallback>
        </mc:AlternateContent>
      </w:r>
    </w:p>
    <w:p w:rsidR="00215B20" w:rsidRDefault="00FD0AA3">
      <w:pPr>
        <w:pStyle w:val="Nadpis60"/>
        <w:keepNext/>
        <w:keepLines/>
        <w:numPr>
          <w:ilvl w:val="1"/>
          <w:numId w:val="13"/>
        </w:numPr>
        <w:shd w:val="clear" w:color="auto" w:fill="auto"/>
        <w:tabs>
          <w:tab w:val="left" w:pos="459"/>
        </w:tabs>
        <w:spacing w:after="140" w:line="240" w:lineRule="auto"/>
      </w:pPr>
      <w:bookmarkStart w:id="182" w:name="bookmark182"/>
      <w:bookmarkStart w:id="183" w:name="bookmark183"/>
      <w:r>
        <w:rPr>
          <w:color w:val="231F20"/>
        </w:rPr>
        <w:t>Změna měřítka</w:t>
      </w:r>
      <w:bookmarkEnd w:id="182"/>
      <w:bookmarkEnd w:id="183"/>
    </w:p>
    <w:p w:rsidR="00215B20" w:rsidRDefault="00FD0AA3">
      <w:pPr>
        <w:pStyle w:val="Zkladntext20"/>
        <w:shd w:val="clear" w:color="auto" w:fill="auto"/>
        <w:spacing w:after="140" w:line="240" w:lineRule="auto"/>
      </w:pPr>
      <w:r>
        <w:t>Změnu měřítka zobrazení grafu lze vybírat z následujících hodnot:</w:t>
      </w:r>
    </w:p>
    <w:p w:rsidR="00215B20" w:rsidRDefault="00FD0AA3">
      <w:pPr>
        <w:pStyle w:val="Zkladntext20"/>
        <w:numPr>
          <w:ilvl w:val="0"/>
          <w:numId w:val="14"/>
        </w:numPr>
        <w:shd w:val="clear" w:color="auto" w:fill="auto"/>
        <w:tabs>
          <w:tab w:val="left" w:pos="1381"/>
        </w:tabs>
        <w:spacing w:after="80" w:line="240" w:lineRule="auto"/>
        <w:ind w:left="1100"/>
      </w:pPr>
      <w:r>
        <w:t xml:space="preserve">Den </w:t>
      </w:r>
      <w:r>
        <w:rPr>
          <w:lang w:val="en-US" w:eastAsia="en-US" w:bidi="en-US"/>
        </w:rPr>
        <w:t xml:space="preserve">(DAY): </w:t>
      </w:r>
      <w:r>
        <w:t xml:space="preserve">Pohled </w:t>
      </w:r>
      <w:r>
        <w:t>najeden den s 5ti minutovými měřeními (1d/5m);</w:t>
      </w:r>
    </w:p>
    <w:p w:rsidR="00215B20" w:rsidRDefault="00FD0AA3">
      <w:pPr>
        <w:pStyle w:val="Zkladntext20"/>
        <w:numPr>
          <w:ilvl w:val="0"/>
          <w:numId w:val="14"/>
        </w:numPr>
        <w:shd w:val="clear" w:color="auto" w:fill="auto"/>
        <w:tabs>
          <w:tab w:val="left" w:pos="1381"/>
        </w:tabs>
        <w:spacing w:after="80" w:line="240" w:lineRule="auto"/>
        <w:ind w:left="1100"/>
      </w:pPr>
      <w:r>
        <w:t xml:space="preserve">Týden </w:t>
      </w:r>
      <w:r>
        <w:rPr>
          <w:lang w:val="en-US" w:eastAsia="en-US" w:bidi="en-US"/>
        </w:rPr>
        <w:t xml:space="preserve">(WEEK): </w:t>
      </w:r>
      <w:r>
        <w:t>Pohled na 7 dní s 30ti minutovými měřeními (7d/30m);</w:t>
      </w:r>
    </w:p>
    <w:p w:rsidR="00215B20" w:rsidRDefault="00FD0AA3">
      <w:pPr>
        <w:pStyle w:val="Zkladntext20"/>
        <w:numPr>
          <w:ilvl w:val="0"/>
          <w:numId w:val="14"/>
        </w:numPr>
        <w:shd w:val="clear" w:color="auto" w:fill="auto"/>
        <w:tabs>
          <w:tab w:val="left" w:pos="1381"/>
        </w:tabs>
        <w:spacing w:after="80" w:line="240" w:lineRule="auto"/>
        <w:ind w:left="1100"/>
      </w:pPr>
      <w:r>
        <w:t xml:space="preserve">Měsíc </w:t>
      </w:r>
      <w:r>
        <w:rPr>
          <w:lang w:val="en-US" w:eastAsia="en-US" w:bidi="en-US"/>
        </w:rPr>
        <w:t xml:space="preserve">(MONTH): </w:t>
      </w:r>
      <w:r>
        <w:t>Pohled na 30 dní s hodinovými měřeními (30d/Hour);</w:t>
      </w:r>
    </w:p>
    <w:p w:rsidR="00215B20" w:rsidRDefault="00FD0AA3">
      <w:pPr>
        <w:pStyle w:val="Zkladntext20"/>
        <w:numPr>
          <w:ilvl w:val="0"/>
          <w:numId w:val="14"/>
        </w:numPr>
        <w:shd w:val="clear" w:color="auto" w:fill="auto"/>
        <w:tabs>
          <w:tab w:val="left" w:pos="1381"/>
        </w:tabs>
        <w:spacing w:after="140" w:line="240" w:lineRule="auto"/>
        <w:ind w:left="1100"/>
      </w:pPr>
      <w:r>
        <w:t xml:space="preserve">Rok </w:t>
      </w:r>
      <w:r w:rsidRPr="00920265">
        <w:rPr>
          <w:lang w:eastAsia="en-US" w:bidi="en-US"/>
        </w:rPr>
        <w:t xml:space="preserve">(YEAR): </w:t>
      </w:r>
      <w:r>
        <w:t>Pohled na12 měsíců se sedmidenními měřeními (12m/7d).</w:t>
      </w:r>
    </w:p>
    <w:p w:rsidR="00215B20" w:rsidRDefault="00FD0AA3">
      <w:pPr>
        <w:pStyle w:val="Zkladntext20"/>
        <w:shd w:val="clear" w:color="auto" w:fill="auto"/>
        <w:spacing w:after="140" w:line="240" w:lineRule="auto"/>
      </w:pPr>
      <w:r>
        <w:t>Posouvat m</w:t>
      </w:r>
      <w:r>
        <w:t>ezi zobrazenými obdobími lze pomocí tlačítek &lt; a&gt;.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9"/>
        <w:gridCol w:w="763"/>
        <w:gridCol w:w="1080"/>
        <w:gridCol w:w="2885"/>
      </w:tblGrid>
      <w:tr w:rsidR="00215B20">
        <w:tblPrEx>
          <w:tblCellMar>
            <w:top w:w="0" w:type="dxa"/>
            <w:bottom w:w="0" w:type="dxa"/>
          </w:tblCellMar>
        </w:tblPrEx>
        <w:trPr>
          <w:trHeight w:hRule="exact" w:val="202"/>
          <w:jc w:val="center"/>
        </w:trPr>
        <w:tc>
          <w:tcPr>
            <w:tcW w:w="149" w:type="dxa"/>
            <w:shd w:val="clear" w:color="auto" w:fill="FFFFFF"/>
          </w:tcPr>
          <w:p w:rsidR="00215B20" w:rsidRDefault="00215B20">
            <w:pPr>
              <w:rPr>
                <w:sz w:val="10"/>
                <w:szCs w:val="10"/>
              </w:rPr>
            </w:pPr>
          </w:p>
        </w:tc>
        <w:tc>
          <w:tcPr>
            <w:tcW w:w="763" w:type="dxa"/>
            <w:vMerge w:val="restart"/>
            <w:shd w:val="clear" w:color="auto" w:fill="FFFFFF"/>
            <w:vAlign w:val="bottom"/>
          </w:tcPr>
          <w:p w:rsidR="00215B20" w:rsidRDefault="00FD0AA3">
            <w:pPr>
              <w:pStyle w:val="Jin0"/>
              <w:shd w:val="clear" w:color="auto" w:fill="auto"/>
              <w:spacing w:after="0" w:line="240" w:lineRule="auto"/>
              <w:ind w:firstLine="400"/>
              <w:rPr>
                <w:sz w:val="14"/>
                <w:szCs w:val="14"/>
              </w:rPr>
            </w:pPr>
            <w:r>
              <w:rPr>
                <w:sz w:val="14"/>
                <w:szCs w:val="14"/>
              </w:rPr>
              <w:t>0.00</w:t>
            </w:r>
          </w:p>
        </w:tc>
        <w:tc>
          <w:tcPr>
            <w:tcW w:w="3965" w:type="dxa"/>
            <w:gridSpan w:val="2"/>
            <w:tcBorders>
              <w:top w:val="single" w:sz="4" w:space="0" w:color="auto"/>
              <w:left w:val="single" w:sz="4" w:space="0" w:color="auto"/>
            </w:tcBorders>
            <w:shd w:val="clear" w:color="auto" w:fill="46B648"/>
          </w:tcPr>
          <w:p w:rsidR="00215B20" w:rsidRDefault="00215B20">
            <w:pPr>
              <w:rPr>
                <w:sz w:val="10"/>
                <w:szCs w:val="10"/>
              </w:rPr>
            </w:pPr>
          </w:p>
        </w:tc>
      </w:tr>
      <w:tr w:rsidR="00215B20">
        <w:tblPrEx>
          <w:tblCellMar>
            <w:top w:w="0" w:type="dxa"/>
            <w:bottom w:w="0" w:type="dxa"/>
          </w:tblCellMar>
        </w:tblPrEx>
        <w:trPr>
          <w:trHeight w:hRule="exact" w:val="163"/>
          <w:jc w:val="center"/>
        </w:trPr>
        <w:tc>
          <w:tcPr>
            <w:tcW w:w="149" w:type="dxa"/>
            <w:shd w:val="clear" w:color="auto" w:fill="FFFFFF"/>
          </w:tcPr>
          <w:p w:rsidR="00215B20" w:rsidRDefault="00215B20">
            <w:pPr>
              <w:rPr>
                <w:sz w:val="10"/>
                <w:szCs w:val="10"/>
              </w:rPr>
            </w:pPr>
          </w:p>
        </w:tc>
        <w:tc>
          <w:tcPr>
            <w:tcW w:w="763" w:type="dxa"/>
            <w:vMerge/>
            <w:shd w:val="clear" w:color="auto" w:fill="FFFFFF"/>
            <w:vAlign w:val="bottom"/>
          </w:tcPr>
          <w:p w:rsidR="00215B20" w:rsidRDefault="00215B20"/>
        </w:tc>
        <w:tc>
          <w:tcPr>
            <w:tcW w:w="3965" w:type="dxa"/>
            <w:gridSpan w:val="2"/>
            <w:tcBorders>
              <w:top w:val="single" w:sz="4" w:space="0" w:color="auto"/>
              <w:left w:val="single" w:sz="4" w:space="0" w:color="auto"/>
            </w:tcBorders>
            <w:shd w:val="clear" w:color="auto" w:fill="FFFFFF"/>
          </w:tcPr>
          <w:p w:rsidR="00215B20" w:rsidRDefault="00215B20">
            <w:pPr>
              <w:rPr>
                <w:sz w:val="10"/>
                <w:szCs w:val="10"/>
              </w:rPr>
            </w:pPr>
          </w:p>
        </w:tc>
      </w:tr>
      <w:tr w:rsidR="00215B20">
        <w:tblPrEx>
          <w:tblCellMar>
            <w:top w:w="0" w:type="dxa"/>
            <w:bottom w:w="0" w:type="dxa"/>
          </w:tblCellMar>
        </w:tblPrEx>
        <w:trPr>
          <w:trHeight w:hRule="exact" w:val="274"/>
          <w:jc w:val="center"/>
        </w:trPr>
        <w:tc>
          <w:tcPr>
            <w:tcW w:w="149" w:type="dxa"/>
            <w:shd w:val="clear" w:color="auto" w:fill="FFFFFF"/>
          </w:tcPr>
          <w:p w:rsidR="00215B20" w:rsidRDefault="00215B20">
            <w:pPr>
              <w:rPr>
                <w:sz w:val="10"/>
                <w:szCs w:val="10"/>
              </w:rPr>
            </w:pPr>
          </w:p>
        </w:tc>
        <w:tc>
          <w:tcPr>
            <w:tcW w:w="1843" w:type="dxa"/>
            <w:gridSpan w:val="2"/>
            <w:tcBorders>
              <w:top w:val="single" w:sz="4" w:space="0" w:color="auto"/>
            </w:tcBorders>
            <w:shd w:val="clear" w:color="auto" w:fill="FFFFFF"/>
            <w:vAlign w:val="center"/>
          </w:tcPr>
          <w:p w:rsidR="00215B20" w:rsidRDefault="00FD0AA3">
            <w:pPr>
              <w:pStyle w:val="Jin0"/>
              <w:shd w:val="clear" w:color="auto" w:fill="auto"/>
              <w:tabs>
                <w:tab w:val="left" w:pos="1256"/>
              </w:tabs>
              <w:spacing w:after="0" w:line="240" w:lineRule="auto"/>
              <w:ind w:firstLine="560"/>
              <w:rPr>
                <w:sz w:val="14"/>
                <w:szCs w:val="14"/>
              </w:rPr>
            </w:pPr>
            <w:r>
              <w:rPr>
                <w:color w:val="000000"/>
                <w:sz w:val="14"/>
                <w:szCs w:val="14"/>
              </w:rPr>
              <w:t>14:00</w:t>
            </w:r>
            <w:r>
              <w:rPr>
                <w:color w:val="000000"/>
                <w:sz w:val="14"/>
                <w:szCs w:val="14"/>
              </w:rPr>
              <w:tab/>
              <w:t>15:00</w:t>
            </w:r>
          </w:p>
        </w:tc>
        <w:tc>
          <w:tcPr>
            <w:tcW w:w="2885" w:type="dxa"/>
            <w:tcBorders>
              <w:top w:val="single" w:sz="4" w:space="0" w:color="auto"/>
            </w:tcBorders>
            <w:shd w:val="clear" w:color="auto" w:fill="FFFFFF"/>
            <w:vAlign w:val="center"/>
          </w:tcPr>
          <w:p w:rsidR="00215B20" w:rsidRDefault="00FD0AA3">
            <w:pPr>
              <w:pStyle w:val="Jin0"/>
              <w:shd w:val="clear" w:color="auto" w:fill="auto"/>
              <w:tabs>
                <w:tab w:val="left" w:pos="696"/>
                <w:tab w:val="left" w:pos="1402"/>
                <w:tab w:val="left" w:pos="2098"/>
              </w:tabs>
              <w:spacing w:after="0" w:line="240" w:lineRule="auto"/>
              <w:rPr>
                <w:sz w:val="14"/>
                <w:szCs w:val="14"/>
              </w:rPr>
            </w:pPr>
            <w:r>
              <w:rPr>
                <w:sz w:val="14"/>
                <w:szCs w:val="14"/>
              </w:rPr>
              <w:t>16:00</w:t>
            </w:r>
            <w:r>
              <w:rPr>
                <w:sz w:val="14"/>
                <w:szCs w:val="14"/>
              </w:rPr>
              <w:tab/>
              <w:t>17:00</w:t>
            </w:r>
            <w:r>
              <w:rPr>
                <w:sz w:val="14"/>
                <w:szCs w:val="14"/>
              </w:rPr>
              <w:tab/>
              <w:t>18:00</w:t>
            </w:r>
            <w:r>
              <w:rPr>
                <w:sz w:val="14"/>
                <w:szCs w:val="14"/>
              </w:rPr>
              <w:tab/>
              <w:t>19:00</w:t>
            </w:r>
          </w:p>
        </w:tc>
      </w:tr>
      <w:tr w:rsidR="00215B20">
        <w:tblPrEx>
          <w:tblCellMar>
            <w:top w:w="0" w:type="dxa"/>
            <w:bottom w:w="0" w:type="dxa"/>
          </w:tblCellMar>
        </w:tblPrEx>
        <w:trPr>
          <w:trHeight w:hRule="exact" w:val="307"/>
          <w:jc w:val="center"/>
        </w:trPr>
        <w:tc>
          <w:tcPr>
            <w:tcW w:w="149" w:type="dxa"/>
            <w:tcBorders>
              <w:top w:val="single" w:sz="4" w:space="0" w:color="auto"/>
              <w:left w:val="single" w:sz="4" w:space="0" w:color="auto"/>
            </w:tcBorders>
            <w:shd w:val="clear" w:color="auto" w:fill="FFFFFF"/>
          </w:tcPr>
          <w:p w:rsidR="00215B20" w:rsidRDefault="00215B20">
            <w:pPr>
              <w:rPr>
                <w:sz w:val="10"/>
                <w:szCs w:val="10"/>
              </w:rPr>
            </w:pPr>
          </w:p>
        </w:tc>
        <w:tc>
          <w:tcPr>
            <w:tcW w:w="1843" w:type="dxa"/>
            <w:gridSpan w:val="2"/>
            <w:tcBorders>
              <w:top w:val="single" w:sz="4" w:space="0" w:color="auto"/>
            </w:tcBorders>
            <w:shd w:val="clear" w:color="auto" w:fill="FFFFFF"/>
          </w:tcPr>
          <w:p w:rsidR="00215B20" w:rsidRDefault="00FD0AA3">
            <w:pPr>
              <w:pStyle w:val="Jin0"/>
              <w:shd w:val="clear" w:color="auto" w:fill="auto"/>
              <w:spacing w:after="0" w:line="240" w:lineRule="auto"/>
            </w:pPr>
            <w:r>
              <w:rPr>
                <w:b/>
                <w:bCs/>
                <w:color w:val="929292"/>
              </w:rPr>
              <w:t xml:space="preserve">[~ </w:t>
            </w:r>
            <w:r>
              <w:rPr>
                <w:b/>
                <w:bCs/>
                <w:color w:val="444444"/>
              </w:rPr>
              <w:t xml:space="preserve">Day][ Week][~ </w:t>
            </w:r>
            <w:r>
              <w:rPr>
                <w:b/>
                <w:bCs/>
                <w:color w:val="444444"/>
                <w:lang w:val="en-US" w:eastAsia="en-US" w:bidi="en-US"/>
              </w:rPr>
              <w:t>Month</w:t>
            </w:r>
          </w:p>
        </w:tc>
        <w:tc>
          <w:tcPr>
            <w:tcW w:w="2885" w:type="dxa"/>
            <w:tcBorders>
              <w:top w:val="single" w:sz="4" w:space="0" w:color="auto"/>
              <w:right w:val="single" w:sz="4" w:space="0" w:color="auto"/>
            </w:tcBorders>
            <w:shd w:val="clear" w:color="auto" w:fill="FFFFFF"/>
          </w:tcPr>
          <w:p w:rsidR="00215B20" w:rsidRDefault="00FD0AA3">
            <w:pPr>
              <w:pStyle w:val="Jin0"/>
              <w:shd w:val="clear" w:color="auto" w:fill="auto"/>
              <w:tabs>
                <w:tab w:val="left" w:pos="1493"/>
                <w:tab w:val="left" w:pos="1814"/>
                <w:tab w:val="left" w:pos="2136"/>
              </w:tabs>
              <w:spacing w:after="0" w:line="240" w:lineRule="auto"/>
            </w:pPr>
            <w:r>
              <w:rPr>
                <w:b/>
                <w:bCs/>
                <w:lang w:val="en-US" w:eastAsia="en-US" w:bidi="en-US"/>
              </w:rPr>
              <w:t>Year Calendar</w:t>
            </w:r>
            <w:r>
              <w:rPr>
                <w:b/>
                <w:bCs/>
                <w:lang w:val="en-US" w:eastAsia="en-US" w:bidi="en-US"/>
              </w:rPr>
              <w:tab/>
              <w:t>&lt;</w:t>
            </w:r>
            <w:r>
              <w:rPr>
                <w:b/>
                <w:bCs/>
                <w:lang w:val="en-US" w:eastAsia="en-US" w:bidi="en-US"/>
              </w:rPr>
              <w:tab/>
              <w:t>&gt;</w:t>
            </w:r>
            <w:r>
              <w:rPr>
                <w:b/>
                <w:bCs/>
                <w:lang w:val="en-US" w:eastAsia="en-US" w:bidi="en-US"/>
              </w:rPr>
              <w:tab/>
            </w:r>
            <w:r>
              <w:rPr>
                <w:b/>
                <w:bCs/>
                <w:color w:val="444444"/>
                <w:lang w:val="en-US" w:eastAsia="en-US" w:bidi="en-US"/>
              </w:rPr>
              <w:t xml:space="preserve">+ </w:t>
            </w:r>
            <w:r>
              <w:rPr>
                <w:b/>
                <w:bCs/>
                <w:color w:val="929292"/>
                <w:lang w:val="en-US" w:eastAsia="en-US" w:bidi="en-US"/>
              </w:rPr>
              <w:t>j - |</w:t>
            </w:r>
          </w:p>
        </w:tc>
      </w:tr>
      <w:tr w:rsidR="00215B20">
        <w:tblPrEx>
          <w:tblCellMar>
            <w:top w:w="0" w:type="dxa"/>
            <w:bottom w:w="0" w:type="dxa"/>
          </w:tblCellMar>
        </w:tblPrEx>
        <w:trPr>
          <w:trHeight w:hRule="exact" w:val="312"/>
          <w:jc w:val="center"/>
        </w:trPr>
        <w:tc>
          <w:tcPr>
            <w:tcW w:w="149" w:type="dxa"/>
            <w:tcBorders>
              <w:left w:val="single" w:sz="4" w:space="0" w:color="auto"/>
            </w:tcBorders>
            <w:shd w:val="clear" w:color="auto" w:fill="FFFFFF"/>
          </w:tcPr>
          <w:p w:rsidR="00215B20" w:rsidRDefault="00215B20">
            <w:pPr>
              <w:rPr>
                <w:sz w:val="10"/>
                <w:szCs w:val="10"/>
              </w:rPr>
            </w:pPr>
          </w:p>
        </w:tc>
        <w:tc>
          <w:tcPr>
            <w:tcW w:w="4728" w:type="dxa"/>
            <w:gridSpan w:val="3"/>
            <w:tcBorders>
              <w:top w:val="single" w:sz="4" w:space="0" w:color="auto"/>
              <w:right w:val="single" w:sz="4" w:space="0" w:color="auto"/>
            </w:tcBorders>
            <w:shd w:val="clear" w:color="auto" w:fill="FFFFFF"/>
            <w:vAlign w:val="bottom"/>
          </w:tcPr>
          <w:p w:rsidR="00215B20" w:rsidRDefault="00FD0AA3">
            <w:pPr>
              <w:pStyle w:val="Jin0"/>
              <w:shd w:val="clear" w:color="auto" w:fill="auto"/>
              <w:spacing w:after="0" w:line="240" w:lineRule="auto"/>
              <w:rPr>
                <w:sz w:val="14"/>
                <w:szCs w:val="14"/>
              </w:rPr>
            </w:pPr>
            <w:r>
              <w:rPr>
                <w:b/>
                <w:bCs/>
                <w:sz w:val="14"/>
                <w:szCs w:val="14"/>
              </w:rPr>
              <w:t xml:space="preserve">Jž </w:t>
            </w:r>
            <w:r>
              <w:rPr>
                <w:b/>
                <w:bCs/>
                <w:sz w:val="14"/>
                <w:szCs w:val="14"/>
                <w:lang w:val="en-US" w:eastAsia="en-US" w:bidi="en-US"/>
              </w:rPr>
              <w:t>rows displayed</w:t>
            </w:r>
          </w:p>
        </w:tc>
      </w:tr>
      <w:tr w:rsidR="00215B20">
        <w:tblPrEx>
          <w:tblCellMar>
            <w:top w:w="0" w:type="dxa"/>
            <w:bottom w:w="0" w:type="dxa"/>
          </w:tblCellMar>
        </w:tblPrEx>
        <w:trPr>
          <w:trHeight w:hRule="exact" w:val="264"/>
          <w:jc w:val="center"/>
        </w:trPr>
        <w:tc>
          <w:tcPr>
            <w:tcW w:w="912" w:type="dxa"/>
            <w:gridSpan w:val="2"/>
            <w:shd w:val="clear" w:color="auto" w:fill="025D8E"/>
            <w:vAlign w:val="bottom"/>
          </w:tcPr>
          <w:p w:rsidR="00215B20" w:rsidRDefault="00FD0AA3">
            <w:pPr>
              <w:pStyle w:val="Jin0"/>
              <w:pBdr>
                <w:top w:val="single" w:sz="0" w:space="0" w:color="015D8E"/>
                <w:left w:val="single" w:sz="0" w:space="0" w:color="015D8E"/>
                <w:bottom w:val="single" w:sz="0" w:space="0" w:color="015D8E"/>
                <w:right w:val="single" w:sz="0" w:space="0" w:color="015D8E"/>
              </w:pBdr>
              <w:shd w:val="clear" w:color="auto" w:fill="015D8E"/>
              <w:tabs>
                <w:tab w:val="left" w:leader="underscore" w:pos="912"/>
              </w:tabs>
              <w:spacing w:after="0" w:line="240" w:lineRule="auto"/>
              <w:rPr>
                <w:sz w:val="32"/>
                <w:szCs w:val="32"/>
              </w:rPr>
            </w:pPr>
            <w:r>
              <w:rPr>
                <w:color w:val="FFFFFF"/>
                <w:sz w:val="32"/>
                <w:szCs w:val="32"/>
                <w:lang w:val="en-US" w:eastAsia="en-US" w:bidi="en-US"/>
              </w:rPr>
              <w:t>III</w:t>
            </w:r>
            <w:r>
              <w:rPr>
                <w:color w:val="FFFFFF"/>
                <w:sz w:val="32"/>
                <w:szCs w:val="32"/>
              </w:rPr>
              <w:tab/>
            </w:r>
          </w:p>
        </w:tc>
        <w:tc>
          <w:tcPr>
            <w:tcW w:w="1080" w:type="dxa"/>
            <w:shd w:val="clear" w:color="auto" w:fill="025D8E"/>
          </w:tcPr>
          <w:p w:rsidR="00215B20" w:rsidRDefault="00215B20">
            <w:pPr>
              <w:rPr>
                <w:sz w:val="10"/>
                <w:szCs w:val="10"/>
              </w:rPr>
            </w:pPr>
          </w:p>
        </w:tc>
        <w:tc>
          <w:tcPr>
            <w:tcW w:w="2885" w:type="dxa"/>
            <w:shd w:val="clear" w:color="auto" w:fill="025D8E"/>
            <w:vAlign w:val="bottom"/>
          </w:tcPr>
          <w:p w:rsidR="00215B20" w:rsidRDefault="00FD0AA3">
            <w:pPr>
              <w:pStyle w:val="Jin0"/>
              <w:pBdr>
                <w:top w:val="single" w:sz="0" w:space="0" w:color="015D8E"/>
                <w:left w:val="single" w:sz="0" w:space="0" w:color="015D8E"/>
                <w:bottom w:val="single" w:sz="0" w:space="0" w:color="015D8E"/>
                <w:right w:val="single" w:sz="0" w:space="0" w:color="015D8E"/>
              </w:pBdr>
              <w:shd w:val="clear" w:color="auto" w:fill="015D8E"/>
              <w:tabs>
                <w:tab w:val="left" w:pos="1027"/>
              </w:tabs>
              <w:spacing w:after="0" w:line="240" w:lineRule="auto"/>
              <w:jc w:val="right"/>
              <w:rPr>
                <w:sz w:val="14"/>
                <w:szCs w:val="14"/>
              </w:rPr>
            </w:pPr>
            <w:r>
              <w:rPr>
                <w:b/>
                <w:bCs/>
                <w:color w:val="FFFFFF"/>
                <w:sz w:val="14"/>
                <w:szCs w:val="14"/>
                <w:lang w:val="en-US" w:eastAsia="en-US" w:bidi="en-US"/>
              </w:rPr>
              <w:t>Name</w:t>
            </w:r>
            <w:r>
              <w:rPr>
                <w:b/>
                <w:bCs/>
                <w:color w:val="FFFFFF"/>
                <w:sz w:val="14"/>
                <w:szCs w:val="14"/>
                <w:lang w:val="en-US" w:eastAsia="en-US" w:bidi="en-US"/>
              </w:rPr>
              <w:tab/>
              <w:t>|</w:t>
            </w:r>
          </w:p>
        </w:tc>
      </w:tr>
    </w:tbl>
    <w:p w:rsidR="00215B20" w:rsidRDefault="00215B20">
      <w:pPr>
        <w:sectPr w:rsidR="00215B20">
          <w:type w:val="continuous"/>
          <w:pgSz w:w="11900" w:h="16840"/>
          <w:pgMar w:top="1830" w:right="1109" w:bottom="1912" w:left="1095" w:header="0" w:footer="3" w:gutter="0"/>
          <w:cols w:space="720"/>
          <w:noEndnote/>
          <w:docGrid w:linePitch="360"/>
        </w:sectPr>
      </w:pPr>
    </w:p>
    <w:p w:rsidR="00215B20" w:rsidRDefault="00FD0AA3">
      <w:pPr>
        <w:pStyle w:val="Zkladntext1"/>
        <w:numPr>
          <w:ilvl w:val="0"/>
          <w:numId w:val="13"/>
        </w:numPr>
        <w:shd w:val="clear" w:color="auto" w:fill="auto"/>
        <w:tabs>
          <w:tab w:val="left" w:pos="427"/>
        </w:tabs>
        <w:spacing w:after="100" w:line="240" w:lineRule="auto"/>
      </w:pPr>
      <w:r>
        <w:rPr>
          <w:b/>
          <w:bCs/>
          <w:color w:val="DE1273"/>
        </w:rPr>
        <w:lastRenderedPageBreak/>
        <w:t>Příklady grafů</w:t>
      </w:r>
    </w:p>
    <w:p w:rsidR="00215B20" w:rsidRDefault="00FD0AA3">
      <w:pPr>
        <w:pStyle w:val="Zkladntext1"/>
        <w:numPr>
          <w:ilvl w:val="1"/>
          <w:numId w:val="13"/>
        </w:numPr>
        <w:shd w:val="clear" w:color="auto" w:fill="auto"/>
        <w:tabs>
          <w:tab w:val="left" w:pos="427"/>
        </w:tabs>
        <w:spacing w:after="0" w:line="240" w:lineRule="auto"/>
        <w:sectPr w:rsidR="00215B20">
          <w:headerReference w:type="even" r:id="rId93"/>
          <w:headerReference w:type="default" r:id="rId94"/>
          <w:footerReference w:type="even" r:id="rId95"/>
          <w:footerReference w:type="default" r:id="rId96"/>
          <w:pgSz w:w="11900" w:h="16840"/>
          <w:pgMar w:top="2122" w:right="1112" w:bottom="1628" w:left="1102" w:header="0" w:footer="3" w:gutter="0"/>
          <w:cols w:space="720"/>
          <w:noEndnote/>
          <w:docGrid w:linePitch="360"/>
        </w:sectPr>
      </w:pPr>
      <w:r>
        <w:rPr>
          <w:b/>
          <w:bCs/>
        </w:rPr>
        <w:t xml:space="preserve">WAN/LAN Inteface </w:t>
      </w:r>
      <w:r>
        <w:rPr>
          <w:b/>
          <w:bCs/>
          <w:lang w:val="en-US" w:eastAsia="en-US" w:bidi="en-US"/>
        </w:rPr>
        <w:t>Traffic</w:t>
      </w:r>
    </w:p>
    <w:p w:rsidR="00215B20" w:rsidRDefault="00215B20">
      <w:pPr>
        <w:spacing w:line="79" w:lineRule="exact"/>
        <w:rPr>
          <w:sz w:val="6"/>
          <w:szCs w:val="6"/>
        </w:rPr>
      </w:pPr>
    </w:p>
    <w:p w:rsidR="00215B20" w:rsidRDefault="00215B20">
      <w:pPr>
        <w:spacing w:line="1" w:lineRule="exact"/>
        <w:sectPr w:rsidR="00215B20">
          <w:type w:val="continuous"/>
          <w:pgSz w:w="11900" w:h="16840"/>
          <w:pgMar w:top="1973" w:right="0" w:bottom="1109" w:left="0" w:header="0" w:footer="3" w:gutter="0"/>
          <w:cols w:space="720"/>
          <w:noEndnote/>
          <w:docGrid w:linePitch="360"/>
        </w:sectPr>
      </w:pPr>
    </w:p>
    <w:p w:rsidR="00215B20" w:rsidRDefault="00FD0AA3">
      <w:pPr>
        <w:spacing w:line="360" w:lineRule="exact"/>
      </w:pPr>
      <w:r>
        <w:rPr>
          <w:noProof/>
          <w:lang w:bidi="ar-SA"/>
        </w:rPr>
        <w:lastRenderedPageBreak/>
        <w:drawing>
          <wp:anchor distT="0" distB="0" distL="0" distR="0" simplePos="0" relativeHeight="62914833" behindDoc="1" locked="0" layoutInCell="1" allowOverlap="1">
            <wp:simplePos x="0" y="0"/>
            <wp:positionH relativeFrom="page">
              <wp:posOffset>736600</wp:posOffset>
            </wp:positionH>
            <wp:positionV relativeFrom="paragraph">
              <wp:posOffset>12700</wp:posOffset>
            </wp:positionV>
            <wp:extent cx="5974080" cy="2395855"/>
            <wp:effectExtent l="0" t="0" r="0" b="0"/>
            <wp:wrapNone/>
            <wp:docPr id="285" name="Shape 285"/>
            <wp:cNvGraphicFramePr/>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97"/>
                    <a:stretch/>
                  </pic:blipFill>
                  <pic:spPr>
                    <a:xfrm>
                      <a:off x="0" y="0"/>
                      <a:ext cx="5974080" cy="2395855"/>
                    </a:xfrm>
                    <a:prstGeom prst="rect">
                      <a:avLst/>
                    </a:prstGeom>
                  </pic:spPr>
                </pic:pic>
              </a:graphicData>
            </a:graphic>
          </wp:anchor>
        </w:drawing>
      </w: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after="527" w:line="1" w:lineRule="exact"/>
      </w:pPr>
    </w:p>
    <w:p w:rsidR="00215B20" w:rsidRDefault="00215B20">
      <w:pPr>
        <w:spacing w:line="1" w:lineRule="exact"/>
        <w:sectPr w:rsidR="00215B20">
          <w:type w:val="continuous"/>
          <w:pgSz w:w="11900" w:h="16840"/>
          <w:pgMar w:top="1973" w:right="1112" w:bottom="1109" w:left="1102" w:header="0" w:footer="3" w:gutter="0"/>
          <w:cols w:space="720"/>
          <w:noEndnote/>
          <w:docGrid w:linePitch="360"/>
        </w:sectPr>
      </w:pPr>
    </w:p>
    <w:p w:rsidR="00215B20" w:rsidRDefault="00FD0AA3">
      <w:pPr>
        <w:pStyle w:val="Nadpis60"/>
        <w:keepNext/>
        <w:keepLines/>
        <w:numPr>
          <w:ilvl w:val="1"/>
          <w:numId w:val="13"/>
        </w:numPr>
        <w:shd w:val="clear" w:color="auto" w:fill="auto"/>
        <w:tabs>
          <w:tab w:val="left" w:pos="422"/>
        </w:tabs>
        <w:spacing w:after="0" w:line="240" w:lineRule="auto"/>
        <w:sectPr w:rsidR="00215B20">
          <w:type w:val="continuous"/>
          <w:pgSz w:w="11900" w:h="16840"/>
          <w:pgMar w:top="2122" w:right="8052" w:bottom="1628" w:left="1102" w:header="0" w:footer="3" w:gutter="0"/>
          <w:cols w:space="720"/>
          <w:noEndnote/>
          <w:docGrid w:linePitch="360"/>
        </w:sectPr>
      </w:pPr>
      <w:bookmarkStart w:id="184" w:name="bookmark184"/>
      <w:bookmarkStart w:id="185" w:name="bookmark185"/>
      <w:r>
        <w:rPr>
          <w:color w:val="231F20"/>
        </w:rPr>
        <w:lastRenderedPageBreak/>
        <w:t xml:space="preserve">WAN/LAN </w:t>
      </w:r>
      <w:r>
        <w:rPr>
          <w:color w:val="231F20"/>
          <w:lang w:val="en-US" w:eastAsia="en-US" w:bidi="en-US"/>
        </w:rPr>
        <w:t>Interface Utilization</w:t>
      </w:r>
      <w:bookmarkEnd w:id="184"/>
      <w:bookmarkEnd w:id="185"/>
    </w:p>
    <w:p w:rsidR="00215B20" w:rsidRDefault="00215B20">
      <w:pPr>
        <w:spacing w:line="159" w:lineRule="exact"/>
        <w:rPr>
          <w:sz w:val="13"/>
          <w:szCs w:val="13"/>
        </w:rPr>
      </w:pPr>
    </w:p>
    <w:p w:rsidR="00215B20" w:rsidRDefault="00215B20">
      <w:pPr>
        <w:spacing w:line="1" w:lineRule="exact"/>
        <w:sectPr w:rsidR="00215B20">
          <w:type w:val="continuous"/>
          <w:pgSz w:w="11900" w:h="16840"/>
          <w:pgMar w:top="1973" w:right="0" w:bottom="1109" w:left="0" w:header="0" w:footer="3" w:gutter="0"/>
          <w:cols w:space="720"/>
          <w:noEndnote/>
          <w:docGrid w:linePitch="360"/>
        </w:sectPr>
      </w:pPr>
    </w:p>
    <w:p w:rsidR="00215B20" w:rsidRDefault="00FD0AA3">
      <w:pPr>
        <w:pStyle w:val="Titulekobrzku0"/>
        <w:framePr w:w="1397" w:h="163" w:wrap="none" w:vAnchor="text" w:hAnchor="page" w:x="1285" w:y="21"/>
        <w:pBdr>
          <w:top w:val="single" w:sz="0" w:space="0" w:color="055B8C"/>
          <w:left w:val="single" w:sz="0" w:space="0" w:color="055B8C"/>
          <w:bottom w:val="single" w:sz="0" w:space="0" w:color="055B8C"/>
          <w:right w:val="single" w:sz="0" w:space="0" w:color="055B8C"/>
        </w:pBdr>
        <w:shd w:val="clear" w:color="auto" w:fill="055B8C"/>
        <w:spacing w:line="240" w:lineRule="auto"/>
        <w:ind w:firstLine="0"/>
        <w:rPr>
          <w:sz w:val="9"/>
          <w:szCs w:val="9"/>
        </w:rPr>
      </w:pPr>
      <w:r>
        <w:rPr>
          <w:b/>
          <w:bCs/>
          <w:color w:val="FFFFFF"/>
          <w:sz w:val="9"/>
          <w:szCs w:val="9"/>
          <w:lang w:val="en-US" w:eastAsia="en-US" w:bidi="en-US"/>
        </w:rPr>
        <w:t xml:space="preserve">WAX Interface's} </w:t>
      </w:r>
      <w:r>
        <w:rPr>
          <w:b/>
          <w:bCs/>
          <w:color w:val="FFFFFF"/>
          <w:sz w:val="9"/>
          <w:szCs w:val="9"/>
        </w:rPr>
        <w:t xml:space="preserve">Ut </w:t>
      </w:r>
      <w:r>
        <w:rPr>
          <w:b/>
          <w:bCs/>
          <w:color w:val="FFFFFF"/>
          <w:sz w:val="9"/>
          <w:szCs w:val="9"/>
        </w:rPr>
        <w:t>ifczation</w:t>
      </w:r>
    </w:p>
    <w:p w:rsidR="00215B20" w:rsidRDefault="00FD0AA3">
      <w:pPr>
        <w:spacing w:line="360" w:lineRule="exact"/>
      </w:pPr>
      <w:r>
        <w:rPr>
          <w:noProof/>
          <w:lang w:bidi="ar-SA"/>
        </w:rPr>
        <w:lastRenderedPageBreak/>
        <w:drawing>
          <wp:anchor distT="130810" distB="0" distL="8890" distR="0" simplePos="0" relativeHeight="62914834" behindDoc="1" locked="0" layoutInCell="1" allowOverlap="1">
            <wp:simplePos x="0" y="0"/>
            <wp:positionH relativeFrom="page">
              <wp:posOffset>824230</wp:posOffset>
            </wp:positionH>
            <wp:positionV relativeFrom="paragraph">
              <wp:posOffset>143510</wp:posOffset>
            </wp:positionV>
            <wp:extent cx="5894705" cy="1420495"/>
            <wp:effectExtent l="0" t="0" r="0" b="0"/>
            <wp:wrapNone/>
            <wp:docPr id="287" name="Shape 287"/>
            <wp:cNvGraphicFramePr/>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98"/>
                    <a:stretch/>
                  </pic:blipFill>
                  <pic:spPr>
                    <a:xfrm>
                      <a:off x="0" y="0"/>
                      <a:ext cx="5894705" cy="1420495"/>
                    </a:xfrm>
                    <a:prstGeom prst="rect">
                      <a:avLst/>
                    </a:prstGeom>
                  </pic:spPr>
                </pic:pic>
              </a:graphicData>
            </a:graphic>
          </wp:anchor>
        </w:drawing>
      </w:r>
      <w:r>
        <w:rPr>
          <w:noProof/>
          <w:lang w:bidi="ar-SA"/>
        </w:rPr>
        <w:drawing>
          <wp:anchor distT="0" distB="0" distL="0" distR="0" simplePos="0" relativeHeight="62914835" behindDoc="1" locked="0" layoutInCell="1" allowOverlap="1">
            <wp:simplePos x="0" y="0"/>
            <wp:positionH relativeFrom="page">
              <wp:posOffset>818515</wp:posOffset>
            </wp:positionH>
            <wp:positionV relativeFrom="paragraph">
              <wp:posOffset>1591310</wp:posOffset>
            </wp:positionV>
            <wp:extent cx="5919470" cy="749935"/>
            <wp:effectExtent l="0" t="0" r="0" b="0"/>
            <wp:wrapNone/>
            <wp:docPr id="289" name="Shape 289"/>
            <wp:cNvGraphicFramePr/>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99"/>
                    <a:stretch/>
                  </pic:blipFill>
                  <pic:spPr>
                    <a:xfrm>
                      <a:off x="0" y="0"/>
                      <a:ext cx="5919470" cy="749935"/>
                    </a:xfrm>
                    <a:prstGeom prst="rect">
                      <a:avLst/>
                    </a:prstGeom>
                  </pic:spPr>
                </pic:pic>
              </a:graphicData>
            </a:graphic>
          </wp:anchor>
        </w:drawing>
      </w:r>
      <w:r>
        <w:rPr>
          <w:noProof/>
          <w:lang w:bidi="ar-SA"/>
        </w:rPr>
        <w:drawing>
          <wp:anchor distT="0" distB="0" distL="0" distR="0" simplePos="0" relativeHeight="62914836" behindDoc="1" locked="0" layoutInCell="1" allowOverlap="1">
            <wp:simplePos x="0" y="0"/>
            <wp:positionH relativeFrom="page">
              <wp:posOffset>6716395</wp:posOffset>
            </wp:positionH>
            <wp:positionV relativeFrom="paragraph">
              <wp:posOffset>1688465</wp:posOffset>
            </wp:positionV>
            <wp:extent cx="48895" cy="414655"/>
            <wp:effectExtent l="0" t="0" r="0" b="0"/>
            <wp:wrapNone/>
            <wp:docPr id="291" name="Shape 291"/>
            <wp:cNvGraphicFramePr/>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100"/>
                    <a:stretch/>
                  </pic:blipFill>
                  <pic:spPr>
                    <a:xfrm>
                      <a:off x="0" y="0"/>
                      <a:ext cx="48895" cy="414655"/>
                    </a:xfrm>
                    <a:prstGeom prst="rect">
                      <a:avLst/>
                    </a:prstGeom>
                  </pic:spPr>
                </pic:pic>
              </a:graphicData>
            </a:graphic>
          </wp:anchor>
        </w:drawing>
      </w: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after="441" w:line="1" w:lineRule="exact"/>
      </w:pPr>
    </w:p>
    <w:p w:rsidR="00215B20" w:rsidRDefault="00215B20">
      <w:pPr>
        <w:spacing w:line="1" w:lineRule="exact"/>
        <w:sectPr w:rsidR="00215B20">
          <w:type w:val="continuous"/>
          <w:pgSz w:w="11900" w:h="16840"/>
          <w:pgMar w:top="1973" w:right="1112" w:bottom="1109" w:left="1102" w:header="0" w:footer="3" w:gutter="0"/>
          <w:cols w:space="720"/>
          <w:noEndnote/>
          <w:docGrid w:linePitch="360"/>
        </w:sectPr>
      </w:pPr>
    </w:p>
    <w:p w:rsidR="00215B20" w:rsidRDefault="00215B20">
      <w:pPr>
        <w:spacing w:line="96" w:lineRule="exact"/>
        <w:rPr>
          <w:sz w:val="8"/>
          <w:szCs w:val="8"/>
        </w:rPr>
      </w:pPr>
    </w:p>
    <w:p w:rsidR="00215B20" w:rsidRDefault="00215B20">
      <w:pPr>
        <w:spacing w:line="1" w:lineRule="exact"/>
        <w:sectPr w:rsidR="00215B20">
          <w:type w:val="continuous"/>
          <w:pgSz w:w="11900" w:h="16840"/>
          <w:pgMar w:top="2122" w:right="0" w:bottom="1628" w:left="0" w:header="0" w:footer="3" w:gutter="0"/>
          <w:cols w:space="720"/>
          <w:noEndnote/>
          <w:docGrid w:linePitch="360"/>
        </w:sectPr>
      </w:pPr>
    </w:p>
    <w:p w:rsidR="00215B20" w:rsidRDefault="00FD0AA3">
      <w:pPr>
        <w:pStyle w:val="Nadpis60"/>
        <w:keepNext/>
        <w:keepLines/>
        <w:numPr>
          <w:ilvl w:val="1"/>
          <w:numId w:val="13"/>
        </w:numPr>
        <w:shd w:val="clear" w:color="auto" w:fill="auto"/>
        <w:tabs>
          <w:tab w:val="left" w:pos="422"/>
        </w:tabs>
        <w:spacing w:after="0" w:line="240" w:lineRule="auto"/>
        <w:sectPr w:rsidR="00215B20">
          <w:type w:val="continuous"/>
          <w:pgSz w:w="11900" w:h="16840"/>
          <w:pgMar w:top="2122" w:right="8052" w:bottom="1628" w:left="1102" w:header="0" w:footer="3" w:gutter="0"/>
          <w:cols w:space="720"/>
          <w:noEndnote/>
          <w:docGrid w:linePitch="360"/>
        </w:sectPr>
      </w:pPr>
      <w:bookmarkStart w:id="186" w:name="bookmark186"/>
      <w:bookmarkStart w:id="187" w:name="bookmark187"/>
      <w:r>
        <w:rPr>
          <w:color w:val="231F20"/>
        </w:rPr>
        <w:lastRenderedPageBreak/>
        <w:t xml:space="preserve">WAN/LAN </w:t>
      </w:r>
      <w:r>
        <w:rPr>
          <w:color w:val="231F20"/>
          <w:lang w:val="en-US" w:eastAsia="en-US" w:bidi="en-US"/>
        </w:rPr>
        <w:t>Interface Speed</w:t>
      </w:r>
      <w:bookmarkEnd w:id="186"/>
      <w:bookmarkEnd w:id="187"/>
    </w:p>
    <w:p w:rsidR="00215B20" w:rsidRDefault="00FD0AA3">
      <w:pPr>
        <w:pStyle w:val="Titulekobrzku0"/>
        <w:framePr w:w="2050" w:h="197" w:wrap="none" w:vAnchor="text" w:hAnchor="page" w:x="4958" w:y="3429"/>
        <w:shd w:val="clear" w:color="auto" w:fill="auto"/>
        <w:spacing w:line="240" w:lineRule="auto"/>
        <w:ind w:firstLine="0"/>
        <w:rPr>
          <w:sz w:val="13"/>
          <w:szCs w:val="13"/>
        </w:rPr>
      </w:pPr>
      <w:r>
        <w:rPr>
          <w:color w:val="231F20"/>
          <w:sz w:val="13"/>
          <w:szCs w:val="13"/>
        </w:rPr>
        <w:t>Grafzobrazuje rychlost přípojky.</w:t>
      </w:r>
    </w:p>
    <w:p w:rsidR="00215B20" w:rsidRDefault="00FD0AA3">
      <w:pPr>
        <w:spacing w:line="360" w:lineRule="exact"/>
      </w:pPr>
      <w:r>
        <w:rPr>
          <w:noProof/>
          <w:lang w:bidi="ar-SA"/>
        </w:rPr>
        <w:lastRenderedPageBreak/>
        <w:drawing>
          <wp:anchor distT="0" distB="207010" distL="0" distR="0" simplePos="0" relativeHeight="62914837" behindDoc="1" locked="0" layoutInCell="1" allowOverlap="1">
            <wp:simplePos x="0" y="0"/>
            <wp:positionH relativeFrom="page">
              <wp:posOffset>794385</wp:posOffset>
            </wp:positionH>
            <wp:positionV relativeFrom="paragraph">
              <wp:posOffset>12700</wp:posOffset>
            </wp:positionV>
            <wp:extent cx="5974080" cy="2084705"/>
            <wp:effectExtent l="0" t="0" r="0" b="0"/>
            <wp:wrapNone/>
            <wp:docPr id="293" name="Shape 293"/>
            <wp:cNvGraphicFramePr/>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101"/>
                    <a:stretch/>
                  </pic:blipFill>
                  <pic:spPr>
                    <a:xfrm>
                      <a:off x="0" y="0"/>
                      <a:ext cx="5974080" cy="2084705"/>
                    </a:xfrm>
                    <a:prstGeom prst="rect">
                      <a:avLst/>
                    </a:prstGeom>
                  </pic:spPr>
                </pic:pic>
              </a:graphicData>
            </a:graphic>
          </wp:anchor>
        </w:drawing>
      </w: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after="364" w:line="1" w:lineRule="exact"/>
      </w:pPr>
    </w:p>
    <w:p w:rsidR="00215B20" w:rsidRDefault="00215B20">
      <w:pPr>
        <w:spacing w:line="1" w:lineRule="exact"/>
        <w:sectPr w:rsidR="00215B20">
          <w:type w:val="continuous"/>
          <w:pgSz w:w="11900" w:h="16840"/>
          <w:pgMar w:top="1973" w:right="1112" w:bottom="1109" w:left="1102" w:header="0" w:footer="3" w:gutter="0"/>
          <w:cols w:space="720"/>
          <w:noEndnote/>
          <w:docGrid w:linePitch="360"/>
        </w:sectPr>
      </w:pPr>
    </w:p>
    <w:p w:rsidR="00215B20" w:rsidRDefault="00215B20">
      <w:pPr>
        <w:spacing w:line="99" w:lineRule="exact"/>
        <w:rPr>
          <w:sz w:val="8"/>
          <w:szCs w:val="8"/>
        </w:rPr>
      </w:pPr>
    </w:p>
    <w:p w:rsidR="00215B20" w:rsidRDefault="00215B20">
      <w:pPr>
        <w:spacing w:line="1" w:lineRule="exact"/>
        <w:sectPr w:rsidR="00215B20">
          <w:pgSz w:w="11900" w:h="16840"/>
          <w:pgMar w:top="1973" w:right="1145" w:bottom="1109" w:left="1102" w:header="0" w:footer="3" w:gutter="0"/>
          <w:cols w:space="720"/>
          <w:noEndnote/>
          <w:docGrid w:linePitch="360"/>
        </w:sectPr>
      </w:pPr>
    </w:p>
    <w:p w:rsidR="00215B20" w:rsidRDefault="00FD0AA3">
      <w:pPr>
        <w:pStyle w:val="Nadpis60"/>
        <w:keepNext/>
        <w:keepLines/>
        <w:framePr w:w="3130" w:h="221" w:wrap="none" w:vAnchor="text" w:hAnchor="page" w:x="1103" w:y="21"/>
        <w:shd w:val="clear" w:color="auto" w:fill="auto"/>
        <w:spacing w:after="0" w:line="240" w:lineRule="auto"/>
      </w:pPr>
      <w:bookmarkStart w:id="188" w:name="bookmark188"/>
      <w:bookmarkStart w:id="189" w:name="bookmark189"/>
      <w:r>
        <w:rPr>
          <w:color w:val="231F20"/>
        </w:rPr>
        <w:t xml:space="preserve">6.4 </w:t>
      </w:r>
      <w:r>
        <w:rPr>
          <w:color w:val="231F20"/>
          <w:lang w:val="en-US" w:eastAsia="en-US" w:bidi="en-US"/>
        </w:rPr>
        <w:t>QoS Downstream/Upstream Traffic</w:t>
      </w:r>
      <w:bookmarkEnd w:id="188"/>
      <w:bookmarkEnd w:id="189"/>
    </w:p>
    <w:p w:rsidR="00215B20" w:rsidRDefault="00FD0AA3">
      <w:pPr>
        <w:pStyle w:val="Titulekobrzku0"/>
        <w:framePr w:w="658" w:h="134" w:wrap="none" w:vAnchor="text" w:hAnchor="page" w:x="1449" w:y="3428"/>
        <w:shd w:val="clear" w:color="auto" w:fill="auto"/>
        <w:spacing w:line="240" w:lineRule="auto"/>
        <w:ind w:firstLine="0"/>
        <w:rPr>
          <w:sz w:val="8"/>
          <w:szCs w:val="8"/>
        </w:rPr>
      </w:pPr>
      <w:r>
        <w:rPr>
          <w:color w:val="231F20"/>
          <w:sz w:val="8"/>
          <w:szCs w:val="8"/>
        </w:rPr>
        <w:t>5N61176 BRONZE</w:t>
      </w:r>
    </w:p>
    <w:p w:rsidR="00215B20" w:rsidRDefault="00FD0AA3">
      <w:pPr>
        <w:pStyle w:val="Titulekobrzku0"/>
        <w:framePr w:w="350" w:h="134" w:wrap="none" w:vAnchor="text" w:hAnchor="page" w:x="6052" w:y="3428"/>
        <w:shd w:val="clear" w:color="auto" w:fill="auto"/>
        <w:spacing w:line="240" w:lineRule="auto"/>
        <w:ind w:firstLine="0"/>
        <w:rPr>
          <w:sz w:val="8"/>
          <w:szCs w:val="8"/>
        </w:rPr>
      </w:pPr>
      <w:r>
        <w:rPr>
          <w:sz w:val="8"/>
          <w:szCs w:val="8"/>
        </w:rPr>
        <w:t>0.00127</w:t>
      </w:r>
    </w:p>
    <w:p w:rsidR="00215B20" w:rsidRDefault="00FD0AA3">
      <w:pPr>
        <w:pStyle w:val="Titulekobrzku0"/>
        <w:framePr w:w="590" w:h="125" w:wrap="none" w:vAnchor="text" w:hAnchor="page" w:x="1420" w:y="3568"/>
        <w:shd w:val="clear" w:color="auto" w:fill="auto"/>
        <w:spacing w:line="240" w:lineRule="auto"/>
        <w:ind w:firstLine="0"/>
        <w:rPr>
          <w:sz w:val="8"/>
          <w:szCs w:val="8"/>
        </w:rPr>
      </w:pPr>
      <w:r>
        <w:rPr>
          <w:sz w:val="8"/>
          <w:szCs w:val="8"/>
        </w:rPr>
        <w:t xml:space="preserve">GN61176 </w:t>
      </w:r>
      <w:r>
        <w:rPr>
          <w:sz w:val="8"/>
          <w:szCs w:val="8"/>
          <w:lang w:val="en-US" w:eastAsia="en-US" w:bidi="en-US"/>
        </w:rPr>
        <w:t>GOLD</w:t>
      </w:r>
    </w:p>
    <w:p w:rsidR="00215B20" w:rsidRDefault="00FD0AA3">
      <w:pPr>
        <w:pStyle w:val="Titulekobrzku0"/>
        <w:framePr w:w="384" w:h="125" w:wrap="none" w:vAnchor="text" w:hAnchor="page" w:x="6052" w:y="3568"/>
        <w:shd w:val="clear" w:color="auto" w:fill="auto"/>
        <w:spacing w:line="240" w:lineRule="auto"/>
        <w:ind w:firstLine="0"/>
        <w:rPr>
          <w:sz w:val="8"/>
          <w:szCs w:val="8"/>
        </w:rPr>
      </w:pPr>
      <w:r>
        <w:rPr>
          <w:sz w:val="8"/>
          <w:szCs w:val="8"/>
        </w:rPr>
        <w:t>0.000349</w:t>
      </w:r>
    </w:p>
    <w:p w:rsidR="00215B20" w:rsidRDefault="00FD0AA3">
      <w:pPr>
        <w:pStyle w:val="Titulekobrzku0"/>
        <w:framePr w:w="350" w:h="125" w:wrap="none" w:vAnchor="text" w:hAnchor="page" w:x="7161" w:y="3568"/>
        <w:shd w:val="clear" w:color="auto" w:fill="auto"/>
        <w:spacing w:line="240" w:lineRule="auto"/>
        <w:ind w:firstLine="0"/>
        <w:rPr>
          <w:sz w:val="8"/>
          <w:szCs w:val="8"/>
        </w:rPr>
      </w:pPr>
      <w:r>
        <w:rPr>
          <w:color w:val="6B6C6F"/>
          <w:sz w:val="8"/>
          <w:szCs w:val="8"/>
        </w:rPr>
        <w:t>0.00131</w:t>
      </w:r>
    </w:p>
    <w:p w:rsidR="00215B20" w:rsidRDefault="00FD0AA3">
      <w:pPr>
        <w:pStyle w:val="Titulekobrzku0"/>
        <w:framePr w:w="350" w:h="125" w:wrap="none" w:vAnchor="text" w:hAnchor="page" w:x="9383" w:y="3568"/>
        <w:shd w:val="clear" w:color="auto" w:fill="auto"/>
        <w:spacing w:line="240" w:lineRule="auto"/>
        <w:ind w:firstLine="0"/>
        <w:rPr>
          <w:sz w:val="8"/>
          <w:szCs w:val="8"/>
        </w:rPr>
      </w:pPr>
      <w:r>
        <w:rPr>
          <w:color w:val="6B6C6F"/>
          <w:sz w:val="8"/>
          <w:szCs w:val="8"/>
        </w:rPr>
        <w:t>0.00131</w:t>
      </w:r>
    </w:p>
    <w:p w:rsidR="00215B20" w:rsidRDefault="00FD0AA3">
      <w:pPr>
        <w:pStyle w:val="Titulekobrzku0"/>
        <w:framePr w:w="384" w:h="134" w:wrap="none" w:vAnchor="text" w:hAnchor="page" w:x="6052" w:y="3697"/>
        <w:shd w:val="clear" w:color="auto" w:fill="auto"/>
        <w:spacing w:line="240" w:lineRule="auto"/>
        <w:ind w:firstLine="0"/>
        <w:rPr>
          <w:sz w:val="8"/>
          <w:szCs w:val="8"/>
        </w:rPr>
      </w:pPr>
      <w:r>
        <w:rPr>
          <w:sz w:val="8"/>
          <w:szCs w:val="8"/>
        </w:rPr>
        <w:t>0.000341</w:t>
      </w:r>
    </w:p>
    <w:p w:rsidR="00215B20" w:rsidRDefault="00FD0AA3">
      <w:pPr>
        <w:pStyle w:val="Titulekobrzku0"/>
        <w:framePr w:w="389" w:h="134" w:wrap="none" w:vAnchor="text" w:hAnchor="page" w:x="7161" w:y="3697"/>
        <w:shd w:val="clear" w:color="auto" w:fill="auto"/>
        <w:spacing w:line="240" w:lineRule="auto"/>
        <w:ind w:firstLine="0"/>
        <w:rPr>
          <w:sz w:val="8"/>
          <w:szCs w:val="8"/>
        </w:rPr>
      </w:pPr>
      <w:r>
        <w:rPr>
          <w:sz w:val="8"/>
          <w:szCs w:val="8"/>
        </w:rPr>
        <w:t>0.000991</w:t>
      </w:r>
    </w:p>
    <w:p w:rsidR="00215B20" w:rsidRDefault="00FD0AA3">
      <w:pPr>
        <w:pStyle w:val="Titulekobrzku0"/>
        <w:framePr w:w="350" w:h="134" w:wrap="none" w:vAnchor="text" w:hAnchor="page" w:x="8274" w:y="3697"/>
        <w:shd w:val="clear" w:color="auto" w:fill="auto"/>
        <w:spacing w:line="240" w:lineRule="auto"/>
        <w:ind w:firstLine="0"/>
        <w:rPr>
          <w:sz w:val="8"/>
          <w:szCs w:val="8"/>
        </w:rPr>
      </w:pPr>
      <w:r>
        <w:rPr>
          <w:sz w:val="8"/>
          <w:szCs w:val="8"/>
        </w:rPr>
        <w:t>0.00144</w:t>
      </w:r>
    </w:p>
    <w:p w:rsidR="00215B20" w:rsidRDefault="00FD0AA3">
      <w:pPr>
        <w:pStyle w:val="Titulekobrzku0"/>
        <w:framePr w:w="346" w:h="134" w:wrap="none" w:vAnchor="text" w:hAnchor="page" w:x="9383" w:y="3697"/>
        <w:shd w:val="clear" w:color="auto" w:fill="auto"/>
        <w:spacing w:line="240" w:lineRule="auto"/>
        <w:ind w:firstLine="0"/>
        <w:rPr>
          <w:sz w:val="8"/>
          <w:szCs w:val="8"/>
        </w:rPr>
      </w:pPr>
      <w:r>
        <w:rPr>
          <w:sz w:val="8"/>
          <w:szCs w:val="8"/>
        </w:rPr>
        <w:t>0.00106</w:t>
      </w:r>
    </w:p>
    <w:p w:rsidR="00215B20" w:rsidRDefault="00FD0AA3">
      <w:pPr>
        <w:pStyle w:val="Titulekobrzku0"/>
        <w:framePr w:w="1200" w:h="154" w:wrap="none" w:vAnchor="text" w:hAnchor="page" w:x="1228" w:y="419"/>
        <w:pBdr>
          <w:top w:val="single" w:sz="0" w:space="0" w:color="055B8D"/>
          <w:left w:val="single" w:sz="0" w:space="0" w:color="055B8D"/>
          <w:bottom w:val="single" w:sz="0" w:space="0" w:color="055B8D"/>
          <w:right w:val="single" w:sz="0" w:space="0" w:color="055B8D"/>
        </w:pBdr>
        <w:shd w:val="clear" w:color="auto" w:fill="055B8D"/>
        <w:spacing w:line="240" w:lineRule="auto"/>
        <w:ind w:firstLine="0"/>
        <w:rPr>
          <w:sz w:val="9"/>
          <w:szCs w:val="9"/>
        </w:rPr>
      </w:pPr>
      <w:r>
        <w:rPr>
          <w:b/>
          <w:bCs/>
          <w:color w:val="FFFFFF"/>
          <w:sz w:val="9"/>
          <w:szCs w:val="9"/>
          <w:lang w:val="en-US" w:eastAsia="en-US" w:bidi="en-US"/>
        </w:rPr>
        <w:t>QoS Downstream Traffic</w:t>
      </w:r>
    </w:p>
    <w:p w:rsidR="00215B20" w:rsidRDefault="00FD0AA3">
      <w:pPr>
        <w:pStyle w:val="Titulekobrzku0"/>
        <w:framePr w:w="4330" w:h="149" w:wrap="none" w:vAnchor="text" w:hAnchor="page" w:x="1209" w:y="592"/>
        <w:shd w:val="clear" w:color="auto" w:fill="auto"/>
        <w:spacing w:line="240" w:lineRule="auto"/>
        <w:ind w:firstLine="0"/>
        <w:rPr>
          <w:sz w:val="8"/>
          <w:szCs w:val="8"/>
        </w:rPr>
      </w:pPr>
      <w:r>
        <w:rPr>
          <w:color w:val="000000"/>
          <w:sz w:val="8"/>
          <w:szCs w:val="8"/>
          <w:lang w:val="en-US" w:eastAsia="en-US" w:bidi="en-US"/>
        </w:rPr>
        <w:t xml:space="preserve">QoS </w:t>
      </w:r>
      <w:r>
        <w:rPr>
          <w:color w:val="231F20"/>
          <w:sz w:val="8"/>
          <w:szCs w:val="8"/>
          <w:lang w:val="en-US" w:eastAsia="en-US" w:bidi="en-US"/>
        </w:rPr>
        <w:t xml:space="preserve">Downstream Traffic (Circuit ID: GH61176) (11.4.13 9:15 - 12.4.13 9:19 </w:t>
      </w:r>
      <w:r>
        <w:rPr>
          <w:color w:val="231F20"/>
          <w:sz w:val="8"/>
          <w:szCs w:val="8"/>
        </w:rPr>
        <w:t xml:space="preserve">CEST </w:t>
      </w:r>
      <w:r>
        <w:rPr>
          <w:color w:val="231F20"/>
          <w:sz w:val="8"/>
          <w:szCs w:val="8"/>
          <w:lang w:val="en-US" w:eastAsia="en-US" w:bidi="en-US"/>
        </w:rPr>
        <w:t>(UTC+0200))</w:t>
      </w:r>
    </w:p>
    <w:p w:rsidR="00215B20" w:rsidRDefault="00FD0AA3">
      <w:pPr>
        <w:pStyle w:val="Titulekobrzku0"/>
        <w:framePr w:w="2861" w:h="350" w:wrap="none" w:vAnchor="text" w:hAnchor="page" w:x="2831" w:y="2756"/>
        <w:shd w:val="clear" w:color="auto" w:fill="auto"/>
        <w:tabs>
          <w:tab w:val="left" w:pos="365"/>
          <w:tab w:val="left" w:pos="734"/>
          <w:tab w:val="left" w:pos="1104"/>
          <w:tab w:val="left" w:pos="1469"/>
          <w:tab w:val="left" w:pos="1838"/>
          <w:tab w:val="left" w:pos="2208"/>
          <w:tab w:val="left" w:pos="2578"/>
        </w:tabs>
        <w:spacing w:line="240" w:lineRule="auto"/>
        <w:ind w:firstLine="0"/>
        <w:jc w:val="center"/>
        <w:rPr>
          <w:sz w:val="8"/>
          <w:szCs w:val="8"/>
        </w:rPr>
      </w:pPr>
      <w:r>
        <w:rPr>
          <w:sz w:val="8"/>
          <w:szCs w:val="8"/>
          <w:lang w:val="en-US" w:eastAsia="en-US" w:bidi="en-US"/>
        </w:rPr>
        <w:t>13:00</w:t>
      </w:r>
      <w:r>
        <w:rPr>
          <w:sz w:val="8"/>
          <w:szCs w:val="8"/>
          <w:lang w:val="en-US" w:eastAsia="en-US" w:bidi="en-US"/>
        </w:rPr>
        <w:tab/>
      </w:r>
      <w:r>
        <w:rPr>
          <w:color w:val="000000"/>
          <w:sz w:val="8"/>
          <w:szCs w:val="8"/>
          <w:lang w:val="en-US" w:eastAsia="en-US" w:bidi="en-US"/>
        </w:rPr>
        <w:t>14:00</w:t>
      </w:r>
      <w:r>
        <w:rPr>
          <w:color w:val="000000"/>
          <w:sz w:val="8"/>
          <w:szCs w:val="8"/>
          <w:lang w:val="en-US" w:eastAsia="en-US" w:bidi="en-US"/>
        </w:rPr>
        <w:tab/>
      </w:r>
      <w:r>
        <w:rPr>
          <w:sz w:val="8"/>
          <w:szCs w:val="8"/>
          <w:lang w:val="en-US" w:eastAsia="en-US" w:bidi="en-US"/>
        </w:rPr>
        <w:t>15:00</w:t>
      </w:r>
      <w:r>
        <w:rPr>
          <w:sz w:val="8"/>
          <w:szCs w:val="8"/>
          <w:lang w:val="en-US" w:eastAsia="en-US" w:bidi="en-US"/>
        </w:rPr>
        <w:tab/>
      </w:r>
      <w:r>
        <w:rPr>
          <w:color w:val="000000"/>
          <w:sz w:val="8"/>
          <w:szCs w:val="8"/>
          <w:lang w:val="en-US" w:eastAsia="en-US" w:bidi="en-US"/>
        </w:rPr>
        <w:t>16:00</w:t>
      </w:r>
      <w:r>
        <w:rPr>
          <w:color w:val="000000"/>
          <w:sz w:val="8"/>
          <w:szCs w:val="8"/>
          <w:lang w:val="en-US" w:eastAsia="en-US" w:bidi="en-US"/>
        </w:rPr>
        <w:tab/>
        <w:t>17:00</w:t>
      </w:r>
      <w:r>
        <w:rPr>
          <w:color w:val="000000"/>
          <w:sz w:val="8"/>
          <w:szCs w:val="8"/>
          <w:lang w:val="en-US" w:eastAsia="en-US" w:bidi="en-US"/>
        </w:rPr>
        <w:tab/>
      </w:r>
      <w:r>
        <w:rPr>
          <w:sz w:val="8"/>
          <w:szCs w:val="8"/>
          <w:lang w:val="en-US" w:eastAsia="en-US" w:bidi="en-US"/>
        </w:rPr>
        <w:t>18:00</w:t>
      </w:r>
      <w:r>
        <w:rPr>
          <w:sz w:val="8"/>
          <w:szCs w:val="8"/>
          <w:lang w:val="en-US" w:eastAsia="en-US" w:bidi="en-US"/>
        </w:rPr>
        <w:tab/>
      </w:r>
      <w:r>
        <w:rPr>
          <w:color w:val="000000"/>
          <w:sz w:val="8"/>
          <w:szCs w:val="8"/>
          <w:lang w:val="en-US" w:eastAsia="en-US" w:bidi="en-US"/>
        </w:rPr>
        <w:t>19:00</w:t>
      </w:r>
      <w:r>
        <w:rPr>
          <w:color w:val="000000"/>
          <w:sz w:val="8"/>
          <w:szCs w:val="8"/>
          <w:lang w:val="en-US" w:eastAsia="en-US" w:bidi="en-US"/>
        </w:rPr>
        <w:tab/>
      </w:r>
      <w:r>
        <w:rPr>
          <w:sz w:val="8"/>
          <w:szCs w:val="8"/>
          <w:lang w:val="en-US" w:eastAsia="en-US" w:bidi="en-US"/>
        </w:rPr>
        <w:t>20:00</w:t>
      </w:r>
    </w:p>
    <w:p w:rsidR="00215B20" w:rsidRDefault="00FD0AA3">
      <w:pPr>
        <w:pStyle w:val="Titulekobrzku0"/>
        <w:framePr w:w="2861" w:h="350" w:wrap="none" w:vAnchor="text" w:hAnchor="page" w:x="2831" w:y="2756"/>
        <w:shd w:val="clear" w:color="auto" w:fill="auto"/>
        <w:spacing w:line="240" w:lineRule="auto"/>
        <w:ind w:firstLine="0"/>
        <w:jc w:val="center"/>
        <w:rPr>
          <w:sz w:val="8"/>
          <w:szCs w:val="8"/>
        </w:rPr>
      </w:pPr>
      <w:r>
        <w:rPr>
          <w:color w:val="6B6C6F"/>
          <w:sz w:val="8"/>
          <w:szCs w:val="8"/>
          <w:u w:val="single"/>
          <w:lang w:val="en-US" w:eastAsia="en-US" w:bidi="en-US"/>
        </w:rPr>
        <w:t>&gt; Jf+l</w:t>
      </w:r>
      <w:r>
        <w:rPr>
          <w:color w:val="6B6C6F"/>
          <w:sz w:val="8"/>
          <w:szCs w:val="8"/>
          <w:lang w:val="en-US" w:eastAsia="en-US" w:bidi="en-US"/>
        </w:rPr>
        <w:t xml:space="preserve">p] </w:t>
      </w:r>
      <w:r>
        <w:rPr>
          <w:color w:val="929292"/>
          <w:sz w:val="8"/>
          <w:szCs w:val="8"/>
          <w:lang w:val="en-US" w:eastAsia="en-US" w:bidi="en-US"/>
        </w:rPr>
        <w:t xml:space="preserve">I </w:t>
      </w:r>
      <w:r>
        <w:rPr>
          <w:sz w:val="8"/>
          <w:szCs w:val="8"/>
          <w:u w:val="single"/>
          <w:lang w:val="en-US" w:eastAsia="en-US" w:bidi="en-US"/>
        </w:rPr>
        <w:t>Apply to aiF</w:t>
      </w:r>
      <w:r>
        <w:rPr>
          <w:sz w:val="8"/>
          <w:szCs w:val="8"/>
          <w:lang w:val="en-US" w:eastAsia="en-US" w:bidi="en-US"/>
        </w:rPr>
        <w:t xml:space="preserve"> FReset Popup More...</w:t>
      </w:r>
    </w:p>
    <w:p w:rsidR="00215B20" w:rsidRDefault="00FD0AA3">
      <w:pPr>
        <w:pStyle w:val="Titulekobrzku0"/>
        <w:framePr w:w="1589" w:h="211" w:wrap="none" w:vAnchor="text" w:hAnchor="page" w:x="1209" w:y="2891"/>
        <w:shd w:val="clear" w:color="auto" w:fill="auto"/>
        <w:spacing w:line="240" w:lineRule="auto"/>
        <w:ind w:firstLine="0"/>
      </w:pPr>
      <w:r>
        <w:rPr>
          <w:rFonts w:ascii="Calibri" w:eastAsia="Calibri" w:hAnsi="Calibri" w:cs="Calibri"/>
          <w:color w:val="231F20"/>
          <w:lang w:val="en-US" w:eastAsia="en-US" w:bidi="en-US"/>
        </w:rPr>
        <w:t>day week month Calendar</w:t>
      </w:r>
    </w:p>
    <w:p w:rsidR="00215B20" w:rsidRDefault="00FD0AA3">
      <w:pPr>
        <w:pStyle w:val="Titulekobrzku0"/>
        <w:framePr w:w="730" w:h="139" w:wrap="none" w:vAnchor="text" w:hAnchor="page" w:x="1237" w:y="3136"/>
        <w:shd w:val="clear" w:color="auto" w:fill="auto"/>
        <w:spacing w:line="240" w:lineRule="auto"/>
        <w:ind w:firstLine="0"/>
        <w:rPr>
          <w:sz w:val="8"/>
          <w:szCs w:val="8"/>
        </w:rPr>
      </w:pPr>
      <w:r>
        <w:rPr>
          <w:color w:val="000000"/>
          <w:sz w:val="8"/>
          <w:szCs w:val="8"/>
          <w:lang w:val="en-US" w:eastAsia="en-US" w:bidi="en-US"/>
        </w:rPr>
        <w:t xml:space="preserve">3 </w:t>
      </w:r>
      <w:r>
        <w:rPr>
          <w:sz w:val="8"/>
          <w:szCs w:val="8"/>
          <w:lang w:val="en-US" w:eastAsia="en-US" w:bidi="en-US"/>
        </w:rPr>
        <w:t>rows displayed</w:t>
      </w:r>
    </w:p>
    <w:p w:rsidR="00215B20" w:rsidRDefault="00FD0AA3">
      <w:pPr>
        <w:pStyle w:val="Titulekobrzku0"/>
        <w:framePr w:w="974" w:h="173" w:wrap="none" w:vAnchor="text" w:hAnchor="page" w:x="1204" w:y="3659"/>
        <w:shd w:val="clear" w:color="auto" w:fill="auto"/>
        <w:spacing w:line="240" w:lineRule="auto"/>
        <w:ind w:firstLine="0"/>
        <w:rPr>
          <w:sz w:val="8"/>
          <w:szCs w:val="8"/>
        </w:rPr>
      </w:pPr>
      <w:r>
        <w:rPr>
          <w:color w:val="AA2A26"/>
          <w:sz w:val="8"/>
          <w:szCs w:val="8"/>
          <w:lang w:val="en-US" w:eastAsia="en-US" w:bidi="en-US"/>
        </w:rPr>
        <w:t>IB I</w:t>
      </w:r>
      <w:r>
        <w:rPr>
          <w:sz w:val="8"/>
          <w:szCs w:val="8"/>
          <w:lang w:val="en-US" w:eastAsia="en-US" w:bidi="en-US"/>
        </w:rPr>
        <w:t>GN61176 PLATINUM</w:t>
      </w:r>
    </w:p>
    <w:p w:rsidR="00215B20" w:rsidRDefault="00FD0AA3">
      <w:pPr>
        <w:pStyle w:val="Titulekobrzku0"/>
        <w:framePr w:w="811" w:h="230" w:wrap="none" w:vAnchor="text" w:hAnchor="page" w:x="3825" w:y="2459"/>
        <w:shd w:val="clear" w:color="auto" w:fill="auto"/>
        <w:spacing w:line="240" w:lineRule="auto"/>
        <w:ind w:firstLine="0"/>
        <w:rPr>
          <w:sz w:val="9"/>
          <w:szCs w:val="9"/>
        </w:rPr>
      </w:pPr>
      <w:r>
        <w:rPr>
          <w:sz w:val="9"/>
          <w:szCs w:val="9"/>
          <w:lang w:val="en-US" w:eastAsia="en-US" w:bidi="en-US"/>
        </w:rPr>
        <w:t>-n/L n</w:t>
      </w:r>
      <w:r>
        <w:rPr>
          <w:color w:val="669884"/>
          <w:sz w:val="9"/>
          <w:szCs w:val="9"/>
          <w:lang w:val="en-US" w:eastAsia="en-US" w:bidi="en-US"/>
        </w:rPr>
        <w:t>□rJl</w:t>
      </w:r>
    </w:p>
    <w:p w:rsidR="00215B20" w:rsidRDefault="00FD0AA3">
      <w:pPr>
        <w:pStyle w:val="Zkladntext20"/>
        <w:framePr w:w="5458" w:h="197" w:wrap="none" w:vAnchor="text" w:hAnchor="page" w:x="3215" w:y="4038"/>
        <w:shd w:val="clear" w:color="auto" w:fill="auto"/>
        <w:spacing w:after="0" w:line="240" w:lineRule="auto"/>
      </w:pPr>
      <w:r>
        <w:t xml:space="preserve">Graf zobrazuje datový provoz </w:t>
      </w:r>
      <w:r w:rsidRPr="00920265">
        <w:rPr>
          <w:lang w:eastAsia="en-US" w:bidi="en-US"/>
        </w:rPr>
        <w:t xml:space="preserve">v </w:t>
      </w:r>
      <w:proofErr w:type="gramStart"/>
      <w:r w:rsidRPr="00920265">
        <w:rPr>
          <w:lang w:eastAsia="en-US" w:bidi="en-US"/>
        </w:rPr>
        <w:t>case</w:t>
      </w:r>
      <w:proofErr w:type="gramEnd"/>
      <w:r w:rsidRPr="00920265">
        <w:rPr>
          <w:lang w:eastAsia="en-US" w:bidi="en-US"/>
        </w:rPr>
        <w:t xml:space="preserve"> </w:t>
      </w:r>
      <w:r>
        <w:t>dlejednotlivých QoS trid po aplikaci QoS pravidel.</w:t>
      </w:r>
    </w:p>
    <w:p w:rsidR="00215B20" w:rsidRDefault="00FD0AA3">
      <w:pPr>
        <w:pStyle w:val="Nadpis60"/>
        <w:keepNext/>
        <w:keepLines/>
        <w:framePr w:w="1320" w:h="221" w:wrap="none" w:vAnchor="text" w:hAnchor="page" w:x="1103" w:y="4335"/>
        <w:shd w:val="clear" w:color="auto" w:fill="auto"/>
        <w:spacing w:after="0" w:line="240" w:lineRule="auto"/>
      </w:pPr>
      <w:bookmarkStart w:id="190" w:name="bookmark190"/>
      <w:bookmarkStart w:id="191" w:name="bookmark191"/>
      <w:r>
        <w:rPr>
          <w:color w:val="231F20"/>
        </w:rPr>
        <w:t>6.5 QoS Drops</w:t>
      </w:r>
      <w:bookmarkEnd w:id="190"/>
      <w:bookmarkEnd w:id="191"/>
    </w:p>
    <w:p w:rsidR="00215B20" w:rsidRDefault="00FD0AA3">
      <w:pPr>
        <w:pStyle w:val="Zkladntext90"/>
        <w:framePr w:w="1181" w:h="144" w:wrap="none" w:vAnchor="text" w:hAnchor="page" w:x="1194" w:y="4739"/>
        <w:pBdr>
          <w:top w:val="single" w:sz="0" w:space="0" w:color="045C8D"/>
          <w:left w:val="single" w:sz="0" w:space="0" w:color="045C8D"/>
          <w:bottom w:val="single" w:sz="0" w:space="0" w:color="045C8D"/>
          <w:right w:val="single" w:sz="0" w:space="0" w:color="045C8D"/>
        </w:pBdr>
        <w:shd w:val="clear" w:color="auto" w:fill="045C8D"/>
      </w:pPr>
      <w:r>
        <w:rPr>
          <w:color w:val="FFFFFF"/>
        </w:rPr>
        <w:t xml:space="preserve">QoS Downstream </w:t>
      </w:r>
      <w:r>
        <w:rPr>
          <w:color w:val="FFFFFF"/>
          <w:lang w:val="cs-CZ" w:eastAsia="cs-CZ" w:bidi="cs-CZ"/>
        </w:rPr>
        <w:t>Drops</w:t>
      </w:r>
    </w:p>
    <w:p w:rsidR="00215B20" w:rsidRDefault="00FD0AA3">
      <w:pPr>
        <w:pStyle w:val="Zkladntext80"/>
        <w:framePr w:w="4330" w:h="144" w:wrap="none" w:vAnchor="text" w:hAnchor="page" w:x="1175" w:y="4916"/>
        <w:shd w:val="clear" w:color="auto" w:fill="auto"/>
      </w:pPr>
      <w:r>
        <w:rPr>
          <w:color w:val="000000"/>
          <w:lang w:val="en-US" w:eastAsia="en-US" w:bidi="en-US"/>
        </w:rPr>
        <w:t xml:space="preserve">QoS </w:t>
      </w:r>
      <w:r>
        <w:rPr>
          <w:lang w:val="en-US" w:eastAsia="en-US" w:bidi="en-US"/>
        </w:rPr>
        <w:t xml:space="preserve">Downstream </w:t>
      </w:r>
      <w:r>
        <w:t xml:space="preserve">Drops (Circuit </w:t>
      </w:r>
      <w:r>
        <w:rPr>
          <w:lang w:val="en-US" w:eastAsia="en-US" w:bidi="en-US"/>
        </w:rPr>
        <w:t xml:space="preserve">ID: </w:t>
      </w:r>
      <w:r>
        <w:t>GMG1176) (11.4.13 9:15 - 12.4.13 9:19 CEST (UTC+0200))</w:t>
      </w:r>
    </w:p>
    <w:p w:rsidR="00215B20" w:rsidRDefault="00FD0AA3">
      <w:pPr>
        <w:pStyle w:val="Titulekobrzku0"/>
        <w:framePr w:w="475" w:h="134" w:wrap="none" w:vAnchor="text" w:hAnchor="page" w:x="1367" w:y="6006"/>
        <w:shd w:val="clear" w:color="auto" w:fill="auto"/>
        <w:spacing w:line="240" w:lineRule="auto"/>
        <w:ind w:firstLine="0"/>
        <w:rPr>
          <w:sz w:val="8"/>
          <w:szCs w:val="8"/>
        </w:rPr>
      </w:pPr>
      <w:r>
        <w:rPr>
          <w:color w:val="231F20"/>
          <w:sz w:val="8"/>
          <w:szCs w:val="8"/>
        </w:rPr>
        <w:t>0.0000000</w:t>
      </w:r>
    </w:p>
    <w:p w:rsidR="00215B20" w:rsidRDefault="00FD0AA3">
      <w:pPr>
        <w:pStyle w:val="Titulekobrzku0"/>
        <w:framePr w:w="8491" w:h="134" w:wrap="none" w:vAnchor="text" w:hAnchor="page" w:x="2001" w:y="7086"/>
        <w:shd w:val="clear" w:color="auto" w:fill="auto"/>
        <w:tabs>
          <w:tab w:val="left" w:pos="346"/>
          <w:tab w:val="left" w:pos="706"/>
          <w:tab w:val="left" w:pos="1066"/>
          <w:tab w:val="left" w:pos="1421"/>
          <w:tab w:val="left" w:pos="1781"/>
          <w:tab w:val="left" w:pos="2141"/>
          <w:tab w:val="left" w:pos="2501"/>
          <w:tab w:val="left" w:pos="2851"/>
          <w:tab w:val="left" w:pos="3211"/>
          <w:tab w:val="left" w:pos="3571"/>
          <w:tab w:val="left" w:pos="3926"/>
          <w:tab w:val="left" w:pos="4286"/>
          <w:tab w:val="left" w:pos="4646"/>
          <w:tab w:val="left" w:pos="4997"/>
          <w:tab w:val="left" w:pos="5357"/>
          <w:tab w:val="left" w:pos="5717"/>
          <w:tab w:val="left" w:pos="6072"/>
          <w:tab w:val="left" w:pos="6432"/>
          <w:tab w:val="left" w:pos="6792"/>
          <w:tab w:val="left" w:pos="7142"/>
          <w:tab w:val="left" w:pos="7502"/>
          <w:tab w:val="left" w:pos="7862"/>
          <w:tab w:val="left" w:pos="8213"/>
        </w:tabs>
        <w:spacing w:line="240" w:lineRule="auto"/>
        <w:ind w:firstLine="0"/>
        <w:rPr>
          <w:sz w:val="8"/>
          <w:szCs w:val="8"/>
        </w:rPr>
      </w:pPr>
      <w:r>
        <w:rPr>
          <w:sz w:val="8"/>
          <w:szCs w:val="8"/>
        </w:rPr>
        <w:t>10:00</w:t>
      </w:r>
      <w:r>
        <w:rPr>
          <w:sz w:val="8"/>
          <w:szCs w:val="8"/>
        </w:rPr>
        <w:tab/>
      </w:r>
      <w:r>
        <w:rPr>
          <w:color w:val="000000"/>
          <w:sz w:val="8"/>
          <w:szCs w:val="8"/>
        </w:rPr>
        <w:t>11:00</w:t>
      </w:r>
      <w:r>
        <w:rPr>
          <w:color w:val="000000"/>
          <w:sz w:val="8"/>
          <w:szCs w:val="8"/>
        </w:rPr>
        <w:tab/>
        <w:t>12:00</w:t>
      </w:r>
      <w:r>
        <w:rPr>
          <w:color w:val="000000"/>
          <w:sz w:val="8"/>
          <w:szCs w:val="8"/>
        </w:rPr>
        <w:tab/>
      </w:r>
      <w:r>
        <w:rPr>
          <w:color w:val="231F20"/>
          <w:sz w:val="8"/>
          <w:szCs w:val="8"/>
        </w:rPr>
        <w:t>13:00</w:t>
      </w:r>
      <w:r>
        <w:rPr>
          <w:color w:val="231F20"/>
          <w:sz w:val="8"/>
          <w:szCs w:val="8"/>
        </w:rPr>
        <w:tab/>
        <w:t>14:00</w:t>
      </w:r>
      <w:r>
        <w:rPr>
          <w:color w:val="231F20"/>
          <w:sz w:val="8"/>
          <w:szCs w:val="8"/>
        </w:rPr>
        <w:tab/>
      </w:r>
      <w:r>
        <w:rPr>
          <w:sz w:val="8"/>
          <w:szCs w:val="8"/>
        </w:rPr>
        <w:t>15:00</w:t>
      </w:r>
      <w:r>
        <w:rPr>
          <w:sz w:val="8"/>
          <w:szCs w:val="8"/>
        </w:rPr>
        <w:tab/>
      </w:r>
      <w:r>
        <w:rPr>
          <w:color w:val="231F20"/>
          <w:sz w:val="8"/>
          <w:szCs w:val="8"/>
        </w:rPr>
        <w:t>16:00</w:t>
      </w:r>
      <w:r>
        <w:rPr>
          <w:color w:val="231F20"/>
          <w:sz w:val="8"/>
          <w:szCs w:val="8"/>
        </w:rPr>
        <w:tab/>
      </w:r>
      <w:r>
        <w:rPr>
          <w:sz w:val="8"/>
          <w:szCs w:val="8"/>
        </w:rPr>
        <w:t>17:00</w:t>
      </w:r>
      <w:r>
        <w:rPr>
          <w:sz w:val="8"/>
          <w:szCs w:val="8"/>
        </w:rPr>
        <w:tab/>
      </w:r>
      <w:r>
        <w:rPr>
          <w:color w:val="231F20"/>
          <w:sz w:val="8"/>
          <w:szCs w:val="8"/>
        </w:rPr>
        <w:t>18:00</w:t>
      </w:r>
      <w:r>
        <w:rPr>
          <w:color w:val="231F20"/>
          <w:sz w:val="8"/>
          <w:szCs w:val="8"/>
        </w:rPr>
        <w:tab/>
        <w:t>19:00</w:t>
      </w:r>
      <w:r>
        <w:rPr>
          <w:color w:val="231F20"/>
          <w:sz w:val="8"/>
          <w:szCs w:val="8"/>
        </w:rPr>
        <w:tab/>
        <w:t>20:00</w:t>
      </w:r>
      <w:r>
        <w:rPr>
          <w:color w:val="231F20"/>
          <w:sz w:val="8"/>
          <w:szCs w:val="8"/>
        </w:rPr>
        <w:tab/>
        <w:t>21:00</w:t>
      </w:r>
      <w:r>
        <w:rPr>
          <w:color w:val="231F20"/>
          <w:sz w:val="8"/>
          <w:szCs w:val="8"/>
        </w:rPr>
        <w:tab/>
        <w:t>22:00</w:t>
      </w:r>
      <w:r>
        <w:rPr>
          <w:color w:val="231F20"/>
          <w:sz w:val="8"/>
          <w:szCs w:val="8"/>
        </w:rPr>
        <w:tab/>
        <w:t>23:00</w:t>
      </w:r>
      <w:r>
        <w:rPr>
          <w:color w:val="231F20"/>
          <w:sz w:val="8"/>
          <w:szCs w:val="8"/>
        </w:rPr>
        <w:tab/>
        <w:t>00:00</w:t>
      </w:r>
      <w:r>
        <w:rPr>
          <w:color w:val="231F20"/>
          <w:sz w:val="8"/>
          <w:szCs w:val="8"/>
        </w:rPr>
        <w:tab/>
        <w:t>01:00</w:t>
      </w:r>
      <w:r>
        <w:rPr>
          <w:color w:val="231F20"/>
          <w:sz w:val="8"/>
          <w:szCs w:val="8"/>
        </w:rPr>
        <w:tab/>
        <w:t>02:00</w:t>
      </w:r>
      <w:r>
        <w:rPr>
          <w:color w:val="231F20"/>
          <w:sz w:val="8"/>
          <w:szCs w:val="8"/>
        </w:rPr>
        <w:tab/>
        <w:t>03:00</w:t>
      </w:r>
      <w:r>
        <w:rPr>
          <w:color w:val="231F20"/>
          <w:sz w:val="8"/>
          <w:szCs w:val="8"/>
        </w:rPr>
        <w:tab/>
      </w:r>
      <w:r>
        <w:rPr>
          <w:sz w:val="8"/>
          <w:szCs w:val="8"/>
        </w:rPr>
        <w:t>04:00</w:t>
      </w:r>
      <w:r>
        <w:rPr>
          <w:sz w:val="8"/>
          <w:szCs w:val="8"/>
        </w:rPr>
        <w:tab/>
      </w:r>
      <w:r>
        <w:rPr>
          <w:color w:val="231F20"/>
          <w:sz w:val="8"/>
          <w:szCs w:val="8"/>
        </w:rPr>
        <w:t>05:00</w:t>
      </w:r>
      <w:r>
        <w:rPr>
          <w:color w:val="231F20"/>
          <w:sz w:val="8"/>
          <w:szCs w:val="8"/>
        </w:rPr>
        <w:tab/>
        <w:t>06:00</w:t>
      </w:r>
      <w:r>
        <w:rPr>
          <w:color w:val="231F20"/>
          <w:sz w:val="8"/>
          <w:szCs w:val="8"/>
        </w:rPr>
        <w:tab/>
        <w:t>07:00</w:t>
      </w:r>
      <w:r>
        <w:rPr>
          <w:color w:val="231F20"/>
          <w:sz w:val="8"/>
          <w:szCs w:val="8"/>
        </w:rPr>
        <w:tab/>
        <w:t>08:00</w:t>
      </w:r>
      <w:r>
        <w:rPr>
          <w:color w:val="231F20"/>
          <w:sz w:val="8"/>
          <w:szCs w:val="8"/>
        </w:rPr>
        <w:tab/>
        <w:t>09:00</w:t>
      </w:r>
    </w:p>
    <w:p w:rsidR="00215B20" w:rsidRDefault="00FD0AA3">
      <w:pPr>
        <w:pStyle w:val="Zkladntext1"/>
        <w:framePr w:w="2486" w:h="221" w:wrap="none" w:vAnchor="text" w:hAnchor="page" w:x="1103" w:y="8953"/>
        <w:shd w:val="clear" w:color="auto" w:fill="auto"/>
        <w:spacing w:after="0" w:line="240" w:lineRule="auto"/>
      </w:pPr>
      <w:r>
        <w:rPr>
          <w:b/>
          <w:bCs/>
        </w:rPr>
        <w:t xml:space="preserve">6.6 </w:t>
      </w:r>
      <w:r w:rsidRPr="00920265">
        <w:rPr>
          <w:b/>
          <w:bCs/>
          <w:lang w:eastAsia="en-US" w:bidi="en-US"/>
        </w:rPr>
        <w:t>Average Round Trip Delay</w:t>
      </w:r>
    </w:p>
    <w:p w:rsidR="00215B20" w:rsidRDefault="00FD0AA3">
      <w:pPr>
        <w:pStyle w:val="Zkladntext20"/>
        <w:framePr w:w="4344" w:h="197" w:wrap="none" w:vAnchor="text" w:hAnchor="page" w:x="3791" w:y="12951"/>
        <w:shd w:val="clear" w:color="auto" w:fill="auto"/>
        <w:spacing w:after="0" w:line="240" w:lineRule="auto"/>
      </w:pPr>
      <w:r>
        <w:t>Graf zobrazuje průměrné zpoždění paketů v rámci zvolené QoS třídy.</w:t>
      </w:r>
    </w:p>
    <w:p w:rsidR="00215B20" w:rsidRDefault="00FD0AA3">
      <w:pPr>
        <w:spacing w:line="360" w:lineRule="exact"/>
      </w:pPr>
      <w:r>
        <w:rPr>
          <w:noProof/>
          <w:lang w:bidi="ar-SA"/>
        </w:rPr>
        <w:lastRenderedPageBreak/>
        <w:drawing>
          <wp:anchor distT="0" distB="0" distL="0" distR="0" simplePos="0" relativeHeight="62914838" behindDoc="1" locked="0" layoutInCell="1" allowOverlap="1">
            <wp:simplePos x="0" y="0"/>
            <wp:positionH relativeFrom="page">
              <wp:posOffset>760730</wp:posOffset>
            </wp:positionH>
            <wp:positionV relativeFrom="paragraph">
              <wp:posOffset>216535</wp:posOffset>
            </wp:positionV>
            <wp:extent cx="5974080" cy="2261870"/>
            <wp:effectExtent l="0" t="0" r="0" b="0"/>
            <wp:wrapNone/>
            <wp:docPr id="295" name="Shape 295"/>
            <wp:cNvGraphicFramePr/>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102"/>
                    <a:stretch/>
                  </pic:blipFill>
                  <pic:spPr>
                    <a:xfrm>
                      <a:off x="0" y="0"/>
                      <a:ext cx="5974080" cy="2261870"/>
                    </a:xfrm>
                    <a:prstGeom prst="rect">
                      <a:avLst/>
                    </a:prstGeom>
                  </pic:spPr>
                </pic:pic>
              </a:graphicData>
            </a:graphic>
          </wp:anchor>
        </w:drawing>
      </w:r>
      <w:r>
        <w:rPr>
          <w:noProof/>
          <w:lang w:bidi="ar-SA"/>
        </w:rPr>
        <w:drawing>
          <wp:anchor distT="0" distB="0" distL="0" distR="289560" simplePos="0" relativeHeight="62914839" behindDoc="1" locked="0" layoutInCell="1" allowOverlap="1">
            <wp:simplePos x="0" y="0"/>
            <wp:positionH relativeFrom="page">
              <wp:posOffset>782320</wp:posOffset>
            </wp:positionH>
            <wp:positionV relativeFrom="paragraph">
              <wp:posOffset>3791585</wp:posOffset>
            </wp:positionV>
            <wp:extent cx="97790" cy="133985"/>
            <wp:effectExtent l="0" t="0" r="0" b="0"/>
            <wp:wrapNone/>
            <wp:docPr id="297" name="Shape 297"/>
            <wp:cNvGraphicFramePr/>
            <a:graphic xmlns:a="http://schemas.openxmlformats.org/drawingml/2006/main">
              <a:graphicData uri="http://schemas.openxmlformats.org/drawingml/2006/picture">
                <pic:pic xmlns:pic="http://schemas.openxmlformats.org/drawingml/2006/picture">
                  <pic:nvPicPr>
                    <pic:cNvPr id="298" name="Picture box 298"/>
                    <pic:cNvPicPr/>
                  </pic:nvPicPr>
                  <pic:blipFill>
                    <a:blip r:embed="rId103"/>
                    <a:stretch/>
                  </pic:blipFill>
                  <pic:spPr>
                    <a:xfrm>
                      <a:off x="0" y="0"/>
                      <a:ext cx="97790" cy="133985"/>
                    </a:xfrm>
                    <a:prstGeom prst="rect">
                      <a:avLst/>
                    </a:prstGeom>
                  </pic:spPr>
                </pic:pic>
              </a:graphicData>
            </a:graphic>
          </wp:anchor>
        </w:drawing>
      </w:r>
      <w:r>
        <w:rPr>
          <w:noProof/>
          <w:lang w:bidi="ar-SA"/>
        </w:rPr>
        <w:drawing>
          <wp:anchor distT="103505" distB="0" distL="0" distR="0" simplePos="0" relativeHeight="62914840" behindDoc="1" locked="0" layoutInCell="1" allowOverlap="1">
            <wp:simplePos x="0" y="0"/>
            <wp:positionH relativeFrom="page">
              <wp:posOffset>760730</wp:posOffset>
            </wp:positionH>
            <wp:positionV relativeFrom="paragraph">
              <wp:posOffset>4602480</wp:posOffset>
            </wp:positionV>
            <wp:extent cx="5919470" cy="847090"/>
            <wp:effectExtent l="0" t="0" r="0" b="0"/>
            <wp:wrapNone/>
            <wp:docPr id="299" name="Shape 299"/>
            <wp:cNvGraphicFramePr/>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104"/>
                    <a:stretch/>
                  </pic:blipFill>
                  <pic:spPr>
                    <a:xfrm>
                      <a:off x="0" y="0"/>
                      <a:ext cx="5919470" cy="847090"/>
                    </a:xfrm>
                    <a:prstGeom prst="rect">
                      <a:avLst/>
                    </a:prstGeom>
                  </pic:spPr>
                </pic:pic>
              </a:graphicData>
            </a:graphic>
          </wp:anchor>
        </w:drawing>
      </w:r>
      <w:r>
        <w:rPr>
          <w:noProof/>
          <w:lang w:bidi="ar-SA"/>
        </w:rPr>
        <w:drawing>
          <wp:anchor distT="0" distB="0" distL="0" distR="0" simplePos="0" relativeHeight="62914841" behindDoc="1" locked="0" layoutInCell="1" allowOverlap="1">
            <wp:simplePos x="0" y="0"/>
            <wp:positionH relativeFrom="page">
              <wp:posOffset>794385</wp:posOffset>
            </wp:positionH>
            <wp:positionV relativeFrom="paragraph">
              <wp:posOffset>5901055</wp:posOffset>
            </wp:positionV>
            <wp:extent cx="5974080" cy="2243455"/>
            <wp:effectExtent l="0" t="0" r="0" b="0"/>
            <wp:wrapNone/>
            <wp:docPr id="301" name="Shape 301"/>
            <wp:cNvGraphicFramePr/>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105"/>
                    <a:stretch/>
                  </pic:blipFill>
                  <pic:spPr>
                    <a:xfrm>
                      <a:off x="0" y="0"/>
                      <a:ext cx="5974080" cy="2243455"/>
                    </a:xfrm>
                    <a:prstGeom prst="rect">
                      <a:avLst/>
                    </a:prstGeom>
                  </pic:spPr>
                </pic:pic>
              </a:graphicData>
            </a:graphic>
          </wp:anchor>
        </w:drawing>
      </w: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after="546" w:line="1" w:lineRule="exact"/>
      </w:pPr>
    </w:p>
    <w:p w:rsidR="00215B20" w:rsidRDefault="00215B20">
      <w:pPr>
        <w:spacing w:line="1" w:lineRule="exact"/>
        <w:sectPr w:rsidR="00215B20">
          <w:type w:val="continuous"/>
          <w:pgSz w:w="11900" w:h="16840"/>
          <w:pgMar w:top="1973" w:right="1145" w:bottom="1109" w:left="1102" w:header="0" w:footer="3" w:gutter="0"/>
          <w:cols w:space="720"/>
          <w:noEndnote/>
          <w:docGrid w:linePitch="360"/>
        </w:sectPr>
      </w:pPr>
    </w:p>
    <w:p w:rsidR="00215B20" w:rsidRDefault="00215B20">
      <w:pPr>
        <w:spacing w:line="99" w:lineRule="exact"/>
        <w:rPr>
          <w:sz w:val="8"/>
          <w:szCs w:val="8"/>
        </w:rPr>
      </w:pPr>
    </w:p>
    <w:p w:rsidR="00215B20" w:rsidRDefault="00215B20">
      <w:pPr>
        <w:spacing w:line="1" w:lineRule="exact"/>
        <w:sectPr w:rsidR="00215B20">
          <w:pgSz w:w="11900" w:h="16840"/>
          <w:pgMar w:top="1973" w:right="1145" w:bottom="1109" w:left="1102" w:header="0" w:footer="3" w:gutter="0"/>
          <w:cols w:space="720"/>
          <w:noEndnote/>
          <w:docGrid w:linePitch="360"/>
        </w:sectPr>
      </w:pPr>
    </w:p>
    <w:p w:rsidR="00215B20" w:rsidRDefault="00FD0AA3">
      <w:pPr>
        <w:pStyle w:val="Zkladntext1"/>
        <w:framePr w:w="2093" w:h="221" w:wrap="none" w:vAnchor="text" w:hAnchor="page" w:x="1103" w:y="21"/>
        <w:shd w:val="clear" w:color="auto" w:fill="auto"/>
        <w:spacing w:after="0" w:line="240" w:lineRule="auto"/>
      </w:pPr>
      <w:r>
        <w:rPr>
          <w:b/>
          <w:bCs/>
        </w:rPr>
        <w:t xml:space="preserve">6.7 </w:t>
      </w:r>
      <w:r w:rsidRPr="00920265">
        <w:rPr>
          <w:b/>
          <w:bCs/>
          <w:lang w:eastAsia="en-US" w:bidi="en-US"/>
        </w:rPr>
        <w:t>Average Packet Loss</w:t>
      </w:r>
    </w:p>
    <w:p w:rsidR="00215B20" w:rsidRDefault="00FD0AA3">
      <w:pPr>
        <w:pStyle w:val="Titulekobrzku0"/>
        <w:framePr w:w="4459" w:h="197" w:wrap="none" w:vAnchor="text" w:hAnchor="page" w:x="3714" w:y="3731"/>
        <w:shd w:val="clear" w:color="auto" w:fill="auto"/>
        <w:spacing w:line="240" w:lineRule="auto"/>
        <w:ind w:firstLine="0"/>
        <w:rPr>
          <w:sz w:val="13"/>
          <w:szCs w:val="13"/>
        </w:rPr>
      </w:pPr>
      <w:r>
        <w:rPr>
          <w:color w:val="231F20"/>
          <w:sz w:val="13"/>
          <w:szCs w:val="13"/>
        </w:rPr>
        <w:t>Graf zobrazuje průměrnou ztrátovost paketů v rámci zvolené QoS třídy.</w:t>
      </w:r>
    </w:p>
    <w:p w:rsidR="00215B20" w:rsidRDefault="00FD0AA3">
      <w:pPr>
        <w:pStyle w:val="Zkladntext1"/>
        <w:framePr w:w="1512" w:h="221" w:wrap="none" w:vAnchor="text" w:hAnchor="page" w:x="1103" w:y="4196"/>
        <w:shd w:val="clear" w:color="auto" w:fill="auto"/>
        <w:spacing w:after="0" w:line="240" w:lineRule="auto"/>
      </w:pPr>
      <w:r>
        <w:rPr>
          <w:b/>
          <w:bCs/>
        </w:rPr>
        <w:t xml:space="preserve">6.8 </w:t>
      </w:r>
      <w:r w:rsidRPr="00920265">
        <w:rPr>
          <w:b/>
          <w:bCs/>
          <w:lang w:eastAsia="en-US" w:bidi="en-US"/>
        </w:rPr>
        <w:t>Average jitter</w:t>
      </w:r>
    </w:p>
    <w:p w:rsidR="00215B20" w:rsidRDefault="00FD0AA3">
      <w:pPr>
        <w:pStyle w:val="Titulekobrzku0"/>
        <w:framePr w:w="4200" w:h="197" w:wrap="none" w:vAnchor="text" w:hAnchor="page" w:x="3844" w:y="7969"/>
        <w:shd w:val="clear" w:color="auto" w:fill="auto"/>
        <w:spacing w:line="240" w:lineRule="auto"/>
        <w:ind w:firstLine="0"/>
        <w:rPr>
          <w:sz w:val="13"/>
          <w:szCs w:val="13"/>
        </w:rPr>
      </w:pPr>
      <w:r>
        <w:rPr>
          <w:color w:val="231F20"/>
          <w:sz w:val="13"/>
          <w:szCs w:val="13"/>
        </w:rPr>
        <w:t xml:space="preserve">Graf zobrazuje průměrný pozitivní </w:t>
      </w:r>
      <w:r w:rsidRPr="00920265">
        <w:rPr>
          <w:color w:val="231F20"/>
          <w:sz w:val="13"/>
          <w:szCs w:val="13"/>
          <w:lang w:eastAsia="en-US" w:bidi="en-US"/>
        </w:rPr>
        <w:t xml:space="preserve">jitter </w:t>
      </w:r>
      <w:r>
        <w:rPr>
          <w:color w:val="231F20"/>
          <w:sz w:val="13"/>
          <w:szCs w:val="13"/>
        </w:rPr>
        <w:t>v rámci QoS třídy Diamond.</w:t>
      </w:r>
    </w:p>
    <w:p w:rsidR="00215B20" w:rsidRDefault="00FD0AA3">
      <w:pPr>
        <w:pStyle w:val="Nadpis60"/>
        <w:keepNext/>
        <w:keepLines/>
        <w:framePr w:w="1291" w:h="211" w:wrap="none" w:vAnchor="text" w:hAnchor="page" w:x="1108" w:y="8569"/>
        <w:shd w:val="clear" w:color="auto" w:fill="auto"/>
        <w:spacing w:after="0" w:line="240" w:lineRule="auto"/>
      </w:pPr>
      <w:bookmarkStart w:id="192" w:name="bookmark192"/>
      <w:bookmarkStart w:id="193" w:name="bookmark193"/>
      <w:r>
        <w:rPr>
          <w:color w:val="231F20"/>
        </w:rPr>
        <w:t xml:space="preserve">6.9 </w:t>
      </w:r>
      <w:r w:rsidRPr="00920265">
        <w:rPr>
          <w:color w:val="231F20"/>
          <w:lang w:eastAsia="en-US" w:bidi="en-US"/>
        </w:rPr>
        <w:t>MOS value</w:t>
      </w:r>
      <w:bookmarkEnd w:id="192"/>
      <w:bookmarkEnd w:id="193"/>
    </w:p>
    <w:p w:rsidR="00215B20" w:rsidRDefault="00FD0AA3">
      <w:pPr>
        <w:pStyle w:val="Titulekobrzku0"/>
        <w:framePr w:w="3998" w:h="197" w:wrap="none" w:vAnchor="text" w:hAnchor="page" w:x="3945" w:y="12318"/>
        <w:shd w:val="clear" w:color="auto" w:fill="auto"/>
        <w:spacing w:line="240" w:lineRule="auto"/>
        <w:ind w:firstLine="0"/>
        <w:rPr>
          <w:sz w:val="13"/>
          <w:szCs w:val="13"/>
        </w:rPr>
      </w:pPr>
      <w:r>
        <w:rPr>
          <w:color w:val="231F20"/>
          <w:sz w:val="13"/>
          <w:szCs w:val="13"/>
        </w:rPr>
        <w:t>Graf zobrazuje hodnotu MOS skóre v rámci QoS třídy Diamond.</w:t>
      </w:r>
    </w:p>
    <w:p w:rsidR="00215B20" w:rsidRDefault="00FD0AA3">
      <w:pPr>
        <w:spacing w:line="360" w:lineRule="exact"/>
      </w:pPr>
      <w:r>
        <w:rPr>
          <w:noProof/>
          <w:lang w:bidi="ar-SA"/>
        </w:rPr>
        <w:lastRenderedPageBreak/>
        <w:drawing>
          <wp:anchor distT="0" distB="207010" distL="0" distR="0" simplePos="0" relativeHeight="62914842" behindDoc="1" locked="0" layoutInCell="1" allowOverlap="1">
            <wp:simplePos x="0" y="0"/>
            <wp:positionH relativeFrom="page">
              <wp:posOffset>794385</wp:posOffset>
            </wp:positionH>
            <wp:positionV relativeFrom="paragraph">
              <wp:posOffset>216535</wp:posOffset>
            </wp:positionV>
            <wp:extent cx="5974080" cy="2072640"/>
            <wp:effectExtent l="0" t="0" r="0" b="0"/>
            <wp:wrapNone/>
            <wp:docPr id="303" name="Shape 303"/>
            <wp:cNvGraphicFramePr/>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106"/>
                    <a:stretch/>
                  </pic:blipFill>
                  <pic:spPr>
                    <a:xfrm>
                      <a:off x="0" y="0"/>
                      <a:ext cx="5974080" cy="2072640"/>
                    </a:xfrm>
                    <a:prstGeom prst="rect">
                      <a:avLst/>
                    </a:prstGeom>
                  </pic:spPr>
                </pic:pic>
              </a:graphicData>
            </a:graphic>
          </wp:anchor>
        </w:drawing>
      </w:r>
      <w:r>
        <w:rPr>
          <w:noProof/>
          <w:lang w:bidi="ar-SA"/>
        </w:rPr>
        <w:drawing>
          <wp:anchor distT="0" distB="207010" distL="0" distR="0" simplePos="0" relativeHeight="62914843" behindDoc="1" locked="0" layoutInCell="1" allowOverlap="1">
            <wp:simplePos x="0" y="0"/>
            <wp:positionH relativeFrom="page">
              <wp:posOffset>794385</wp:posOffset>
            </wp:positionH>
            <wp:positionV relativeFrom="paragraph">
              <wp:posOffset>2877185</wp:posOffset>
            </wp:positionV>
            <wp:extent cx="5974080" cy="2103120"/>
            <wp:effectExtent l="0" t="0" r="0" b="0"/>
            <wp:wrapNone/>
            <wp:docPr id="305" name="Shape 305"/>
            <wp:cNvGraphicFramePr/>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107"/>
                    <a:stretch/>
                  </pic:blipFill>
                  <pic:spPr>
                    <a:xfrm>
                      <a:off x="0" y="0"/>
                      <a:ext cx="5974080" cy="2103120"/>
                    </a:xfrm>
                    <a:prstGeom prst="rect">
                      <a:avLst/>
                    </a:prstGeom>
                  </pic:spPr>
                </pic:pic>
              </a:graphicData>
            </a:graphic>
          </wp:anchor>
        </w:drawing>
      </w:r>
      <w:r>
        <w:rPr>
          <w:noProof/>
          <w:lang w:bidi="ar-SA"/>
        </w:rPr>
        <w:drawing>
          <wp:anchor distT="0" distB="210185" distL="0" distR="0" simplePos="0" relativeHeight="62914844" behindDoc="1" locked="0" layoutInCell="1" allowOverlap="1">
            <wp:simplePos x="0" y="0"/>
            <wp:positionH relativeFrom="page">
              <wp:posOffset>794385</wp:posOffset>
            </wp:positionH>
            <wp:positionV relativeFrom="paragraph">
              <wp:posOffset>5657215</wp:posOffset>
            </wp:positionV>
            <wp:extent cx="5974080" cy="2078990"/>
            <wp:effectExtent l="0" t="0" r="0" b="0"/>
            <wp:wrapNone/>
            <wp:docPr id="307" name="Shape 307"/>
            <wp:cNvGraphicFramePr/>
            <a:graphic xmlns:a="http://schemas.openxmlformats.org/drawingml/2006/main">
              <a:graphicData uri="http://schemas.openxmlformats.org/drawingml/2006/picture">
                <pic:pic xmlns:pic="http://schemas.openxmlformats.org/drawingml/2006/picture">
                  <pic:nvPicPr>
                    <pic:cNvPr id="308" name="Picture box 308"/>
                    <pic:cNvPicPr/>
                  </pic:nvPicPr>
                  <pic:blipFill>
                    <a:blip r:embed="rId108"/>
                    <a:stretch/>
                  </pic:blipFill>
                  <pic:spPr>
                    <a:xfrm>
                      <a:off x="0" y="0"/>
                      <a:ext cx="5974080" cy="2078990"/>
                    </a:xfrm>
                    <a:prstGeom prst="rect">
                      <a:avLst/>
                    </a:prstGeom>
                  </pic:spPr>
                </pic:pic>
              </a:graphicData>
            </a:graphic>
          </wp:anchor>
        </w:drawing>
      </w: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line="360" w:lineRule="exact"/>
      </w:pPr>
    </w:p>
    <w:p w:rsidR="00215B20" w:rsidRDefault="00215B20">
      <w:pPr>
        <w:spacing w:after="633" w:line="1" w:lineRule="exact"/>
      </w:pPr>
    </w:p>
    <w:p w:rsidR="00215B20" w:rsidRDefault="00215B20">
      <w:pPr>
        <w:spacing w:line="1" w:lineRule="exact"/>
        <w:sectPr w:rsidR="00215B20">
          <w:type w:val="continuous"/>
          <w:pgSz w:w="11900" w:h="16840"/>
          <w:pgMar w:top="1973" w:right="1145" w:bottom="1109" w:left="1102" w:header="0" w:footer="3" w:gutter="0"/>
          <w:cols w:space="720"/>
          <w:noEndnote/>
          <w:docGrid w:linePitch="360"/>
        </w:sectPr>
      </w:pPr>
    </w:p>
    <w:p w:rsidR="00215B20" w:rsidRDefault="00FD0AA3">
      <w:pPr>
        <w:jc w:val="center"/>
        <w:rPr>
          <w:sz w:val="2"/>
          <w:szCs w:val="2"/>
        </w:rPr>
      </w:pPr>
      <w:r>
        <w:rPr>
          <w:noProof/>
          <w:lang w:bidi="ar-SA"/>
        </w:rPr>
        <w:lastRenderedPageBreak/>
        <w:drawing>
          <wp:inline distT="0" distB="0" distL="0" distR="0">
            <wp:extent cx="694690" cy="469265"/>
            <wp:effectExtent l="0" t="0" r="0" b="0"/>
            <wp:docPr id="309" name="Picut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2"/>
                    <a:stretch/>
                  </pic:blipFill>
                  <pic:spPr>
                    <a:xfrm>
                      <a:off x="0" y="0"/>
                      <a:ext cx="694690" cy="469265"/>
                    </a:xfrm>
                    <a:prstGeom prst="rect">
                      <a:avLst/>
                    </a:prstGeom>
                  </pic:spPr>
                </pic:pic>
              </a:graphicData>
            </a:graphic>
          </wp:inline>
        </w:drawing>
      </w:r>
    </w:p>
    <w:p w:rsidR="00215B20" w:rsidRDefault="00FD0AA3">
      <w:pPr>
        <w:pStyle w:val="Titulekobrzku0"/>
        <w:shd w:val="clear" w:color="auto" w:fill="auto"/>
        <w:spacing w:line="240" w:lineRule="auto"/>
        <w:ind w:firstLine="0"/>
        <w:rPr>
          <w:sz w:val="22"/>
          <w:szCs w:val="22"/>
        </w:rPr>
      </w:pPr>
      <w:r>
        <w:rPr>
          <w:rFonts w:ascii="Calibri" w:eastAsia="Calibri" w:hAnsi="Calibri" w:cs="Calibri"/>
          <w:color w:val="231F20"/>
          <w:sz w:val="22"/>
          <w:szCs w:val="22"/>
        </w:rPr>
        <w:t>Příloha č. 7:</w:t>
      </w:r>
    </w:p>
    <w:p w:rsidR="00215B20" w:rsidRDefault="00215B20">
      <w:pPr>
        <w:spacing w:after="139" w:line="1" w:lineRule="exact"/>
      </w:pPr>
    </w:p>
    <w:p w:rsidR="00215B20" w:rsidRDefault="00FD0AA3">
      <w:pPr>
        <w:pStyle w:val="Zkladntext30"/>
        <w:shd w:val="clear" w:color="auto" w:fill="auto"/>
        <w:ind w:firstLine="600"/>
        <w:sectPr w:rsidR="00215B20">
          <w:headerReference w:type="even" r:id="rId109"/>
          <w:headerReference w:type="default" r:id="rId110"/>
          <w:footerReference w:type="even" r:id="rId111"/>
          <w:footerReference w:type="default" r:id="rId112"/>
          <w:pgSz w:w="11900" w:h="16840"/>
          <w:pgMar w:top="1441" w:right="805" w:bottom="1441" w:left="795" w:header="0" w:footer="1013" w:gutter="0"/>
          <w:pgNumType w:start="36"/>
          <w:cols w:space="720"/>
          <w:noEndnote/>
          <w:docGrid w:linePitch="360"/>
        </w:sectPr>
      </w:pPr>
      <w:r>
        <w:t>Všeobecné obchodní podmínky Poskytovatele Služeb</w:t>
      </w:r>
    </w:p>
    <w:p w:rsidR="00215B20" w:rsidRDefault="00FD0AA3">
      <w:pPr>
        <w:pStyle w:val="Nadpis40"/>
        <w:keepNext/>
        <w:keepLines/>
        <w:shd w:val="clear" w:color="auto" w:fill="auto"/>
        <w:spacing w:after="0"/>
      </w:pPr>
      <w:bookmarkStart w:id="194" w:name="bookmark194"/>
      <w:bookmarkStart w:id="195" w:name="bookmark195"/>
      <w:r>
        <w:lastRenderedPageBreak/>
        <w:t>VŠEOBECNÉ PODMÍNKY</w:t>
      </w:r>
      <w:bookmarkEnd w:id="194"/>
      <w:bookmarkEnd w:id="195"/>
    </w:p>
    <w:p w:rsidR="00215B20" w:rsidRDefault="00FD0AA3">
      <w:pPr>
        <w:pStyle w:val="Nadpis40"/>
        <w:keepNext/>
        <w:keepLines/>
        <w:shd w:val="clear" w:color="auto" w:fill="auto"/>
        <w:spacing w:after="60"/>
      </w:pPr>
      <w:bookmarkStart w:id="196" w:name="bookmark196"/>
      <w:bookmarkStart w:id="197" w:name="bookmark197"/>
      <w:r>
        <w:t>SPOLEČNOSTI T-MOBILE CZECH REPUBLIC a.s.</w:t>
      </w:r>
      <w:bookmarkEnd w:id="196"/>
      <w:bookmarkEnd w:id="197"/>
    </w:p>
    <w:p w:rsidR="00215B20" w:rsidRDefault="00FD0AA3">
      <w:pPr>
        <w:pStyle w:val="Zkladntext1"/>
        <w:shd w:val="clear" w:color="auto" w:fill="auto"/>
        <w:spacing w:after="0" w:line="240" w:lineRule="auto"/>
        <w:sectPr w:rsidR="00215B20">
          <w:headerReference w:type="even" r:id="rId113"/>
          <w:headerReference w:type="default" r:id="rId114"/>
          <w:footerReference w:type="even" r:id="rId115"/>
          <w:footerReference w:type="default" r:id="rId116"/>
          <w:pgSz w:w="11900" w:h="16840"/>
          <w:pgMar w:top="1954" w:right="805" w:bottom="1364" w:left="795" w:header="0" w:footer="3" w:gutter="0"/>
          <w:cols w:space="720"/>
          <w:noEndnote/>
          <w:docGrid w:linePitch="360"/>
        </w:sectPr>
      </w:pPr>
      <w:r>
        <w:t>(dále jen „Podmínky“)</w:t>
      </w:r>
    </w:p>
    <w:p w:rsidR="00215B20" w:rsidRDefault="00215B20">
      <w:pPr>
        <w:spacing w:line="240" w:lineRule="exact"/>
        <w:rPr>
          <w:sz w:val="19"/>
          <w:szCs w:val="19"/>
        </w:rPr>
      </w:pPr>
    </w:p>
    <w:p w:rsidR="00215B20" w:rsidRDefault="00215B20">
      <w:pPr>
        <w:spacing w:line="240" w:lineRule="exact"/>
        <w:rPr>
          <w:sz w:val="19"/>
          <w:szCs w:val="19"/>
        </w:rPr>
      </w:pPr>
    </w:p>
    <w:p w:rsidR="00215B20" w:rsidRDefault="00215B20">
      <w:pPr>
        <w:spacing w:line="240" w:lineRule="exact"/>
        <w:rPr>
          <w:sz w:val="19"/>
          <w:szCs w:val="19"/>
        </w:rPr>
      </w:pPr>
    </w:p>
    <w:p w:rsidR="00215B20" w:rsidRDefault="00215B20">
      <w:pPr>
        <w:spacing w:before="77" w:after="77" w:line="240" w:lineRule="exact"/>
        <w:rPr>
          <w:sz w:val="19"/>
          <w:szCs w:val="19"/>
        </w:rPr>
      </w:pPr>
    </w:p>
    <w:p w:rsidR="00215B20" w:rsidRDefault="00215B20">
      <w:pPr>
        <w:spacing w:line="1" w:lineRule="exact"/>
        <w:sectPr w:rsidR="00215B20">
          <w:type w:val="continuous"/>
          <w:pgSz w:w="11900" w:h="16840"/>
          <w:pgMar w:top="1954" w:right="0" w:bottom="1364" w:left="0" w:header="0" w:footer="3" w:gutter="0"/>
          <w:cols w:space="720"/>
          <w:noEndnote/>
          <w:docGrid w:linePitch="360"/>
        </w:sectPr>
      </w:pPr>
    </w:p>
    <w:p w:rsidR="00215B20" w:rsidRDefault="00FD0AA3">
      <w:pPr>
        <w:pStyle w:val="Nadpis60"/>
        <w:keepNext/>
        <w:keepLines/>
        <w:numPr>
          <w:ilvl w:val="0"/>
          <w:numId w:val="15"/>
        </w:numPr>
        <w:shd w:val="clear" w:color="auto" w:fill="auto"/>
        <w:tabs>
          <w:tab w:val="left" w:pos="558"/>
        </w:tabs>
        <w:spacing w:after="0" w:line="334" w:lineRule="auto"/>
      </w:pPr>
      <w:bookmarkStart w:id="198" w:name="bookmark198"/>
      <w:bookmarkStart w:id="199" w:name="bookmark199"/>
      <w:r>
        <w:rPr>
          <w:color w:val="E4087E"/>
        </w:rPr>
        <w:lastRenderedPageBreak/>
        <w:t>Úvodní ustanovení</w:t>
      </w:r>
      <w:bookmarkEnd w:id="198"/>
      <w:bookmarkEnd w:id="199"/>
    </w:p>
    <w:p w:rsidR="00215B20" w:rsidRDefault="00FD0AA3">
      <w:pPr>
        <w:pStyle w:val="Zkladntext1"/>
        <w:shd w:val="clear" w:color="auto" w:fill="auto"/>
        <w:spacing w:after="220" w:line="334" w:lineRule="auto"/>
        <w:ind w:left="560" w:firstLine="20"/>
        <w:jc w:val="both"/>
      </w:pPr>
      <w:r>
        <w:t>Všeobecné podmínky upravují práva a povinnosti spo</w:t>
      </w:r>
      <w:r>
        <w:softHyphen/>
        <w:t>lečnosti T-Mobile Czech Republic a.s., Tomíčkova 21</w:t>
      </w:r>
      <w:r>
        <w:t>44/1, 148 00 Praha 4, IČO 64949681 (dále jen „Operátor“) jako poskytovatele služeb elektronických komunikací a služeb souvisejících (dále souhrnně jako „Služby“) a Vaše práva a povinnosti jakožto účastníka, resp. uživatele těchto Slu</w:t>
      </w:r>
      <w:r>
        <w:softHyphen/>
        <w:t>žeb (dále také jako „Ú</w:t>
      </w:r>
      <w:r>
        <w:t>častník“) prostřednictvím mobilní sítě (dále jen „mobilní Služby“) či pevné sítě (dále jen „pev</w:t>
      </w:r>
      <w:r>
        <w:softHyphen/>
        <w:t>né Služby“), které jsou poskytovány pod obchodní značkou T-Mobile, a to na základě účastnické smlouvy o poskytová</w:t>
      </w:r>
      <w:r>
        <w:softHyphen/>
        <w:t>ní služeb elektronických komunikací a služeb s</w:t>
      </w:r>
      <w:r>
        <w:t>ouvisejících (dále také jako „Účastnická smlouva“) či jiné smlouvy (oba tyto typy smluv souhrnně dále jako „Smlouva“).</w:t>
      </w:r>
    </w:p>
    <w:p w:rsidR="00215B20" w:rsidRDefault="00FD0AA3">
      <w:pPr>
        <w:pStyle w:val="Zkladntext1"/>
        <w:shd w:val="clear" w:color="auto" w:fill="auto"/>
        <w:spacing w:after="220" w:line="334" w:lineRule="auto"/>
        <w:ind w:left="560" w:firstLine="20"/>
        <w:jc w:val="both"/>
      </w:pPr>
      <w:r>
        <w:t>Operátor Služby poskytuje zejména ve formě tarifů s mě</w:t>
      </w:r>
      <w:r>
        <w:softHyphen/>
        <w:t>síčním Vyúčtováním (dále též jako „paušální Služby“) nebo v režimu předplacených S</w:t>
      </w:r>
      <w:r>
        <w:t>lužeb, a to prostřednictvím SIM karty v podobě fyzické či elektronické SIM karty (dále také jako „eSIM karta“).</w:t>
      </w:r>
    </w:p>
    <w:p w:rsidR="00215B20" w:rsidRDefault="00FD0AA3">
      <w:pPr>
        <w:pStyle w:val="Nadpis60"/>
        <w:keepNext/>
        <w:keepLines/>
        <w:shd w:val="clear" w:color="auto" w:fill="auto"/>
        <w:tabs>
          <w:tab w:val="left" w:pos="558"/>
        </w:tabs>
        <w:spacing w:after="0" w:line="334" w:lineRule="auto"/>
        <w:jc w:val="both"/>
      </w:pPr>
      <w:bookmarkStart w:id="200" w:name="bookmark200"/>
      <w:bookmarkStart w:id="201" w:name="bookmark201"/>
      <w:r>
        <w:rPr>
          <w:color w:val="E4087E"/>
        </w:rPr>
        <w:t>2</w:t>
      </w:r>
      <w:r>
        <w:rPr>
          <w:color w:val="E4087E"/>
        </w:rPr>
        <w:tab/>
        <w:t>Předsmluvni informace, Shrnutí smlouvy, Smlouva</w:t>
      </w:r>
      <w:bookmarkEnd w:id="200"/>
      <w:bookmarkEnd w:id="201"/>
    </w:p>
    <w:p w:rsidR="00215B20" w:rsidRDefault="00FD0AA3">
      <w:pPr>
        <w:pStyle w:val="Zkladntext1"/>
        <w:numPr>
          <w:ilvl w:val="0"/>
          <w:numId w:val="16"/>
        </w:numPr>
        <w:shd w:val="clear" w:color="auto" w:fill="auto"/>
        <w:tabs>
          <w:tab w:val="left" w:pos="558"/>
        </w:tabs>
        <w:spacing w:after="0" w:line="334" w:lineRule="auto"/>
        <w:jc w:val="both"/>
      </w:pPr>
      <w:r>
        <w:t>Uzavření Smlouvy</w:t>
      </w:r>
    </w:p>
    <w:p w:rsidR="00215B20" w:rsidRDefault="00FD0AA3">
      <w:pPr>
        <w:pStyle w:val="Zkladntext1"/>
        <w:shd w:val="clear" w:color="auto" w:fill="auto"/>
        <w:spacing w:after="0" w:line="334" w:lineRule="auto"/>
        <w:ind w:left="560" w:firstLine="20"/>
        <w:jc w:val="both"/>
      </w:pPr>
      <w:r>
        <w:rPr>
          <w:b/>
          <w:bCs/>
        </w:rPr>
        <w:t xml:space="preserve">Smlouvu můžete </w:t>
      </w:r>
      <w:r>
        <w:t xml:space="preserve">dle aktuálních pravidel a podmínek Operátora uzavřít zejména </w:t>
      </w:r>
      <w:r>
        <w:t>vyplněním formuláře Operá</w:t>
      </w:r>
      <w:r>
        <w:softHyphen/>
        <w:t>tora označeného zpravidla jako „Účastnická smlouva“ či „Smlouva“ nebo jiného obdobného smluvního dokumentu (dále souhrnně jen jako „</w:t>
      </w:r>
      <w:r>
        <w:rPr>
          <w:b/>
          <w:bCs/>
        </w:rPr>
        <w:t>Formulář</w:t>
      </w:r>
      <w:r>
        <w:t>“), a to:</w:t>
      </w:r>
    </w:p>
    <w:p w:rsidR="00215B20" w:rsidRDefault="00FD0AA3">
      <w:pPr>
        <w:pStyle w:val="Zkladntext1"/>
        <w:numPr>
          <w:ilvl w:val="0"/>
          <w:numId w:val="17"/>
        </w:numPr>
        <w:shd w:val="clear" w:color="auto" w:fill="auto"/>
        <w:tabs>
          <w:tab w:val="left" w:pos="977"/>
        </w:tabs>
        <w:spacing w:after="0" w:line="334" w:lineRule="auto"/>
        <w:ind w:left="980" w:hanging="400"/>
        <w:jc w:val="both"/>
      </w:pPr>
      <w:r>
        <w:rPr>
          <w:b/>
          <w:bCs/>
        </w:rPr>
        <w:t xml:space="preserve">osobně </w:t>
      </w:r>
      <w:r>
        <w:t>v sídle Operátora či v T-Mobile prodejně nebo za účasti obchodního zástup</w:t>
      </w:r>
      <w:r>
        <w:t>ce Operátora;</w:t>
      </w:r>
    </w:p>
    <w:p w:rsidR="00215B20" w:rsidRDefault="00FD0AA3">
      <w:pPr>
        <w:pStyle w:val="Zkladntext1"/>
        <w:numPr>
          <w:ilvl w:val="0"/>
          <w:numId w:val="17"/>
        </w:numPr>
        <w:shd w:val="clear" w:color="auto" w:fill="auto"/>
        <w:tabs>
          <w:tab w:val="left" w:pos="977"/>
          <w:tab w:val="left" w:pos="4021"/>
        </w:tabs>
        <w:spacing w:after="0" w:line="334" w:lineRule="auto"/>
        <w:ind w:firstLine="560"/>
        <w:jc w:val="both"/>
      </w:pPr>
      <w:r>
        <w:rPr>
          <w:b/>
          <w:bCs/>
        </w:rPr>
        <w:t>na internetových stránkách</w:t>
      </w:r>
      <w:r>
        <w:rPr>
          <w:b/>
          <w:bCs/>
        </w:rPr>
        <w:tab/>
      </w:r>
      <w:r>
        <w:t>Operátora</w:t>
      </w:r>
    </w:p>
    <w:p w:rsidR="00215B20" w:rsidRDefault="00FD0AA3">
      <w:pPr>
        <w:pStyle w:val="Zkladntext1"/>
        <w:shd w:val="clear" w:color="auto" w:fill="auto"/>
        <w:spacing w:after="0" w:line="334" w:lineRule="auto"/>
        <w:ind w:firstLine="980"/>
      </w:pPr>
      <w:hyperlink r:id="rId117" w:history="1">
        <w:r>
          <w:rPr>
            <w:color w:val="E4087E"/>
            <w:u w:val="single"/>
            <w:lang w:val="en-US" w:eastAsia="en-US" w:bidi="en-US"/>
          </w:rPr>
          <w:t>www.t-mobile.cz</w:t>
        </w:r>
      </w:hyperlink>
      <w:r>
        <w:rPr>
          <w:color w:val="E4087E"/>
          <w:lang w:val="en-US" w:eastAsia="en-US" w:bidi="en-US"/>
        </w:rPr>
        <w:t xml:space="preserve"> </w:t>
      </w:r>
      <w:r>
        <w:t>(dále jen „Web“);</w:t>
      </w:r>
    </w:p>
    <w:p w:rsidR="00215B20" w:rsidRDefault="00FD0AA3">
      <w:pPr>
        <w:pStyle w:val="Zkladntext1"/>
        <w:numPr>
          <w:ilvl w:val="0"/>
          <w:numId w:val="17"/>
        </w:numPr>
        <w:shd w:val="clear" w:color="auto" w:fill="auto"/>
        <w:tabs>
          <w:tab w:val="left" w:pos="977"/>
        </w:tabs>
        <w:spacing w:after="0" w:line="334" w:lineRule="auto"/>
        <w:ind w:left="980" w:hanging="400"/>
        <w:jc w:val="both"/>
      </w:pPr>
      <w:r>
        <w:rPr>
          <w:b/>
          <w:bCs/>
        </w:rPr>
        <w:t xml:space="preserve">v mobilní aplikaci Můj T-Mobile </w:t>
      </w:r>
      <w:r>
        <w:t>(dále jen „Aplika</w:t>
      </w:r>
      <w:r>
        <w:softHyphen/>
        <w:t>ce“), nebo</w:t>
      </w:r>
    </w:p>
    <w:p w:rsidR="00215B20" w:rsidRDefault="00FD0AA3">
      <w:pPr>
        <w:pStyle w:val="Zkladntext1"/>
        <w:numPr>
          <w:ilvl w:val="0"/>
          <w:numId w:val="17"/>
        </w:numPr>
        <w:shd w:val="clear" w:color="auto" w:fill="auto"/>
        <w:tabs>
          <w:tab w:val="left" w:pos="977"/>
        </w:tabs>
        <w:spacing w:after="0" w:line="334" w:lineRule="auto"/>
        <w:ind w:left="980" w:hanging="400"/>
        <w:jc w:val="both"/>
      </w:pPr>
      <w:r>
        <w:t xml:space="preserve">prostřednictvím zákaznického centra </w:t>
      </w:r>
      <w:r>
        <w:rPr>
          <w:b/>
          <w:bCs/>
        </w:rPr>
        <w:t xml:space="preserve">Operátora </w:t>
      </w:r>
      <w:r>
        <w:t>(</w:t>
      </w:r>
      <w:r>
        <w:rPr>
          <w:b/>
          <w:bCs/>
        </w:rPr>
        <w:t>dále jen „Zákaznické centr</w:t>
      </w:r>
      <w:r>
        <w:rPr>
          <w:b/>
          <w:bCs/>
        </w:rPr>
        <w:t>um“</w:t>
      </w:r>
      <w:r>
        <w:t>).</w:t>
      </w:r>
    </w:p>
    <w:p w:rsidR="00215B20" w:rsidRDefault="00FD0AA3">
      <w:pPr>
        <w:pStyle w:val="Zkladntext1"/>
        <w:shd w:val="clear" w:color="auto" w:fill="auto"/>
        <w:spacing w:after="200" w:line="334" w:lineRule="auto"/>
        <w:ind w:left="560" w:firstLine="20"/>
        <w:jc w:val="both"/>
      </w:pPr>
      <w:r>
        <w:rPr>
          <w:b/>
          <w:bCs/>
        </w:rPr>
        <w:t>Máte-li ze Zákona právo na poskytnutí informací o smlou</w:t>
      </w:r>
      <w:r>
        <w:rPr>
          <w:b/>
          <w:bCs/>
        </w:rPr>
        <w:softHyphen/>
        <w:t xml:space="preserve">vě a službách před uzavřením Účastnické smlouvy, pak, je-li to technicky možné, je obdržíte před jejím uzavřením od Operátora. </w:t>
      </w:r>
      <w:r>
        <w:t xml:space="preserve">Konkrétní nastavení Účastnické smlouvy je obsaženo v jejím shrnutí </w:t>
      </w:r>
      <w:r>
        <w:t>(dále jako „Shrnutí smlouvy“), které společně s podmínkami Služby a platnými Ceníky služeb (dále též společně jako „Předsmluvní informace“) tvoří nedílnou součást Účastnické smlouvy. Předsmluvní informace spolu se Shrnutím smlouvy jsou poskytovány ve smysl</w:t>
      </w:r>
      <w:r>
        <w:t>u zákona č. 127/2005 Sb., o elektronických komu</w:t>
      </w:r>
      <w:r>
        <w:softHyphen/>
        <w:t>nikacích, a v souladu s dalšími platnými právními předpi</w:t>
      </w:r>
      <w:r>
        <w:softHyphen/>
        <w:t xml:space="preserve">sy (shora i dále společně jen jako „Zákon“). Předsmluvní informace jsou k dispozici na internetových stránkách </w:t>
      </w:r>
      <w:hyperlink r:id="rId118" w:history="1">
        <w:r w:rsidRPr="00920265">
          <w:rPr>
            <w:color w:val="E4087E"/>
            <w:u w:val="single"/>
            <w:lang w:eastAsia="en-US" w:bidi="en-US"/>
          </w:rPr>
          <w:t>www.t-</w:t>
        </w:r>
        <w:r w:rsidRPr="00920265">
          <w:rPr>
            <w:color w:val="E4087E"/>
            <w:u w:val="single"/>
            <w:lang w:eastAsia="en-US" w:bidi="en-US"/>
          </w:rPr>
          <w:t>mobile.cz</w:t>
        </w:r>
      </w:hyperlink>
      <w:r w:rsidRPr="00920265">
        <w:rPr>
          <w:color w:val="E4087E"/>
          <w:lang w:eastAsia="en-US" w:bidi="en-US"/>
        </w:rPr>
        <w:t xml:space="preserve"> </w:t>
      </w:r>
      <w:r>
        <w:t>(sekce Podpora, Dokumenty ke stažení). Není-li technicky možné Vám informace dle tohoto od</w:t>
      </w:r>
      <w:r>
        <w:softHyphen/>
        <w:t>stavce zaslat před vlastním uzavřením Účastnické smlou</w:t>
      </w:r>
      <w:r>
        <w:softHyphen/>
        <w:t xml:space="preserve">vy, je Účastnická smlouva účinná </w:t>
      </w:r>
      <w:r>
        <w:lastRenderedPageBreak/>
        <w:t>prvním využitím Služby.</w:t>
      </w:r>
    </w:p>
    <w:p w:rsidR="00215B20" w:rsidRDefault="00FD0AA3">
      <w:pPr>
        <w:pStyle w:val="Zkladntext1"/>
        <w:shd w:val="clear" w:color="auto" w:fill="auto"/>
        <w:spacing w:after="200" w:line="334" w:lineRule="auto"/>
        <w:jc w:val="both"/>
      </w:pPr>
      <w:r>
        <w:t>Shrnutí smlouvy s odkazem na Předsmluvní</w:t>
      </w:r>
      <w:r>
        <w:t xml:space="preserve"> informace je zasíláno v případě předplacené Služby prostřednictvím SMS či Vámi poskytnutého e-mailu; v případě paušálních Služeb prostřednictvím e-mailu uvedeného v Účastnické smlouvě či jiné smluvní dokumentaci.</w:t>
      </w:r>
    </w:p>
    <w:p w:rsidR="00215B20" w:rsidRDefault="00FD0AA3">
      <w:pPr>
        <w:pStyle w:val="Zkladntext1"/>
        <w:numPr>
          <w:ilvl w:val="0"/>
          <w:numId w:val="18"/>
        </w:numPr>
        <w:shd w:val="clear" w:color="auto" w:fill="auto"/>
        <w:tabs>
          <w:tab w:val="left" w:pos="246"/>
        </w:tabs>
        <w:spacing w:after="200" w:line="334" w:lineRule="auto"/>
        <w:jc w:val="both"/>
      </w:pPr>
      <w:proofErr w:type="gramStart"/>
      <w:r>
        <w:t>případě</w:t>
      </w:r>
      <w:proofErr w:type="gramEnd"/>
      <w:r>
        <w:t xml:space="preserve"> uzavření Smlouvy osobně prostředni</w:t>
      </w:r>
      <w:r>
        <w:t>ctvím Formuláře tento řádně vyplňte, podepište a předložte jej Operátorovi společně s dokumenty potřebnými k ověření Vaší totožnosti.</w:t>
      </w:r>
    </w:p>
    <w:p w:rsidR="00215B20" w:rsidRDefault="00FD0AA3">
      <w:pPr>
        <w:pStyle w:val="Zkladntext1"/>
        <w:numPr>
          <w:ilvl w:val="0"/>
          <w:numId w:val="18"/>
        </w:numPr>
        <w:shd w:val="clear" w:color="auto" w:fill="auto"/>
        <w:tabs>
          <w:tab w:val="left" w:pos="246"/>
        </w:tabs>
        <w:spacing w:after="200" w:line="334" w:lineRule="auto"/>
        <w:jc w:val="both"/>
      </w:pPr>
      <w:proofErr w:type="gramStart"/>
      <w:r>
        <w:t>případě</w:t>
      </w:r>
      <w:proofErr w:type="gramEnd"/>
      <w:r>
        <w:t xml:space="preserve"> uzavření Smlouvy prostřednictvím Webu nebo v Aplikaci postupujte dle instrukcí na Webu, resp. v Apli</w:t>
      </w:r>
      <w:r>
        <w:softHyphen/>
        <w:t>kaci, a vyplň</w:t>
      </w:r>
      <w:r>
        <w:t>te do Formuláře všechny požadované údaje. Uzavření Smlouvy těmito způsoby se rovněž řídí Obchod</w:t>
      </w:r>
      <w:r>
        <w:softHyphen/>
        <w:t>ními podmínkami zásilkového prodeje.</w:t>
      </w:r>
    </w:p>
    <w:p w:rsidR="00215B20" w:rsidRDefault="00FD0AA3">
      <w:pPr>
        <w:pStyle w:val="Zkladntext1"/>
        <w:shd w:val="clear" w:color="auto" w:fill="auto"/>
        <w:spacing w:after="200" w:line="334" w:lineRule="auto"/>
        <w:jc w:val="both"/>
      </w:pPr>
      <w:r>
        <w:t>Prostřednictvím Zákaznického centra či v Aplikaci může</w:t>
      </w:r>
      <w:r>
        <w:softHyphen/>
        <w:t>te uzavřít Smlouvu pouze v případě, uzavřel/a-li jste již s Operátor</w:t>
      </w:r>
      <w:r>
        <w:t>em dříve jinou Smlouvu prostřednictvím For</w:t>
      </w:r>
      <w:r>
        <w:softHyphen/>
        <w:t>muláře, nedohodne-li se s Vámi Operátor jinak.</w:t>
      </w:r>
    </w:p>
    <w:p w:rsidR="00215B20" w:rsidRDefault="00FD0AA3">
      <w:pPr>
        <w:pStyle w:val="Zkladntext1"/>
        <w:shd w:val="clear" w:color="auto" w:fill="auto"/>
        <w:spacing w:after="200" w:line="334" w:lineRule="auto"/>
        <w:jc w:val="both"/>
      </w:pPr>
      <w:r>
        <w:t>S ohledem na počet zákazníků Vás Operátor výslovně upozorňuje, že jakékoliv Vámi provedené (byť nepodstat</w:t>
      </w:r>
      <w:r>
        <w:softHyphen/>
        <w:t>né) změny ve Smlouvě (s výjimkou údajů, jejichž vyplnění z V</w:t>
      </w:r>
      <w:r>
        <w:t>aší strany se předpokládá) tímto prohlášením Operátor automaticky odmítá.</w:t>
      </w:r>
    </w:p>
    <w:p w:rsidR="00215B20" w:rsidRDefault="00FD0AA3">
      <w:pPr>
        <w:pStyle w:val="Zkladntext1"/>
        <w:shd w:val="clear" w:color="auto" w:fill="auto"/>
        <w:spacing w:after="200" w:line="334" w:lineRule="auto"/>
        <w:jc w:val="both"/>
      </w:pPr>
      <w:r>
        <w:t>Jsou-li splněny podmínky nutné pro uzavření Smlouvy (např. souhlasí-li Vaše totožnost s údaji na Formuláři či složil/a-li jste zálohu, je-li požadována), Operátor takto Vámi předlože</w:t>
      </w:r>
      <w:r>
        <w:t>ný návrh Smlouvy přijme a Smlouvu s Vámi uzavře. Smlouva je platná dnem jejího uzavření.</w:t>
      </w:r>
    </w:p>
    <w:p w:rsidR="00215B20" w:rsidRDefault="00FD0AA3">
      <w:pPr>
        <w:pStyle w:val="Zkladntext1"/>
        <w:shd w:val="clear" w:color="auto" w:fill="auto"/>
        <w:spacing w:after="200" w:line="334" w:lineRule="auto"/>
        <w:jc w:val="both"/>
        <w:sectPr w:rsidR="00215B20">
          <w:type w:val="continuous"/>
          <w:pgSz w:w="11900" w:h="16840"/>
          <w:pgMar w:top="1954" w:right="805" w:bottom="1364" w:left="819" w:header="0" w:footer="3" w:gutter="0"/>
          <w:cols w:num="2" w:space="720" w:equalWidth="0">
            <w:col w:w="4920" w:space="994"/>
            <w:col w:w="4363"/>
          </w:cols>
          <w:noEndnote/>
          <w:docGrid w:linePitch="360"/>
        </w:sectPr>
      </w:pPr>
      <w:r>
        <w:t>O uzavření Účastnické smlouvy Vás bude Operátor rovněž informovat prostřednictvím Vašeho zákaznického účtu Můj T-Mobile nebo Moje fi</w:t>
      </w:r>
      <w:r>
        <w:t>rma na Webu (dále jako „Samoobslu</w:t>
      </w:r>
      <w:r>
        <w:softHyphen/>
        <w:t xml:space="preserve">ha“) ve schránce T-Box (dále jen „schránka T-Box“), máte-li účet Můj </w:t>
      </w:r>
      <w:proofErr w:type="gramStart"/>
      <w:r>
        <w:t>T-Mobile</w:t>
      </w:r>
      <w:proofErr w:type="gramEnd"/>
      <w:r>
        <w:t xml:space="preserve"> / Moje firma zřízen. Potvrzení Smlouvy nemá charakter potvrzujícího obchodního dopisu a Operá-</w:t>
      </w:r>
    </w:p>
    <w:p w:rsidR="00215B20" w:rsidRDefault="00FD0AA3">
      <w:pPr>
        <w:pStyle w:val="Zkladntext1"/>
        <w:shd w:val="clear" w:color="auto" w:fill="auto"/>
        <w:spacing w:after="220" w:line="334" w:lineRule="auto"/>
        <w:ind w:left="560" w:firstLine="20"/>
        <w:jc w:val="both"/>
      </w:pPr>
      <w:r>
        <w:lastRenderedPageBreak/>
        <w:t xml:space="preserve">tor Vás současně upozorňuje, že nebude přihlížet </w:t>
      </w:r>
      <w:r>
        <w:t>k žádné</w:t>
      </w:r>
      <w:r>
        <w:softHyphen/>
        <w:t>mu Vašemu potvrzení o uzavření Smlouvy, které byste mu zaslal/a, tj. takové potvrzení nemá vliv na obsah Smlouvy.</w:t>
      </w:r>
    </w:p>
    <w:p w:rsidR="00215B20" w:rsidRDefault="00FD0AA3">
      <w:pPr>
        <w:pStyle w:val="Zkladntext1"/>
        <w:shd w:val="clear" w:color="auto" w:fill="auto"/>
        <w:spacing w:after="220" w:line="334" w:lineRule="auto"/>
        <w:ind w:left="560" w:firstLine="20"/>
        <w:jc w:val="both"/>
      </w:pPr>
      <w:r>
        <w:rPr>
          <w:b/>
          <w:bCs/>
        </w:rPr>
        <w:t>Kvůli případnému pozdějšímu prokázání Vaší identifika</w:t>
      </w:r>
      <w:r>
        <w:rPr>
          <w:b/>
          <w:bCs/>
        </w:rPr>
        <w:softHyphen/>
        <w:t>ce při uzavření Smlouvy udělujete Operátorovi souhlas s tím, aby si z Vašich pře</w:t>
      </w:r>
      <w:r>
        <w:rPr>
          <w:b/>
          <w:bCs/>
        </w:rPr>
        <w:t>dložených dokumentů kopíro</w:t>
      </w:r>
      <w:r>
        <w:rPr>
          <w:b/>
          <w:bCs/>
        </w:rPr>
        <w:softHyphen/>
        <w:t>val údaje nutné k Vaší identifikaci (v případě nesouhlasu s kopírováním si je Operátor opíše) a tyto údaje archivo</w:t>
      </w:r>
      <w:r>
        <w:rPr>
          <w:b/>
          <w:bCs/>
        </w:rPr>
        <w:softHyphen/>
        <w:t>val. Obdobné platí v případě, že dokládáte změnu těch</w:t>
      </w:r>
      <w:r>
        <w:rPr>
          <w:b/>
          <w:bCs/>
        </w:rPr>
        <w:softHyphen/>
        <w:t>to údajů.</w:t>
      </w:r>
    </w:p>
    <w:p w:rsidR="00215B20" w:rsidRDefault="00FD0AA3">
      <w:pPr>
        <w:pStyle w:val="Zkladntext1"/>
        <w:numPr>
          <w:ilvl w:val="0"/>
          <w:numId w:val="16"/>
        </w:numPr>
        <w:shd w:val="clear" w:color="auto" w:fill="auto"/>
        <w:tabs>
          <w:tab w:val="left" w:pos="571"/>
        </w:tabs>
        <w:spacing w:after="0" w:line="334" w:lineRule="auto"/>
      </w:pPr>
      <w:r>
        <w:t>Obsah Smlouvy</w:t>
      </w:r>
    </w:p>
    <w:p w:rsidR="00215B20" w:rsidRDefault="00FD0AA3">
      <w:pPr>
        <w:pStyle w:val="Zkladntext1"/>
        <w:shd w:val="clear" w:color="auto" w:fill="auto"/>
        <w:spacing w:after="0" w:line="334" w:lineRule="auto"/>
        <w:jc w:val="both"/>
      </w:pPr>
      <w:r>
        <w:t>Obsah Smlouvy tvoří ustanovení uvede</w:t>
      </w:r>
      <w:r>
        <w:t>ná v:</w:t>
      </w:r>
    </w:p>
    <w:p w:rsidR="00215B20" w:rsidRDefault="00FD0AA3">
      <w:pPr>
        <w:pStyle w:val="Zkladntext1"/>
        <w:numPr>
          <w:ilvl w:val="0"/>
          <w:numId w:val="19"/>
        </w:numPr>
        <w:shd w:val="clear" w:color="auto" w:fill="auto"/>
        <w:tabs>
          <w:tab w:val="left" w:pos="972"/>
        </w:tabs>
        <w:spacing w:after="0" w:line="334" w:lineRule="auto"/>
        <w:ind w:left="980" w:hanging="400"/>
        <w:jc w:val="both"/>
      </w:pPr>
      <w:r>
        <w:t xml:space="preserve">oboustranně </w:t>
      </w:r>
      <w:proofErr w:type="gramStart"/>
      <w:r>
        <w:t>akceptovaném</w:t>
      </w:r>
      <w:proofErr w:type="gramEnd"/>
      <w:r>
        <w:t xml:space="preserve"> Formuláři nebo v obsa</w:t>
      </w:r>
      <w:r>
        <w:softHyphen/>
        <w:t>hu hovoru při telefonickém uzavření Smlouvy a Shr</w:t>
      </w:r>
      <w:r>
        <w:softHyphen/>
        <w:t>nutí smlouvy;</w:t>
      </w:r>
    </w:p>
    <w:p w:rsidR="00215B20" w:rsidRDefault="00FD0AA3">
      <w:pPr>
        <w:pStyle w:val="Zkladntext1"/>
        <w:numPr>
          <w:ilvl w:val="0"/>
          <w:numId w:val="19"/>
        </w:numPr>
        <w:shd w:val="clear" w:color="auto" w:fill="auto"/>
        <w:tabs>
          <w:tab w:val="left" w:pos="972"/>
        </w:tabs>
        <w:spacing w:after="0" w:line="334" w:lineRule="auto"/>
        <w:ind w:left="980" w:hanging="400"/>
        <w:jc w:val="both"/>
      </w:pPr>
      <w:proofErr w:type="gramStart"/>
      <w:r>
        <w:t>podmínkách</w:t>
      </w:r>
      <w:proofErr w:type="gramEnd"/>
      <w:r>
        <w:t xml:space="preserve"> zvláštních nabídek nebo podmínkách sjednaných v Smlouvě;</w:t>
      </w:r>
    </w:p>
    <w:p w:rsidR="00215B20" w:rsidRDefault="00FD0AA3">
      <w:pPr>
        <w:pStyle w:val="Zkladntext1"/>
        <w:numPr>
          <w:ilvl w:val="0"/>
          <w:numId w:val="19"/>
        </w:numPr>
        <w:shd w:val="clear" w:color="auto" w:fill="auto"/>
        <w:tabs>
          <w:tab w:val="left" w:pos="972"/>
        </w:tabs>
        <w:spacing w:after="0" w:line="334" w:lineRule="auto"/>
        <w:ind w:firstLine="560"/>
        <w:jc w:val="both"/>
      </w:pPr>
      <w:proofErr w:type="gramStart"/>
      <w:r>
        <w:t>podmínkách</w:t>
      </w:r>
      <w:proofErr w:type="gramEnd"/>
      <w:r>
        <w:t xml:space="preserve"> Vámi zvolených konkrétních Služeb;</w:t>
      </w:r>
    </w:p>
    <w:p w:rsidR="00215B20" w:rsidRDefault="00FD0AA3">
      <w:pPr>
        <w:pStyle w:val="Zkladntext1"/>
        <w:numPr>
          <w:ilvl w:val="0"/>
          <w:numId w:val="19"/>
        </w:numPr>
        <w:shd w:val="clear" w:color="auto" w:fill="auto"/>
        <w:tabs>
          <w:tab w:val="left" w:pos="972"/>
        </w:tabs>
        <w:spacing w:after="0" w:line="334" w:lineRule="auto"/>
        <w:ind w:left="980" w:hanging="400"/>
        <w:jc w:val="both"/>
      </w:pPr>
      <w:r>
        <w:t xml:space="preserve">platných cenících Služeb </w:t>
      </w:r>
      <w:r>
        <w:t>(shora i dále jen jako „Ceník služeb“);</w:t>
      </w:r>
    </w:p>
    <w:p w:rsidR="00215B20" w:rsidRDefault="00FD0AA3">
      <w:pPr>
        <w:pStyle w:val="Zkladntext1"/>
        <w:numPr>
          <w:ilvl w:val="0"/>
          <w:numId w:val="19"/>
        </w:numPr>
        <w:shd w:val="clear" w:color="auto" w:fill="auto"/>
        <w:tabs>
          <w:tab w:val="left" w:pos="972"/>
        </w:tabs>
        <w:spacing w:after="0" w:line="334" w:lineRule="auto"/>
        <w:ind w:left="980" w:hanging="400"/>
        <w:jc w:val="both"/>
      </w:pPr>
      <w:proofErr w:type="gramStart"/>
      <w:r>
        <w:t>Podmínkách</w:t>
      </w:r>
      <w:proofErr w:type="gramEnd"/>
      <w:r>
        <w:t xml:space="preserve"> zpracovávání osobních, identifikačních, provozních a lokalizačních údajů účastníků;</w:t>
      </w:r>
    </w:p>
    <w:p w:rsidR="00215B20" w:rsidRDefault="00FD0AA3">
      <w:pPr>
        <w:pStyle w:val="Zkladntext1"/>
        <w:numPr>
          <w:ilvl w:val="0"/>
          <w:numId w:val="19"/>
        </w:numPr>
        <w:shd w:val="clear" w:color="auto" w:fill="auto"/>
        <w:tabs>
          <w:tab w:val="left" w:pos="972"/>
        </w:tabs>
        <w:spacing w:after="0" w:line="334" w:lineRule="auto"/>
        <w:ind w:firstLine="560"/>
        <w:jc w:val="both"/>
      </w:pPr>
      <w:r>
        <w:t xml:space="preserve">platných Všeobecných </w:t>
      </w:r>
      <w:proofErr w:type="gramStart"/>
      <w:r>
        <w:t>podmínkách</w:t>
      </w:r>
      <w:proofErr w:type="gramEnd"/>
      <w:r>
        <w:t>; a</w:t>
      </w:r>
    </w:p>
    <w:p w:rsidR="00215B20" w:rsidRDefault="00FD0AA3">
      <w:pPr>
        <w:pStyle w:val="Zkladntext1"/>
        <w:numPr>
          <w:ilvl w:val="0"/>
          <w:numId w:val="19"/>
        </w:numPr>
        <w:shd w:val="clear" w:color="auto" w:fill="auto"/>
        <w:tabs>
          <w:tab w:val="left" w:pos="974"/>
        </w:tabs>
        <w:spacing w:after="220" w:line="334" w:lineRule="auto"/>
        <w:ind w:firstLine="560"/>
        <w:jc w:val="both"/>
      </w:pPr>
      <w:r>
        <w:t xml:space="preserve">dalších </w:t>
      </w:r>
      <w:proofErr w:type="gramStart"/>
      <w:r>
        <w:t>dokumentech</w:t>
      </w:r>
      <w:proofErr w:type="gramEnd"/>
      <w:r>
        <w:t>, na které budete upozorněn/a.</w:t>
      </w:r>
    </w:p>
    <w:p w:rsidR="00215B20" w:rsidRDefault="00FD0AA3">
      <w:pPr>
        <w:pStyle w:val="Zkladntext1"/>
        <w:shd w:val="clear" w:color="auto" w:fill="auto"/>
        <w:spacing w:after="220" w:line="334" w:lineRule="auto"/>
        <w:ind w:left="560" w:firstLine="20"/>
        <w:jc w:val="both"/>
      </w:pPr>
      <w:r>
        <w:t xml:space="preserve">V případě rozporu mezi jednotlivými </w:t>
      </w:r>
      <w:r>
        <w:t>dokumenty má před</w:t>
      </w:r>
      <w:r>
        <w:softHyphen/>
        <w:t>nost ten dokument, který je uveden v předchozím odstavci dříve v pořadí než ten, se kterým je dokument v rozporu.</w:t>
      </w:r>
    </w:p>
    <w:p w:rsidR="00215B20" w:rsidRDefault="00FD0AA3">
      <w:pPr>
        <w:pStyle w:val="Zkladntext1"/>
        <w:numPr>
          <w:ilvl w:val="0"/>
          <w:numId w:val="16"/>
        </w:numPr>
        <w:shd w:val="clear" w:color="auto" w:fill="auto"/>
        <w:tabs>
          <w:tab w:val="left" w:pos="571"/>
        </w:tabs>
        <w:spacing w:after="0" w:line="334" w:lineRule="auto"/>
        <w:jc w:val="both"/>
      </w:pPr>
      <w:r>
        <w:t>Aktivace Služby</w:t>
      </w:r>
    </w:p>
    <w:p w:rsidR="00215B20" w:rsidRDefault="00FD0AA3">
      <w:pPr>
        <w:pStyle w:val="Zkladntext1"/>
        <w:shd w:val="clear" w:color="auto" w:fill="auto"/>
        <w:spacing w:after="220" w:line="334" w:lineRule="auto"/>
        <w:ind w:left="560" w:firstLine="20"/>
        <w:jc w:val="both"/>
      </w:pPr>
      <w:r>
        <w:t>Operátor Vám aktivuje Službu v co nejkratší lhůtě, ve které je to s přihlédnutím k technickým, obchodním a p</w:t>
      </w:r>
      <w:r>
        <w:t>roces</w:t>
      </w:r>
      <w:r>
        <w:softHyphen/>
        <w:t>ním podmínkám možné, a to, pokud se s Vámi nedohodne jinak, v případě mobilní Služby maximálně do 7 dnů a v pří</w:t>
      </w:r>
      <w:r>
        <w:softHyphen/>
        <w:t>padě pevné Služby maximálně do 30 dnů.</w:t>
      </w:r>
    </w:p>
    <w:p w:rsidR="00215B20" w:rsidRDefault="00FD0AA3">
      <w:pPr>
        <w:pStyle w:val="Zkladntext1"/>
        <w:shd w:val="clear" w:color="auto" w:fill="auto"/>
        <w:spacing w:after="220" w:line="334" w:lineRule="auto"/>
        <w:ind w:left="560" w:firstLine="20"/>
        <w:jc w:val="both"/>
      </w:pPr>
      <w:r>
        <w:rPr>
          <w:b/>
          <w:bCs/>
        </w:rPr>
        <w:t xml:space="preserve">Dnem aktivace Služby se stává Smlouva účinnou. </w:t>
      </w:r>
      <w:r>
        <w:t>Vyžadu- je-li však Zákon pro nabytí účinnosti Smlouv</w:t>
      </w:r>
      <w:r>
        <w:t>y splnění další podmínky, nabývá Smlouva účinnosti dnem, kdy je Služba aktivní a Zákonem vyžadovaná podmínka je splněna. Pokud Vám zašleme Shrnutí smlouvy po uzavření či změně Smlou</w:t>
      </w:r>
      <w:r>
        <w:softHyphen/>
        <w:t>vy, považuje se za potvrzení souhlasu se Smlouvou první vy</w:t>
      </w:r>
      <w:r>
        <w:softHyphen/>
        <w:t xml:space="preserve">užití sjednané </w:t>
      </w:r>
      <w:r>
        <w:t>Služby učiněné po odeslání Shrnutí smlouvy ze strany Operátora na vámi uvedené kontaktní údaje.</w:t>
      </w:r>
    </w:p>
    <w:p w:rsidR="00215B20" w:rsidRDefault="00FD0AA3">
      <w:pPr>
        <w:pStyle w:val="Zkladntext1"/>
        <w:numPr>
          <w:ilvl w:val="0"/>
          <w:numId w:val="16"/>
        </w:numPr>
        <w:shd w:val="clear" w:color="auto" w:fill="auto"/>
        <w:tabs>
          <w:tab w:val="left" w:pos="571"/>
        </w:tabs>
        <w:spacing w:after="0" w:line="334" w:lineRule="auto"/>
        <w:jc w:val="both"/>
      </w:pPr>
      <w:r>
        <w:t>Doba trvání Smlouvy</w:t>
      </w:r>
    </w:p>
    <w:p w:rsidR="00215B20" w:rsidRDefault="00FD0AA3">
      <w:pPr>
        <w:pStyle w:val="Zkladntext1"/>
        <w:shd w:val="clear" w:color="auto" w:fill="auto"/>
        <w:spacing w:after="220" w:line="334" w:lineRule="auto"/>
        <w:ind w:left="560" w:firstLine="20"/>
        <w:jc w:val="both"/>
      </w:pPr>
      <w:r>
        <w:rPr>
          <w:b/>
          <w:bCs/>
        </w:rPr>
        <w:t xml:space="preserve">Smlouva se uzavírá na dobu určitou nebo neurčitou. </w:t>
      </w:r>
      <w:r>
        <w:t xml:space="preserve">Doba trvání Smlouvy je zpravidla uvedena ve Formuláři. </w:t>
      </w:r>
      <w:r>
        <w:rPr>
          <w:u w:val="single"/>
        </w:rPr>
        <w:t>Nepo- tvrdíte-li Operátorovi, že c</w:t>
      </w:r>
      <w:r>
        <w:rPr>
          <w:u w:val="single"/>
        </w:rPr>
        <w:t xml:space="preserve">hcete ukončit Smlouvu k datu, kdy má uplynout sjednaná doba jejího trvání, </w:t>
      </w:r>
      <w:r>
        <w:rPr>
          <w:b/>
          <w:bCs/>
          <w:u w:val="single"/>
        </w:rPr>
        <w:t>automaticky se doba trvání Smlouvy změní na dobu neurčitou</w:t>
      </w:r>
      <w:r>
        <w:t>.</w:t>
      </w:r>
    </w:p>
    <w:p w:rsidR="00215B20" w:rsidRDefault="00FD0AA3">
      <w:pPr>
        <w:pStyle w:val="Zkladntext1"/>
        <w:shd w:val="clear" w:color="auto" w:fill="auto"/>
        <w:spacing w:after="220" w:line="334" w:lineRule="auto"/>
        <w:ind w:left="560" w:firstLine="20"/>
        <w:jc w:val="both"/>
      </w:pPr>
      <w:r>
        <w:t xml:space="preserve">Doba určitá Vaší Smlouvy se automaticky prodlužuje o dobu, po kterou Vám bylo poskytování Služeb přerušeno nebo omezeno; </w:t>
      </w:r>
      <w:r>
        <w:t>např. z důvodu neplacení (dále též společ</w:t>
      </w:r>
      <w:r>
        <w:softHyphen/>
        <w:t>ně jako „suspendace“).</w:t>
      </w:r>
    </w:p>
    <w:p w:rsidR="00215B20" w:rsidRDefault="00FD0AA3">
      <w:pPr>
        <w:pStyle w:val="Zkladntext1"/>
        <w:numPr>
          <w:ilvl w:val="0"/>
          <w:numId w:val="16"/>
        </w:numPr>
        <w:shd w:val="clear" w:color="auto" w:fill="auto"/>
        <w:tabs>
          <w:tab w:val="left" w:pos="566"/>
        </w:tabs>
        <w:spacing w:after="0" w:line="334" w:lineRule="auto"/>
      </w:pPr>
      <w:r>
        <w:lastRenderedPageBreak/>
        <w:t>Změna Smlouvy</w:t>
      </w:r>
    </w:p>
    <w:p w:rsidR="00215B20" w:rsidRDefault="00FD0AA3">
      <w:pPr>
        <w:pStyle w:val="Zkladntext1"/>
        <w:shd w:val="clear" w:color="auto" w:fill="auto"/>
        <w:spacing w:after="220" w:line="334" w:lineRule="auto"/>
        <w:ind w:left="560" w:firstLine="20"/>
        <w:jc w:val="both"/>
      </w:pPr>
      <w:r>
        <w:t>Návrh na změnu Smlouvy jste oprávněn/a předložit pro</w:t>
      </w:r>
      <w:r>
        <w:softHyphen/>
        <w:t>střednictvím kteréhokoliv kontaktního místa Operátora, není-li stanoveno v obchodních podmínkách konkrétní Služby jinak. Bud</w:t>
      </w:r>
      <w:r>
        <w:t>ou-li splněny všechny podmínky pro pro</w:t>
      </w:r>
      <w:r>
        <w:softHyphen/>
        <w:t>vedení změny (i technické a procesní), Operátor změnu provede co nejdříve, nejpozději od počátku zúčtovacího období nejblíže následujícího po okamžiku, kdy obdržel Váš návrh na změnu. Nebudou-li všechny uvedené pod</w:t>
      </w:r>
      <w:r>
        <w:softHyphen/>
        <w:t>mí</w:t>
      </w:r>
      <w:r>
        <w:t>nky splněny, informuje Vás Operátor o podmínkách, za kterých návrh na změnu může přijmout, nebo Váš návrh na provedení změny odmítne (například z důvodu Va</w:t>
      </w:r>
      <w:r>
        <w:softHyphen/>
        <w:t>šeho dluhu vůči Operátorovi, při suspendaci, v průběhu výpovědní doby apod.). O Změně Smlouvy Vás in</w:t>
      </w:r>
      <w:r>
        <w:t>formu</w:t>
      </w:r>
      <w:r>
        <w:softHyphen/>
        <w:t>jeme i např. prostřednictvím schránky T-Box či SMS nebo e-mailem.</w:t>
      </w:r>
    </w:p>
    <w:p w:rsidR="00215B20" w:rsidRDefault="00FD0AA3">
      <w:pPr>
        <w:pStyle w:val="Zkladntext1"/>
        <w:shd w:val="clear" w:color="auto" w:fill="auto"/>
        <w:spacing w:after="220" w:line="334" w:lineRule="auto"/>
        <w:ind w:left="560" w:firstLine="20"/>
        <w:jc w:val="both"/>
      </w:pPr>
      <w:r>
        <w:rPr>
          <w:u w:val="single"/>
        </w:rPr>
        <w:t>O změně Vašich údajů uvedených ve Smlouvě se zava</w:t>
      </w:r>
      <w:r>
        <w:rPr>
          <w:u w:val="single"/>
        </w:rPr>
        <w:softHyphen/>
        <w:t>zujete informovat Operátora vždy do 7 dnů ode dne, kdy taková změna nastala, a současně doložit doklad, který ji osvědčuje.</w:t>
      </w:r>
      <w:r>
        <w:t xml:space="preserve"> Operátor p</w:t>
      </w:r>
      <w:r>
        <w:t>lní své povinnosti vždy na kontaktní údaje, které o Vás aktuálně eviduje.</w:t>
      </w:r>
    </w:p>
    <w:p w:rsidR="00215B20" w:rsidRDefault="00FD0AA3">
      <w:pPr>
        <w:pStyle w:val="Zkladntext1"/>
        <w:shd w:val="clear" w:color="auto" w:fill="auto"/>
        <w:spacing w:after="0" w:line="334" w:lineRule="auto"/>
        <w:ind w:left="560" w:firstLine="20"/>
        <w:jc w:val="both"/>
      </w:pPr>
      <w:r>
        <w:t>Operátor je oprávněn jednostranně měnit Smlouvu z dů</w:t>
      </w:r>
      <w:r>
        <w:softHyphen/>
        <w:t>vodů</w:t>
      </w:r>
    </w:p>
    <w:p w:rsidR="00215B20" w:rsidRDefault="00FD0AA3">
      <w:pPr>
        <w:pStyle w:val="Zkladntext1"/>
        <w:numPr>
          <w:ilvl w:val="0"/>
          <w:numId w:val="20"/>
        </w:numPr>
        <w:shd w:val="clear" w:color="auto" w:fill="auto"/>
        <w:tabs>
          <w:tab w:val="left" w:pos="957"/>
        </w:tabs>
        <w:spacing w:after="0" w:line="334" w:lineRule="auto"/>
        <w:ind w:left="560" w:firstLine="20"/>
        <w:jc w:val="both"/>
      </w:pPr>
      <w:r>
        <w:t>inflace;</w:t>
      </w:r>
    </w:p>
    <w:p w:rsidR="00215B20" w:rsidRDefault="00FD0AA3">
      <w:pPr>
        <w:pStyle w:val="Zkladntext1"/>
        <w:numPr>
          <w:ilvl w:val="0"/>
          <w:numId w:val="20"/>
        </w:numPr>
        <w:shd w:val="clear" w:color="auto" w:fill="auto"/>
        <w:tabs>
          <w:tab w:val="left" w:pos="957"/>
        </w:tabs>
        <w:spacing w:after="0" w:line="334" w:lineRule="auto"/>
        <w:ind w:firstLine="560"/>
      </w:pPr>
      <w:r>
        <w:t>vývoje nových technologií;</w:t>
      </w:r>
    </w:p>
    <w:p w:rsidR="00215B20" w:rsidRDefault="00FD0AA3">
      <w:pPr>
        <w:pStyle w:val="Zkladntext1"/>
        <w:numPr>
          <w:ilvl w:val="0"/>
          <w:numId w:val="20"/>
        </w:numPr>
        <w:shd w:val="clear" w:color="auto" w:fill="auto"/>
        <w:tabs>
          <w:tab w:val="left" w:pos="957"/>
        </w:tabs>
        <w:spacing w:after="0" w:line="334" w:lineRule="auto"/>
        <w:ind w:firstLine="560"/>
      </w:pPr>
      <w:r>
        <w:t>zkvalitnění sítě či Služeb;</w:t>
      </w:r>
    </w:p>
    <w:p w:rsidR="00215B20" w:rsidRDefault="00FD0AA3">
      <w:pPr>
        <w:pStyle w:val="Zkladntext1"/>
        <w:numPr>
          <w:ilvl w:val="0"/>
          <w:numId w:val="20"/>
        </w:numPr>
        <w:shd w:val="clear" w:color="auto" w:fill="auto"/>
        <w:tabs>
          <w:tab w:val="left" w:pos="957"/>
        </w:tabs>
        <w:spacing w:after="0" w:line="334" w:lineRule="auto"/>
        <w:ind w:firstLine="560"/>
      </w:pPr>
      <w:r>
        <w:t>zavádění nových Služeb;</w:t>
      </w:r>
    </w:p>
    <w:p w:rsidR="00215B20" w:rsidRDefault="00FD0AA3">
      <w:pPr>
        <w:pStyle w:val="Zkladntext1"/>
        <w:numPr>
          <w:ilvl w:val="0"/>
          <w:numId w:val="20"/>
        </w:numPr>
        <w:shd w:val="clear" w:color="auto" w:fill="auto"/>
        <w:tabs>
          <w:tab w:val="left" w:pos="957"/>
        </w:tabs>
        <w:spacing w:after="0" w:line="334" w:lineRule="auto"/>
        <w:ind w:firstLine="560"/>
      </w:pPr>
      <w:r>
        <w:t>změn nebo rušení stávajících Služeb;</w:t>
      </w:r>
    </w:p>
    <w:p w:rsidR="00215B20" w:rsidRDefault="00FD0AA3">
      <w:pPr>
        <w:pStyle w:val="Zkladntext1"/>
        <w:numPr>
          <w:ilvl w:val="0"/>
          <w:numId w:val="20"/>
        </w:numPr>
        <w:shd w:val="clear" w:color="auto" w:fill="auto"/>
        <w:tabs>
          <w:tab w:val="left" w:pos="957"/>
        </w:tabs>
        <w:spacing w:after="220" w:line="334" w:lineRule="auto"/>
        <w:ind w:firstLine="560"/>
      </w:pPr>
      <w:r>
        <w:t>změn podmínek na trhu elektronických komunikací.</w:t>
      </w:r>
    </w:p>
    <w:p w:rsidR="00215B20" w:rsidRDefault="00FD0AA3">
      <w:pPr>
        <w:pStyle w:val="Zkladntext1"/>
        <w:shd w:val="clear" w:color="auto" w:fill="auto"/>
        <w:spacing w:after="0" w:line="334" w:lineRule="auto"/>
        <w:ind w:left="560" w:firstLine="20"/>
        <w:jc w:val="both"/>
      </w:pPr>
      <w:r>
        <w:t>Operátor je oprávněn měnit již uzavřenou Smlouvu v části týkající se</w:t>
      </w:r>
    </w:p>
    <w:p w:rsidR="00215B20" w:rsidRDefault="00FD0AA3">
      <w:pPr>
        <w:pStyle w:val="Zkladntext1"/>
        <w:numPr>
          <w:ilvl w:val="0"/>
          <w:numId w:val="21"/>
        </w:numPr>
        <w:shd w:val="clear" w:color="auto" w:fill="auto"/>
        <w:tabs>
          <w:tab w:val="left" w:pos="957"/>
        </w:tabs>
        <w:spacing w:after="0" w:line="334" w:lineRule="auto"/>
        <w:ind w:left="560" w:firstLine="20"/>
        <w:jc w:val="both"/>
      </w:pPr>
      <w:r>
        <w:t>ceny Služeb;</w:t>
      </w:r>
    </w:p>
    <w:p w:rsidR="00215B20" w:rsidRDefault="00FD0AA3">
      <w:pPr>
        <w:pStyle w:val="Zkladntext1"/>
        <w:numPr>
          <w:ilvl w:val="0"/>
          <w:numId w:val="21"/>
        </w:numPr>
        <w:shd w:val="clear" w:color="auto" w:fill="auto"/>
        <w:tabs>
          <w:tab w:val="left" w:pos="957"/>
        </w:tabs>
        <w:spacing w:after="0" w:line="334" w:lineRule="auto"/>
        <w:ind w:left="560" w:firstLine="20"/>
        <w:jc w:val="both"/>
      </w:pPr>
      <w:r>
        <w:t>způsobu a podmínek účtování Služeb;</w:t>
      </w:r>
    </w:p>
    <w:p w:rsidR="00215B20" w:rsidRDefault="00FD0AA3">
      <w:pPr>
        <w:pStyle w:val="Zkladntext1"/>
        <w:numPr>
          <w:ilvl w:val="0"/>
          <w:numId w:val="21"/>
        </w:numPr>
        <w:shd w:val="clear" w:color="auto" w:fill="auto"/>
        <w:tabs>
          <w:tab w:val="left" w:pos="957"/>
        </w:tabs>
        <w:spacing w:after="0" w:line="334" w:lineRule="auto"/>
        <w:ind w:left="960" w:hanging="380"/>
        <w:jc w:val="both"/>
      </w:pPr>
      <w:r>
        <w:t>způsobu, rozsahu, parametrů a podmínek poskyto</w:t>
      </w:r>
      <w:r>
        <w:softHyphen/>
        <w:t xml:space="preserve">vání Služeb (vč. ukončení poskytování </w:t>
      </w:r>
      <w:r>
        <w:t>Služby a zavá</w:t>
      </w:r>
      <w:r>
        <w:softHyphen/>
        <w:t>dění nových Služeb);</w:t>
      </w:r>
    </w:p>
    <w:p w:rsidR="00215B20" w:rsidRDefault="00FD0AA3">
      <w:pPr>
        <w:pStyle w:val="Zkladntext1"/>
        <w:numPr>
          <w:ilvl w:val="0"/>
          <w:numId w:val="21"/>
        </w:numPr>
        <w:shd w:val="clear" w:color="auto" w:fill="auto"/>
        <w:tabs>
          <w:tab w:val="left" w:pos="957"/>
        </w:tabs>
        <w:spacing w:after="0" w:line="334" w:lineRule="auto"/>
        <w:ind w:left="960" w:hanging="380"/>
        <w:jc w:val="both"/>
      </w:pPr>
      <w:r>
        <w:t>rozsahu Vašich práv a povinností i práv a povinností Operátora;</w:t>
      </w:r>
    </w:p>
    <w:p w:rsidR="00215B20" w:rsidRDefault="00FD0AA3">
      <w:pPr>
        <w:pStyle w:val="Zkladntext1"/>
        <w:numPr>
          <w:ilvl w:val="0"/>
          <w:numId w:val="21"/>
        </w:numPr>
        <w:shd w:val="clear" w:color="auto" w:fill="auto"/>
        <w:tabs>
          <w:tab w:val="left" w:pos="957"/>
        </w:tabs>
        <w:spacing w:after="0" w:line="334" w:lineRule="auto"/>
        <w:ind w:firstLine="560"/>
        <w:jc w:val="both"/>
      </w:pPr>
      <w:r>
        <w:t>způsobu a podmínek uplatnění a vyřízení reklamace;</w:t>
      </w:r>
    </w:p>
    <w:p w:rsidR="00215B20" w:rsidRDefault="00FD0AA3">
      <w:pPr>
        <w:pStyle w:val="Zkladntext1"/>
        <w:numPr>
          <w:ilvl w:val="0"/>
          <w:numId w:val="21"/>
        </w:numPr>
        <w:shd w:val="clear" w:color="auto" w:fill="auto"/>
        <w:tabs>
          <w:tab w:val="left" w:pos="957"/>
        </w:tabs>
        <w:spacing w:after="0" w:line="334" w:lineRule="auto"/>
        <w:ind w:firstLine="560"/>
        <w:jc w:val="both"/>
      </w:pPr>
      <w:r>
        <w:t>odpovědnosti za újmu;</w:t>
      </w:r>
    </w:p>
    <w:p w:rsidR="00215B20" w:rsidRDefault="00FD0AA3">
      <w:pPr>
        <w:pStyle w:val="Zkladntext1"/>
        <w:numPr>
          <w:ilvl w:val="0"/>
          <w:numId w:val="21"/>
        </w:numPr>
        <w:shd w:val="clear" w:color="auto" w:fill="auto"/>
        <w:tabs>
          <w:tab w:val="left" w:pos="974"/>
        </w:tabs>
        <w:spacing w:after="0" w:line="334" w:lineRule="auto"/>
        <w:ind w:firstLine="560"/>
        <w:jc w:val="both"/>
      </w:pPr>
      <w:r>
        <w:t>doby trvání Smlouvy;</w:t>
      </w:r>
    </w:p>
    <w:p w:rsidR="00215B20" w:rsidRDefault="00FD0AA3">
      <w:pPr>
        <w:pStyle w:val="Zkladntext1"/>
        <w:shd w:val="clear" w:color="auto" w:fill="auto"/>
        <w:spacing w:after="0" w:line="334" w:lineRule="auto"/>
        <w:ind w:firstLine="560"/>
        <w:jc w:val="both"/>
      </w:pPr>
      <w:r>
        <w:rPr>
          <w:b/>
          <w:bCs/>
        </w:rPr>
        <w:t xml:space="preserve">(viii) </w:t>
      </w:r>
      <w:r>
        <w:t>podmínek a výše úhrad;</w:t>
      </w:r>
    </w:p>
    <w:p w:rsidR="00215B20" w:rsidRDefault="00FD0AA3">
      <w:pPr>
        <w:pStyle w:val="Zkladntext1"/>
        <w:numPr>
          <w:ilvl w:val="0"/>
          <w:numId w:val="22"/>
        </w:numPr>
        <w:shd w:val="clear" w:color="auto" w:fill="auto"/>
        <w:tabs>
          <w:tab w:val="left" w:pos="957"/>
        </w:tabs>
        <w:spacing w:after="0" w:line="334" w:lineRule="auto"/>
        <w:ind w:firstLine="560"/>
        <w:jc w:val="both"/>
      </w:pPr>
      <w:r>
        <w:t>způsobu ukončení Smlouvy;</w:t>
      </w:r>
    </w:p>
    <w:p w:rsidR="00215B20" w:rsidRDefault="00FD0AA3">
      <w:pPr>
        <w:pStyle w:val="Zkladntext1"/>
        <w:numPr>
          <w:ilvl w:val="0"/>
          <w:numId w:val="22"/>
        </w:numPr>
        <w:shd w:val="clear" w:color="auto" w:fill="auto"/>
        <w:tabs>
          <w:tab w:val="left" w:pos="957"/>
        </w:tabs>
        <w:spacing w:after="0" w:line="334" w:lineRule="auto"/>
        <w:ind w:firstLine="560"/>
        <w:jc w:val="both"/>
      </w:pPr>
      <w:r>
        <w:t>způsobu</w:t>
      </w:r>
      <w:r>
        <w:t xml:space="preserve"> doručování;</w:t>
      </w:r>
    </w:p>
    <w:p w:rsidR="00215B20" w:rsidRDefault="00FD0AA3">
      <w:pPr>
        <w:pStyle w:val="Zkladntext1"/>
        <w:numPr>
          <w:ilvl w:val="0"/>
          <w:numId w:val="22"/>
        </w:numPr>
        <w:shd w:val="clear" w:color="auto" w:fill="auto"/>
        <w:tabs>
          <w:tab w:val="left" w:pos="957"/>
        </w:tabs>
        <w:spacing w:after="0" w:line="334" w:lineRule="auto"/>
        <w:ind w:firstLine="560"/>
        <w:jc w:val="both"/>
      </w:pPr>
      <w:r>
        <w:t>výhrad ve vztahu k právním předpisům;</w:t>
      </w:r>
    </w:p>
    <w:p w:rsidR="00215B20" w:rsidRDefault="00FD0AA3">
      <w:pPr>
        <w:pStyle w:val="Zkladntext1"/>
        <w:numPr>
          <w:ilvl w:val="0"/>
          <w:numId w:val="22"/>
        </w:numPr>
        <w:shd w:val="clear" w:color="auto" w:fill="auto"/>
        <w:tabs>
          <w:tab w:val="left" w:pos="974"/>
        </w:tabs>
        <w:spacing w:after="0" w:line="334" w:lineRule="auto"/>
        <w:ind w:firstLine="560"/>
        <w:jc w:val="both"/>
      </w:pPr>
      <w:r>
        <w:t>platebních transakcí;</w:t>
      </w:r>
    </w:p>
    <w:p w:rsidR="00215B20" w:rsidRDefault="00FD0AA3">
      <w:pPr>
        <w:pStyle w:val="Zkladntext1"/>
        <w:shd w:val="clear" w:color="auto" w:fill="auto"/>
        <w:spacing w:after="0" w:line="334" w:lineRule="auto"/>
        <w:ind w:left="960" w:hanging="380"/>
        <w:jc w:val="both"/>
      </w:pPr>
      <w:r>
        <w:rPr>
          <w:b/>
          <w:bCs/>
        </w:rPr>
        <w:t xml:space="preserve">(xiii) </w:t>
      </w:r>
      <w:r>
        <w:t>zpracování a uchovávání osobních, identifikačních, provozních a lokalizačních údajů;</w:t>
      </w:r>
    </w:p>
    <w:p w:rsidR="00215B20" w:rsidRDefault="00FD0AA3">
      <w:pPr>
        <w:pStyle w:val="Zkladntext1"/>
        <w:shd w:val="clear" w:color="auto" w:fill="auto"/>
        <w:spacing w:after="220" w:line="334" w:lineRule="auto"/>
        <w:ind w:left="960" w:hanging="380"/>
        <w:jc w:val="both"/>
      </w:pPr>
      <w:r>
        <w:rPr>
          <w:b/>
          <w:bCs/>
        </w:rPr>
        <w:t xml:space="preserve">(xiv) </w:t>
      </w:r>
      <w:r>
        <w:t>úpravy některé části právními předpisy či rozhodnu</w:t>
      </w:r>
      <w:r>
        <w:softHyphen/>
        <w:t>tím soudu nebo správního orgánu.</w:t>
      </w:r>
    </w:p>
    <w:p w:rsidR="00215B20" w:rsidRDefault="00FD0AA3">
      <w:pPr>
        <w:pStyle w:val="Zkladntext1"/>
        <w:shd w:val="clear" w:color="auto" w:fill="auto"/>
        <w:spacing w:after="220" w:line="334" w:lineRule="auto"/>
        <w:ind w:left="560" w:firstLine="20"/>
        <w:jc w:val="both"/>
      </w:pPr>
      <w:r>
        <w:t>Operátor se zavazuje zveřejňovat informace o změnách Smlouvy zejména prostřednictvím Webu, oznámení, tisko</w:t>
      </w:r>
      <w:r>
        <w:softHyphen/>
        <w:t>vých zpráv a informačních materiálů.</w:t>
      </w:r>
    </w:p>
    <w:p w:rsidR="00215B20" w:rsidRDefault="00FD0AA3">
      <w:pPr>
        <w:pStyle w:val="Zkladntext1"/>
        <w:shd w:val="clear" w:color="auto" w:fill="auto"/>
        <w:spacing w:after="220" w:line="334" w:lineRule="auto"/>
        <w:ind w:left="560" w:firstLine="20"/>
        <w:jc w:val="both"/>
      </w:pPr>
      <w:r>
        <w:rPr>
          <w:b/>
          <w:bCs/>
        </w:rPr>
        <w:t xml:space="preserve">Změnu Smlouvy Vám oznámí Operátor zpravidla jeden měsíc </w:t>
      </w:r>
      <w:r>
        <w:rPr>
          <w:b/>
          <w:bCs/>
        </w:rPr>
        <w:lastRenderedPageBreak/>
        <w:t>přede dnem nabytí účinnosti této změny také pro</w:t>
      </w:r>
      <w:r>
        <w:rPr>
          <w:b/>
          <w:bCs/>
        </w:rPr>
        <w:softHyphen/>
        <w:t>střednic</w:t>
      </w:r>
      <w:r>
        <w:rPr>
          <w:b/>
          <w:bCs/>
        </w:rPr>
        <w:t xml:space="preserve">tvím informačního textu </w:t>
      </w:r>
      <w:r>
        <w:t xml:space="preserve">(dále jako „infotext“) </w:t>
      </w:r>
      <w:r>
        <w:rPr>
          <w:b/>
          <w:bCs/>
        </w:rPr>
        <w:t>na Vyúčtování služeb</w:t>
      </w:r>
      <w:r>
        <w:t>. Není-li však možné oznámit změ</w:t>
      </w:r>
      <w:r>
        <w:softHyphen/>
        <w:t xml:space="preserve">nu prostřednictvím infotextu na Vyúčtování, odešle Vám Operátor infotext prostřednictvím SMS, případně e-mailu, nebo </w:t>
      </w:r>
      <w:r>
        <w:rPr>
          <w:u w:val="single"/>
        </w:rPr>
        <w:t>Vám jej zašle do schránky T-Box</w:t>
      </w:r>
      <w:r>
        <w:t>. V příp</w:t>
      </w:r>
      <w:r>
        <w:t>adě, že vyu</w:t>
      </w:r>
      <w:r>
        <w:softHyphen/>
        <w:t>žíváte předplacenou Službu či Služby v průběhu omezení Služeb, infotext Vám Operátor zašle prostřednictvím SMS.</w:t>
      </w:r>
    </w:p>
    <w:p w:rsidR="00215B20" w:rsidRDefault="00FD0AA3">
      <w:pPr>
        <w:pStyle w:val="Zkladntext1"/>
        <w:numPr>
          <w:ilvl w:val="0"/>
          <w:numId w:val="16"/>
        </w:numPr>
        <w:shd w:val="clear" w:color="auto" w:fill="auto"/>
        <w:tabs>
          <w:tab w:val="left" w:pos="617"/>
        </w:tabs>
        <w:spacing w:after="0" w:line="334" w:lineRule="auto"/>
        <w:jc w:val="both"/>
      </w:pPr>
      <w:r>
        <w:t>Ukončení Smlouvy</w:t>
      </w:r>
    </w:p>
    <w:p w:rsidR="00215B20" w:rsidRDefault="00FD0AA3">
      <w:pPr>
        <w:pStyle w:val="Zkladntext1"/>
        <w:shd w:val="clear" w:color="auto" w:fill="auto"/>
        <w:spacing w:after="220" w:line="334" w:lineRule="auto"/>
        <w:ind w:left="560" w:firstLine="20"/>
        <w:jc w:val="both"/>
      </w:pPr>
      <w:r>
        <w:t>Smlouva zaniká dohodou, výpovědí, odstoupením, smrtí Účastníka nebo zánikem Účastníka či Operátora bez práv</w:t>
      </w:r>
      <w:r>
        <w:softHyphen/>
        <w:t>ního ná</w:t>
      </w:r>
      <w:r>
        <w:t>stupce, případně z jiných důvodů stanovených Zá</w:t>
      </w:r>
      <w:r>
        <w:softHyphen/>
        <w:t>konem.</w:t>
      </w:r>
    </w:p>
    <w:p w:rsidR="00215B20" w:rsidRDefault="00FD0AA3">
      <w:pPr>
        <w:pStyle w:val="Zkladntext1"/>
        <w:numPr>
          <w:ilvl w:val="0"/>
          <w:numId w:val="23"/>
        </w:numPr>
        <w:shd w:val="clear" w:color="auto" w:fill="auto"/>
        <w:tabs>
          <w:tab w:val="left" w:pos="617"/>
        </w:tabs>
        <w:spacing w:after="0" w:line="334" w:lineRule="auto"/>
        <w:jc w:val="both"/>
      </w:pPr>
      <w:r>
        <w:t>Ukončení Smlouvy ze strany Operátora</w:t>
      </w:r>
    </w:p>
    <w:p w:rsidR="00215B20" w:rsidRDefault="00FD0AA3">
      <w:pPr>
        <w:pStyle w:val="Zkladntext1"/>
        <w:shd w:val="clear" w:color="auto" w:fill="auto"/>
        <w:spacing w:after="0" w:line="334" w:lineRule="auto"/>
        <w:ind w:left="560" w:firstLine="20"/>
        <w:jc w:val="both"/>
      </w:pPr>
      <w:r>
        <w:t>vědí s výpovědní dobou 30 dnů ode dne jejího doručení na Vaši adresu nebo doručení do schránky T-Box, máte-li jej zřízen (v takovém případě podle toho, co nastane p</w:t>
      </w:r>
      <w:r>
        <w:t>ozději), v následujících případech:</w:t>
      </w:r>
    </w:p>
    <w:p w:rsidR="00215B20" w:rsidRDefault="00FD0AA3">
      <w:pPr>
        <w:pStyle w:val="Zkladntext1"/>
        <w:numPr>
          <w:ilvl w:val="0"/>
          <w:numId w:val="24"/>
        </w:numPr>
        <w:shd w:val="clear" w:color="auto" w:fill="auto"/>
        <w:tabs>
          <w:tab w:val="left" w:pos="973"/>
        </w:tabs>
        <w:spacing w:after="0" w:line="334" w:lineRule="auto"/>
        <w:ind w:left="960" w:hanging="380"/>
        <w:jc w:val="both"/>
      </w:pPr>
      <w:r>
        <w:t>pokud jste ve lhůtě splatnosti nezaplatil/a tři po sobě jdoucí Vyúčtování;</w:t>
      </w:r>
    </w:p>
    <w:p w:rsidR="00215B20" w:rsidRDefault="00FD0AA3">
      <w:pPr>
        <w:pStyle w:val="Zkladntext1"/>
        <w:numPr>
          <w:ilvl w:val="0"/>
          <w:numId w:val="24"/>
        </w:numPr>
        <w:shd w:val="clear" w:color="auto" w:fill="auto"/>
        <w:tabs>
          <w:tab w:val="left" w:pos="973"/>
        </w:tabs>
        <w:spacing w:after="0" w:line="334" w:lineRule="auto"/>
        <w:ind w:left="960" w:hanging="380"/>
        <w:jc w:val="both"/>
      </w:pPr>
      <w:r>
        <w:t>pokud jste v prodlení s úhradou jakéhokoliv svého peněžitého dluhu vůči Operátorovi po dobu delší než 90 dnů;</w:t>
      </w:r>
    </w:p>
    <w:p w:rsidR="00215B20" w:rsidRDefault="00FD0AA3">
      <w:pPr>
        <w:pStyle w:val="Zkladntext1"/>
        <w:numPr>
          <w:ilvl w:val="0"/>
          <w:numId w:val="24"/>
        </w:numPr>
        <w:shd w:val="clear" w:color="auto" w:fill="auto"/>
        <w:tabs>
          <w:tab w:val="left" w:pos="973"/>
        </w:tabs>
        <w:spacing w:after="0" w:line="334" w:lineRule="auto"/>
        <w:ind w:firstLine="560"/>
        <w:jc w:val="both"/>
      </w:pPr>
      <w:r>
        <w:t>nastane-li některá skutečnost uvede</w:t>
      </w:r>
      <w:r>
        <w:t>ná v čl. 3.4 bod</w:t>
      </w:r>
    </w:p>
    <w:p w:rsidR="00215B20" w:rsidRDefault="00FD0AA3">
      <w:pPr>
        <w:pStyle w:val="Zkladntext1"/>
        <w:numPr>
          <w:ilvl w:val="0"/>
          <w:numId w:val="25"/>
        </w:numPr>
        <w:shd w:val="clear" w:color="auto" w:fill="auto"/>
        <w:tabs>
          <w:tab w:val="left" w:pos="1278"/>
          <w:tab w:val="left" w:pos="1373"/>
        </w:tabs>
        <w:spacing w:after="0" w:line="334" w:lineRule="auto"/>
        <w:ind w:firstLine="960"/>
        <w:jc w:val="both"/>
      </w:pPr>
      <w:r>
        <w:t>až (iv) níže;</w:t>
      </w:r>
    </w:p>
    <w:p w:rsidR="00215B20" w:rsidRDefault="00FD0AA3">
      <w:pPr>
        <w:pStyle w:val="Zkladntext1"/>
        <w:numPr>
          <w:ilvl w:val="0"/>
          <w:numId w:val="24"/>
        </w:numPr>
        <w:shd w:val="clear" w:color="auto" w:fill="auto"/>
        <w:tabs>
          <w:tab w:val="left" w:pos="973"/>
        </w:tabs>
        <w:spacing w:after="0" w:line="334" w:lineRule="auto"/>
        <w:ind w:firstLine="560"/>
        <w:jc w:val="both"/>
      </w:pPr>
      <w:r>
        <w:t>pokud je vůči Vám vedeno insolvenční řízení;</w:t>
      </w:r>
    </w:p>
    <w:p w:rsidR="00215B20" w:rsidRDefault="00FD0AA3">
      <w:pPr>
        <w:pStyle w:val="Zkladntext1"/>
        <w:numPr>
          <w:ilvl w:val="0"/>
          <w:numId w:val="24"/>
        </w:numPr>
        <w:shd w:val="clear" w:color="auto" w:fill="auto"/>
        <w:tabs>
          <w:tab w:val="left" w:pos="973"/>
        </w:tabs>
        <w:spacing w:after="220" w:line="334" w:lineRule="auto"/>
        <w:ind w:firstLine="560"/>
        <w:jc w:val="both"/>
      </w:pPr>
      <w:r>
        <w:t>je-li vůči Vaší osobě nařízena exekuce.</w:t>
      </w:r>
    </w:p>
    <w:p w:rsidR="00215B20" w:rsidRDefault="00FD0AA3">
      <w:pPr>
        <w:pStyle w:val="Zkladntext1"/>
        <w:numPr>
          <w:ilvl w:val="0"/>
          <w:numId w:val="18"/>
        </w:numPr>
        <w:shd w:val="clear" w:color="auto" w:fill="auto"/>
        <w:tabs>
          <w:tab w:val="left" w:pos="810"/>
        </w:tabs>
        <w:spacing w:after="220" w:line="334" w:lineRule="auto"/>
        <w:ind w:left="560" w:firstLine="20"/>
        <w:jc w:val="both"/>
      </w:pPr>
      <w:proofErr w:type="gramStart"/>
      <w:r>
        <w:t>případě</w:t>
      </w:r>
      <w:proofErr w:type="gramEnd"/>
      <w:r>
        <w:t xml:space="preserve"> výpovědi Smlouvy z důvodů pod č. (i) a (ii), pokud jste si v průběhu doby od omezení nebo přeruše</w:t>
      </w:r>
      <w:r>
        <w:softHyphen/>
        <w:t xml:space="preserve">ní mobilních Služeb s převodem na </w:t>
      </w:r>
      <w:r>
        <w:t>předplacenou Služ</w:t>
      </w:r>
      <w:r>
        <w:softHyphen/>
        <w:t>bu do uplynutí výpovědní doby dobil/a kredit, převede Operátor Vaši SIM kartu ke dni uplynutí výpovědní doby do režimu předplacených Služeb. V případě pevných Služeb nebo nedobijete-li si kredit dle předchozí věty, dojde ukončení poskytov</w:t>
      </w:r>
      <w:r>
        <w:t>ání Služeb ke dni uplynutí vý</w:t>
      </w:r>
      <w:r>
        <w:softHyphen/>
        <w:t>povědní doby.</w:t>
      </w:r>
    </w:p>
    <w:p w:rsidR="00215B20" w:rsidRDefault="00FD0AA3">
      <w:pPr>
        <w:pStyle w:val="Zkladntext1"/>
        <w:numPr>
          <w:ilvl w:val="0"/>
          <w:numId w:val="18"/>
        </w:numPr>
        <w:shd w:val="clear" w:color="auto" w:fill="auto"/>
        <w:tabs>
          <w:tab w:val="left" w:pos="810"/>
        </w:tabs>
        <w:spacing w:after="220" w:line="334" w:lineRule="auto"/>
        <w:ind w:left="560" w:firstLine="20"/>
        <w:jc w:val="both"/>
      </w:pPr>
      <w:proofErr w:type="gramStart"/>
      <w:r>
        <w:t>případě</w:t>
      </w:r>
      <w:proofErr w:type="gramEnd"/>
      <w:r>
        <w:t xml:space="preserve"> výpovědi Smlouvy z důvodů podle č. (iv) a (v) převede Operátor ke dni uplynutí výpovědní doby Vaši SIM kartu k mobilní Službě do režimu předplacených Služeb a poskytování pevných Služeb ukončí, pokud se s</w:t>
      </w:r>
      <w:r>
        <w:t xml:space="preserve"> Operá</w:t>
      </w:r>
      <w:r>
        <w:softHyphen/>
        <w:t>torem nedohodnete jinak.</w:t>
      </w:r>
    </w:p>
    <w:p w:rsidR="00215B20" w:rsidRDefault="00FD0AA3">
      <w:pPr>
        <w:pStyle w:val="Zkladntext1"/>
        <w:numPr>
          <w:ilvl w:val="0"/>
          <w:numId w:val="18"/>
        </w:numPr>
        <w:shd w:val="clear" w:color="auto" w:fill="auto"/>
        <w:tabs>
          <w:tab w:val="left" w:pos="810"/>
        </w:tabs>
        <w:spacing w:after="220" w:line="334" w:lineRule="auto"/>
        <w:ind w:left="560" w:firstLine="20"/>
        <w:jc w:val="both"/>
      </w:pPr>
      <w:proofErr w:type="gramStart"/>
      <w:r>
        <w:t>případě</w:t>
      </w:r>
      <w:proofErr w:type="gramEnd"/>
      <w:r>
        <w:t xml:space="preserve"> výpovědi Smlouvy z důvodu podle č. (iii) Ope</w:t>
      </w:r>
      <w:r>
        <w:softHyphen/>
        <w:t>rátor postupuje dle toho, k jakému případu uvedeného v čl. 3.4 bod (ii) až (iv) došlo, a buď ukončí poskytová</w:t>
      </w:r>
      <w:r>
        <w:softHyphen/>
        <w:t>ní Služeb okamžitě či ke dni uplynutí výpovědní doby, nebo Va</w:t>
      </w:r>
      <w:r>
        <w:t>ši SIM kartu k mobilní Službě převede do reži</w:t>
      </w:r>
      <w:r>
        <w:softHyphen/>
        <w:t>mu předplacených Služeb, nedohodnete-li se s Operá</w:t>
      </w:r>
      <w:r>
        <w:softHyphen/>
        <w:t>torem jinak. O konkrétním postupu Vás bude Operátor informovat.</w:t>
      </w:r>
    </w:p>
    <w:p w:rsidR="00215B20" w:rsidRDefault="00FD0AA3">
      <w:pPr>
        <w:pStyle w:val="Zkladntext1"/>
        <w:shd w:val="clear" w:color="auto" w:fill="auto"/>
        <w:spacing w:after="220" w:line="334" w:lineRule="auto"/>
        <w:ind w:left="580"/>
        <w:jc w:val="both"/>
      </w:pPr>
      <w:r>
        <w:t>Operátor může také odstoupit od Smlouvy, a to v přípa</w:t>
      </w:r>
      <w:r>
        <w:softHyphen/>
        <w:t>dě, že dojde k pravomocnému prohlášení ko</w:t>
      </w:r>
      <w:r>
        <w:t>nkurzu na Váš majetek, neuhradíte-li požadovanou zálohu dle čl. 4.4 či porušíte-li podstatným způsobem Smlouvu.</w:t>
      </w:r>
    </w:p>
    <w:p w:rsidR="00215B20" w:rsidRDefault="00FD0AA3">
      <w:pPr>
        <w:pStyle w:val="Zkladntext1"/>
        <w:numPr>
          <w:ilvl w:val="0"/>
          <w:numId w:val="23"/>
        </w:numPr>
        <w:shd w:val="clear" w:color="auto" w:fill="auto"/>
        <w:tabs>
          <w:tab w:val="left" w:pos="574"/>
        </w:tabs>
        <w:spacing w:after="0" w:line="331" w:lineRule="auto"/>
        <w:jc w:val="both"/>
      </w:pPr>
      <w:r>
        <w:t>Ukončení Smlouvy z Vaší strany</w:t>
      </w:r>
    </w:p>
    <w:p w:rsidR="00215B20" w:rsidRDefault="00FD0AA3">
      <w:pPr>
        <w:pStyle w:val="Zkladntext1"/>
        <w:shd w:val="clear" w:color="auto" w:fill="auto"/>
        <w:spacing w:after="220" w:line="331" w:lineRule="auto"/>
        <w:ind w:left="580"/>
        <w:jc w:val="both"/>
      </w:pPr>
      <w:r>
        <w:rPr>
          <w:b/>
          <w:bCs/>
        </w:rPr>
        <w:t xml:space="preserve">Smlouvu sjednanou na dobu neurčitou můžete ukončit </w:t>
      </w:r>
      <w:r>
        <w:rPr>
          <w:b/>
          <w:bCs/>
        </w:rPr>
        <w:lastRenderedPageBreak/>
        <w:t xml:space="preserve">písemnou výpovědí s výpovědní dobou 30 dnů </w:t>
      </w:r>
      <w:r>
        <w:t xml:space="preserve">ode dne doručení </w:t>
      </w:r>
      <w:r>
        <w:t>výpovědi Operátorovi.</w:t>
      </w:r>
    </w:p>
    <w:p w:rsidR="00215B20" w:rsidRDefault="00FD0AA3">
      <w:pPr>
        <w:pStyle w:val="Nadpis60"/>
        <w:keepNext/>
        <w:keepLines/>
        <w:shd w:val="clear" w:color="auto" w:fill="auto"/>
        <w:spacing w:after="0" w:line="334" w:lineRule="auto"/>
        <w:ind w:left="980" w:hanging="400"/>
        <w:jc w:val="both"/>
      </w:pPr>
      <w:bookmarkStart w:id="202" w:name="bookmark202"/>
      <w:bookmarkStart w:id="203" w:name="bookmark203"/>
      <w:r>
        <w:rPr>
          <w:color w:val="231F20"/>
        </w:rPr>
        <w:t xml:space="preserve">Smlouvu sjednanou na dobu určitou </w:t>
      </w:r>
      <w:r>
        <w:rPr>
          <w:b w:val="0"/>
          <w:bCs w:val="0"/>
          <w:color w:val="231F20"/>
        </w:rPr>
        <w:t>můžete ukončit:</w:t>
      </w:r>
      <w:bookmarkEnd w:id="202"/>
      <w:bookmarkEnd w:id="203"/>
    </w:p>
    <w:p w:rsidR="00215B20" w:rsidRDefault="00FD0AA3">
      <w:pPr>
        <w:pStyle w:val="Zkladntext1"/>
        <w:numPr>
          <w:ilvl w:val="0"/>
          <w:numId w:val="26"/>
        </w:numPr>
        <w:shd w:val="clear" w:color="auto" w:fill="auto"/>
        <w:tabs>
          <w:tab w:val="left" w:pos="974"/>
        </w:tabs>
        <w:spacing w:after="0" w:line="334" w:lineRule="auto"/>
        <w:ind w:left="980" w:hanging="400"/>
        <w:jc w:val="both"/>
      </w:pPr>
      <w:r>
        <w:t xml:space="preserve">potvrzením, že chcete Smlouvu ukončit </w:t>
      </w:r>
      <w:r>
        <w:rPr>
          <w:b/>
          <w:bCs/>
        </w:rPr>
        <w:t>k datu uply</w:t>
      </w:r>
      <w:r>
        <w:rPr>
          <w:b/>
          <w:bCs/>
        </w:rPr>
        <w:softHyphen/>
        <w:t>nutí sjednané doby jejího trvání</w:t>
      </w:r>
      <w:r>
        <w:t>, a to doručeným Operátorovi minimálně 20 dnů před datem uplynutí sjednané doby trvání Smlouvy;</w:t>
      </w:r>
    </w:p>
    <w:p w:rsidR="00215B20" w:rsidRDefault="00FD0AA3">
      <w:pPr>
        <w:pStyle w:val="Zkladntext1"/>
        <w:numPr>
          <w:ilvl w:val="0"/>
          <w:numId w:val="26"/>
        </w:numPr>
        <w:shd w:val="clear" w:color="auto" w:fill="auto"/>
        <w:tabs>
          <w:tab w:val="left" w:pos="974"/>
        </w:tabs>
        <w:spacing w:after="0" w:line="334" w:lineRule="auto"/>
        <w:ind w:left="980" w:hanging="400"/>
        <w:jc w:val="both"/>
      </w:pPr>
      <w:r>
        <w:rPr>
          <w:b/>
          <w:bCs/>
        </w:rPr>
        <w:t xml:space="preserve">výpovědí s výpovědní dobou 30 dnů </w:t>
      </w:r>
      <w:r>
        <w:t>ode dne doru</w:t>
      </w:r>
      <w:r>
        <w:softHyphen/>
        <w:t>čení výpovědi Operátorovi, nedohodnete-li se s Ope</w:t>
      </w:r>
      <w:r>
        <w:softHyphen/>
        <w:t>rátorem jinak;</w:t>
      </w:r>
    </w:p>
    <w:p w:rsidR="00215B20" w:rsidRDefault="00FD0AA3">
      <w:pPr>
        <w:pStyle w:val="Zkladntext1"/>
        <w:numPr>
          <w:ilvl w:val="0"/>
          <w:numId w:val="26"/>
        </w:numPr>
        <w:shd w:val="clear" w:color="auto" w:fill="auto"/>
        <w:tabs>
          <w:tab w:val="left" w:pos="974"/>
        </w:tabs>
        <w:spacing w:after="220" w:line="334" w:lineRule="auto"/>
        <w:ind w:left="980" w:hanging="400"/>
        <w:jc w:val="both"/>
      </w:pPr>
      <w:r>
        <w:t>stanoví-li tak Zákon (dle podmínek Zákonem stano</w:t>
      </w:r>
      <w:r>
        <w:softHyphen/>
        <w:t>vených).</w:t>
      </w:r>
    </w:p>
    <w:p w:rsidR="00215B20" w:rsidRDefault="00FD0AA3">
      <w:pPr>
        <w:pStyle w:val="Zkladntext1"/>
        <w:shd w:val="clear" w:color="auto" w:fill="auto"/>
        <w:spacing w:after="220" w:line="334" w:lineRule="auto"/>
        <w:ind w:left="580"/>
        <w:jc w:val="both"/>
      </w:pPr>
      <w:r>
        <w:t>Potvrzení dle 2.6.2 (i) a výpovědi posílejte v písemné for</w:t>
      </w:r>
      <w:r>
        <w:softHyphen/>
        <w:t>mě, a to na adresu T-Mobil</w:t>
      </w:r>
      <w:r>
        <w:t>e Czech Republic a.s., Tomíčko- va 2144/1, 148 00 Praha 4 nebo prostřednictvím kontakt</w:t>
      </w:r>
      <w:r>
        <w:softHyphen/>
        <w:t>ní</w:t>
      </w:r>
      <w:r w:rsidR="00920265">
        <w:t xml:space="preserve">ho formuláře na Webu, na adresu xxx </w:t>
      </w:r>
      <w:r w:rsidRPr="00920265">
        <w:rPr>
          <w:color w:val="E4087E"/>
          <w:u w:val="single"/>
          <w:lang w:eastAsia="en-US" w:bidi="en-US"/>
        </w:rPr>
        <w:t>i</w:t>
      </w:r>
      <w:r>
        <w:t xml:space="preserve">či se dostavte do </w:t>
      </w:r>
      <w:proofErr w:type="gramStart"/>
      <w:r>
        <w:t>jakékoliv T-Mobile</w:t>
      </w:r>
      <w:proofErr w:type="gramEnd"/>
      <w:r>
        <w:t xml:space="preserve"> prodejny.</w:t>
      </w:r>
    </w:p>
    <w:p w:rsidR="00215B20" w:rsidRDefault="00FD0AA3">
      <w:pPr>
        <w:pStyle w:val="Zkladntext1"/>
        <w:numPr>
          <w:ilvl w:val="0"/>
          <w:numId w:val="23"/>
        </w:numPr>
        <w:shd w:val="clear" w:color="auto" w:fill="auto"/>
        <w:tabs>
          <w:tab w:val="left" w:pos="574"/>
        </w:tabs>
        <w:spacing w:after="220" w:line="334" w:lineRule="auto"/>
        <w:ind w:left="580" w:hanging="580"/>
        <w:jc w:val="both"/>
      </w:pPr>
      <w:r>
        <w:t>Ukončení Účastnické smlouvy z dův</w:t>
      </w:r>
      <w:r>
        <w:t>odu přenesení čísla nebo změny poskytovatele služby přístupu k internetu</w:t>
      </w:r>
    </w:p>
    <w:p w:rsidR="00215B20" w:rsidRDefault="00FD0AA3">
      <w:pPr>
        <w:pStyle w:val="Zkladntext1"/>
        <w:numPr>
          <w:ilvl w:val="0"/>
          <w:numId w:val="18"/>
        </w:numPr>
        <w:shd w:val="clear" w:color="auto" w:fill="auto"/>
        <w:tabs>
          <w:tab w:val="left" w:pos="816"/>
        </w:tabs>
        <w:spacing w:after="220" w:line="334" w:lineRule="auto"/>
        <w:ind w:left="580"/>
        <w:jc w:val="both"/>
      </w:pPr>
      <w:proofErr w:type="gramStart"/>
      <w:r>
        <w:t>případě</w:t>
      </w:r>
      <w:proofErr w:type="gramEnd"/>
      <w:r>
        <w:t>, že v souladu s Obchodními podmínkami přene</w:t>
      </w:r>
      <w:r>
        <w:softHyphen/>
        <w:t>sení čísla požádáte o přenesení svého čísla do jiné odpoví</w:t>
      </w:r>
      <w:r>
        <w:softHyphen/>
        <w:t xml:space="preserve">dající sítě jiného poskytovatele, končí Účastnická smlouva k tomuto </w:t>
      </w:r>
      <w:r>
        <w:t>telefonnímu číslu dnem jeho přenesení, nestano- ví-li Zákon jiný den.</w:t>
      </w:r>
    </w:p>
    <w:p w:rsidR="00215B20" w:rsidRDefault="00FD0AA3">
      <w:pPr>
        <w:pStyle w:val="Zkladntext1"/>
        <w:numPr>
          <w:ilvl w:val="0"/>
          <w:numId w:val="18"/>
        </w:numPr>
        <w:shd w:val="clear" w:color="auto" w:fill="auto"/>
        <w:tabs>
          <w:tab w:val="left" w:pos="816"/>
        </w:tabs>
        <w:spacing w:after="220" w:line="334" w:lineRule="auto"/>
        <w:ind w:left="580"/>
        <w:jc w:val="both"/>
      </w:pPr>
      <w:proofErr w:type="gramStart"/>
      <w:r>
        <w:t>případě</w:t>
      </w:r>
      <w:proofErr w:type="gramEnd"/>
      <w:r>
        <w:t>, že v souladu s Podmínkami změny poskyto</w:t>
      </w:r>
      <w:r>
        <w:softHyphen/>
        <w:t>vatele služby přístupu k internetu požádáte o změnu po</w:t>
      </w:r>
      <w:r>
        <w:softHyphen/>
        <w:t>skytovatele Služby přístupu k internetu, končí Účastnická smlouva k této Službě dn</w:t>
      </w:r>
      <w:r>
        <w:t>em, kdy byla dokončena změna poskytovatele, nestanoví-li zákon den jiný.</w:t>
      </w:r>
    </w:p>
    <w:p w:rsidR="00215B20" w:rsidRDefault="00FD0AA3">
      <w:pPr>
        <w:pStyle w:val="Zkladntext1"/>
        <w:numPr>
          <w:ilvl w:val="0"/>
          <w:numId w:val="23"/>
        </w:numPr>
        <w:shd w:val="clear" w:color="auto" w:fill="auto"/>
        <w:tabs>
          <w:tab w:val="left" w:pos="574"/>
        </w:tabs>
        <w:spacing w:after="0" w:line="334" w:lineRule="auto"/>
        <w:jc w:val="both"/>
      </w:pPr>
      <w:r>
        <w:t>Společná ustanovení</w:t>
      </w:r>
    </w:p>
    <w:p w:rsidR="00215B20" w:rsidRDefault="00FD0AA3">
      <w:pPr>
        <w:pStyle w:val="Zkladntext1"/>
        <w:shd w:val="clear" w:color="auto" w:fill="auto"/>
        <w:spacing w:after="220" w:line="334" w:lineRule="auto"/>
        <w:ind w:left="580"/>
        <w:jc w:val="both"/>
      </w:pPr>
      <w:r>
        <w:t>Smlouvu sjednanou na dobu určitou můžete ukončit bez sankce (např. doplatek zbývajících měsíčních paušálů), vyplývá-li vám toto právo ze Zákona, vždy jste však pov</w:t>
      </w:r>
      <w:r>
        <w:t>i- nen/povinna zaplatit úhradu, kterou si s Vámi ve Smlouvě Operátor sjednal (např. finanční vypořádání či cenové vy</w:t>
      </w:r>
      <w:r>
        <w:softHyphen/>
        <w:t>rovnání, vrácení podmíněné slevy apod.).</w:t>
      </w:r>
    </w:p>
    <w:p w:rsidR="00215B20" w:rsidRDefault="00FD0AA3">
      <w:pPr>
        <w:pStyle w:val="Zkladntext1"/>
        <w:shd w:val="clear" w:color="auto" w:fill="auto"/>
        <w:spacing w:after="220" w:line="334" w:lineRule="auto"/>
        <w:ind w:left="580"/>
        <w:jc w:val="both"/>
      </w:pPr>
      <w:r>
        <w:t>I po ukončení Smlouvy nadále přetrvávají práva a povin</w:t>
      </w:r>
      <w:r>
        <w:softHyphen/>
        <w:t>nosti, u nichž je zřejmé, že nemají jejím u</w:t>
      </w:r>
      <w:r>
        <w:t>končením zanik</w:t>
      </w:r>
      <w:r>
        <w:softHyphen/>
        <w:t>nout, např. povinnost zaplatit dlužné částky, smluvní po</w:t>
      </w:r>
      <w:r>
        <w:softHyphen/>
        <w:t>kuty a úhrady.</w:t>
      </w:r>
    </w:p>
    <w:p w:rsidR="00215B20" w:rsidRDefault="00FD0AA3">
      <w:pPr>
        <w:pStyle w:val="Zkladntext1"/>
        <w:shd w:val="clear" w:color="auto" w:fill="auto"/>
        <w:spacing w:after="220" w:line="334" w:lineRule="auto"/>
        <w:ind w:left="560" w:firstLine="20"/>
        <w:jc w:val="both"/>
      </w:pPr>
      <w:r>
        <w:t>Při ukončení Smlouvy jste povinen/povinna vrátit bez zbytečného prodlení Operátorovi vše, co je jeho vlast</w:t>
      </w:r>
      <w:r>
        <w:softHyphen/>
        <w:t>nictvím.</w:t>
      </w:r>
    </w:p>
    <w:p w:rsidR="00215B20" w:rsidRDefault="00FD0AA3">
      <w:pPr>
        <w:pStyle w:val="Nadpis60"/>
        <w:keepNext/>
        <w:keepLines/>
        <w:numPr>
          <w:ilvl w:val="0"/>
          <w:numId w:val="27"/>
        </w:numPr>
        <w:shd w:val="clear" w:color="auto" w:fill="auto"/>
        <w:tabs>
          <w:tab w:val="left" w:pos="565"/>
        </w:tabs>
        <w:spacing w:after="0" w:line="334" w:lineRule="auto"/>
      </w:pPr>
      <w:bookmarkStart w:id="204" w:name="bookmark204"/>
      <w:bookmarkStart w:id="205" w:name="bookmark205"/>
      <w:r>
        <w:rPr>
          <w:color w:val="E4087E"/>
        </w:rPr>
        <w:t>Služby</w:t>
      </w:r>
      <w:bookmarkEnd w:id="204"/>
      <w:bookmarkEnd w:id="205"/>
    </w:p>
    <w:p w:rsidR="00215B20" w:rsidRDefault="00FD0AA3">
      <w:pPr>
        <w:pStyle w:val="Zkladntext1"/>
        <w:numPr>
          <w:ilvl w:val="1"/>
          <w:numId w:val="27"/>
        </w:numPr>
        <w:shd w:val="clear" w:color="auto" w:fill="auto"/>
        <w:tabs>
          <w:tab w:val="left" w:pos="565"/>
        </w:tabs>
        <w:spacing w:after="0" w:line="334" w:lineRule="auto"/>
      </w:pPr>
      <w:r>
        <w:t>Úvodní ustanovení</w:t>
      </w:r>
    </w:p>
    <w:p w:rsidR="00215B20" w:rsidRDefault="00FD0AA3">
      <w:pPr>
        <w:pStyle w:val="Zkladntext1"/>
        <w:shd w:val="clear" w:color="auto" w:fill="auto"/>
        <w:spacing w:after="220" w:line="334" w:lineRule="auto"/>
        <w:ind w:left="560" w:firstLine="20"/>
        <w:jc w:val="both"/>
      </w:pPr>
      <w:r>
        <w:t>Operátor se zavazuje poskyto</w:t>
      </w:r>
      <w:r>
        <w:t>vat Vám Služby v souladu s platnými právními předpisy a Smlouvou a Vy se je takto zavazujete užívat. Jste povinen/povinna se vždy seznámit s aktuálními podmínkami Služeb, Ceníky služeb, Všeobec</w:t>
      </w:r>
      <w:r>
        <w:softHyphen/>
        <w:t>nými podmínkami, Podmínkami zpracovávání osobních, identifikač</w:t>
      </w:r>
      <w:r>
        <w:t>ních, provozních a lokalizačních údajů Účastní</w:t>
      </w:r>
      <w:r>
        <w:softHyphen/>
        <w:t>ků a dalšími dokumenty, o kterých Vás Operátor v souvis</w:t>
      </w:r>
      <w:r>
        <w:softHyphen/>
        <w:t>losti s nimi informuje.</w:t>
      </w:r>
    </w:p>
    <w:p w:rsidR="00215B20" w:rsidRDefault="00FD0AA3">
      <w:pPr>
        <w:pStyle w:val="Zkladntext1"/>
        <w:shd w:val="clear" w:color="auto" w:fill="auto"/>
        <w:spacing w:after="220" w:line="334" w:lineRule="auto"/>
        <w:ind w:left="560" w:firstLine="20"/>
        <w:jc w:val="both"/>
      </w:pPr>
      <w:r>
        <w:lastRenderedPageBreak/>
        <w:t>Služby jste oprávněn/a užívat pouze prostřednictvím kon</w:t>
      </w:r>
      <w:r>
        <w:softHyphen/>
        <w:t xml:space="preserve">cových zařízení schválených pro užití v České republice a k účelu, který </w:t>
      </w:r>
      <w:r>
        <w:t xml:space="preserve">je v souladu s platnými právními předpisy a Smlouvou (bližší informace viz např. </w:t>
      </w:r>
      <w:hyperlink r:id="rId119" w:history="1">
        <w:r w:rsidRPr="00920265">
          <w:rPr>
            <w:color w:val="E4087E"/>
            <w:u w:val="single"/>
            <w:lang w:eastAsia="en-US" w:bidi="en-US"/>
          </w:rPr>
          <w:t>https://www.ctu.cz/</w:t>
        </w:r>
      </w:hyperlink>
      <w:r w:rsidRPr="00920265">
        <w:rPr>
          <w:color w:val="E4087E"/>
          <w:u w:val="single"/>
          <w:lang w:eastAsia="en-US" w:bidi="en-US"/>
        </w:rPr>
        <w:t xml:space="preserve"> </w:t>
      </w:r>
      <w:r>
        <w:rPr>
          <w:color w:val="E4087E"/>
          <w:u w:val="single"/>
        </w:rPr>
        <w:t>vyhledavaci-databaze/vyhledavani-v-seznamu-schvale- nych-zarizeni/vyhledavani</w:t>
      </w:r>
      <w:r>
        <w:rPr>
          <w:color w:val="E4087E"/>
        </w:rPr>
        <w:t>).</w:t>
      </w:r>
    </w:p>
    <w:p w:rsidR="00215B20" w:rsidRDefault="00FD0AA3">
      <w:pPr>
        <w:pStyle w:val="Zkladntext1"/>
        <w:shd w:val="clear" w:color="auto" w:fill="auto"/>
        <w:spacing w:after="220" w:line="334" w:lineRule="auto"/>
        <w:ind w:left="560" w:firstLine="20"/>
        <w:jc w:val="both"/>
      </w:pPr>
      <w:r>
        <w:rPr>
          <w:u w:val="single"/>
        </w:rPr>
        <w:t xml:space="preserve">Služby jsou určeny pro běžné aktivní </w:t>
      </w:r>
      <w:r>
        <w:rPr>
          <w:u w:val="single"/>
        </w:rPr>
        <w:t>využívání, nejsou ur</w:t>
      </w:r>
      <w:r>
        <w:rPr>
          <w:u w:val="single"/>
        </w:rPr>
        <w:softHyphen/>
        <w:t xml:space="preserve">čeny pro automaticky generovaný či jinak systematicky nastavený provoz (např. stále se opakující odesílání SMS v pravidelných intervalech, odesílání hromadných SMS </w:t>
      </w:r>
      <w:r>
        <w:t>apod.).</w:t>
      </w:r>
    </w:p>
    <w:p w:rsidR="00215B20" w:rsidRDefault="00FD0AA3">
      <w:pPr>
        <w:pStyle w:val="Zkladntext1"/>
        <w:shd w:val="clear" w:color="auto" w:fill="auto"/>
        <w:spacing w:after="220" w:line="334" w:lineRule="auto"/>
        <w:ind w:left="560" w:firstLine="20"/>
        <w:jc w:val="both"/>
      </w:pPr>
      <w:r>
        <w:rPr>
          <w:u w:val="single"/>
        </w:rPr>
        <w:t>Operátor zajistí pro uživatele všechna nezbytná práva k běžnému</w:t>
      </w:r>
      <w:r>
        <w:rPr>
          <w:u w:val="single"/>
        </w:rPr>
        <w:t xml:space="preserve"> užívání softwaru na </w:t>
      </w:r>
      <w:proofErr w:type="gramStart"/>
      <w:r>
        <w:rPr>
          <w:u w:val="single"/>
        </w:rPr>
        <w:t>SIM</w:t>
      </w:r>
      <w:proofErr w:type="gramEnd"/>
      <w:r>
        <w:rPr>
          <w:u w:val="single"/>
        </w:rPr>
        <w:t xml:space="preserve"> kartě, přičemž licenč</w:t>
      </w:r>
      <w:r>
        <w:rPr>
          <w:u w:val="single"/>
        </w:rPr>
        <w:softHyphen/>
        <w:t xml:space="preserve">ní poplatky jsou zahrnuty v ceně poskytované Služby. </w:t>
      </w:r>
      <w:r>
        <w:t xml:space="preserve">Bez předchozího souhlasu Operátora nijak nezasahujte do softwaru SIM karty či jiných zařízení Operátora. Bez speciální písemné dohody uzavřené s Operátorem </w:t>
      </w:r>
      <w:r>
        <w:t>nejste oprávněn/a umožnit užívání jakékoliv Služby za úplatu třetím osobám ani poskytovat své služby třetím osobám s využitím sítě či Služeb Operátora.</w:t>
      </w:r>
    </w:p>
    <w:p w:rsidR="00215B20" w:rsidRDefault="00FD0AA3">
      <w:pPr>
        <w:pStyle w:val="Zkladntext1"/>
        <w:shd w:val="clear" w:color="auto" w:fill="auto"/>
        <w:spacing w:after="220" w:line="334" w:lineRule="auto"/>
        <w:ind w:left="560" w:firstLine="20"/>
        <w:jc w:val="both"/>
      </w:pPr>
      <w:r>
        <w:t>Operátor Vám poskytuje Služby v kvalitě, která je uvedena v podmínkách jednotlivých Služeb nebo Ceníku S</w:t>
      </w:r>
      <w:r>
        <w:t>lužeb.</w:t>
      </w:r>
    </w:p>
    <w:p w:rsidR="00215B20" w:rsidRDefault="00FD0AA3">
      <w:pPr>
        <w:pStyle w:val="Zkladntext1"/>
        <w:numPr>
          <w:ilvl w:val="1"/>
          <w:numId w:val="27"/>
        </w:numPr>
        <w:shd w:val="clear" w:color="auto" w:fill="auto"/>
        <w:tabs>
          <w:tab w:val="left" w:pos="565"/>
        </w:tabs>
        <w:spacing w:after="220" w:line="334" w:lineRule="auto"/>
      </w:pPr>
      <w:r>
        <w:t>Některé typy Služeb</w:t>
      </w:r>
    </w:p>
    <w:p w:rsidR="00215B20" w:rsidRDefault="00FD0AA3">
      <w:pPr>
        <w:pStyle w:val="Zkladntext1"/>
        <w:numPr>
          <w:ilvl w:val="2"/>
          <w:numId w:val="27"/>
        </w:numPr>
        <w:shd w:val="clear" w:color="auto" w:fill="auto"/>
        <w:tabs>
          <w:tab w:val="left" w:pos="565"/>
        </w:tabs>
        <w:spacing w:after="0" w:line="331" w:lineRule="auto"/>
      </w:pPr>
      <w:r>
        <w:t>Základní Služby</w:t>
      </w:r>
    </w:p>
    <w:p w:rsidR="00215B20" w:rsidRDefault="00FD0AA3">
      <w:pPr>
        <w:pStyle w:val="Zkladntext1"/>
        <w:shd w:val="clear" w:color="auto" w:fill="auto"/>
        <w:spacing w:after="0" w:line="331" w:lineRule="auto"/>
        <w:ind w:left="560" w:firstLine="20"/>
        <w:jc w:val="both"/>
      </w:pPr>
      <w:r>
        <w:t>Operátor poskytuje na území České republiky následující základní Služby:</w:t>
      </w:r>
    </w:p>
    <w:p w:rsidR="00215B20" w:rsidRDefault="00FD0AA3">
      <w:pPr>
        <w:pStyle w:val="Zkladntext1"/>
        <w:numPr>
          <w:ilvl w:val="0"/>
          <w:numId w:val="28"/>
        </w:numPr>
        <w:shd w:val="clear" w:color="auto" w:fill="auto"/>
        <w:tabs>
          <w:tab w:val="left" w:pos="966"/>
        </w:tabs>
        <w:spacing w:after="0" w:line="331" w:lineRule="auto"/>
        <w:ind w:left="980" w:hanging="400"/>
        <w:jc w:val="both"/>
      </w:pPr>
      <w:r>
        <w:t>telefonní hovory - běžné odchozí hovory a přijímání telefonních hovorů,</w:t>
      </w:r>
    </w:p>
    <w:p w:rsidR="00215B20" w:rsidRDefault="00FD0AA3">
      <w:pPr>
        <w:pStyle w:val="Zkladntext1"/>
        <w:numPr>
          <w:ilvl w:val="0"/>
          <w:numId w:val="28"/>
        </w:numPr>
        <w:shd w:val="clear" w:color="auto" w:fill="auto"/>
        <w:tabs>
          <w:tab w:val="left" w:pos="966"/>
        </w:tabs>
        <w:spacing w:after="0" w:line="331" w:lineRule="auto"/>
        <w:ind w:left="980" w:hanging="400"/>
        <w:jc w:val="both"/>
      </w:pPr>
      <w:r>
        <w:t>bezplatná tísňová volání (tísňová volání lze uskuteč</w:t>
      </w:r>
      <w:r>
        <w:softHyphen/>
        <w:t>nit i bez SIM k</w:t>
      </w:r>
      <w:r>
        <w:t>arty, včetně lokalizace),</w:t>
      </w:r>
    </w:p>
    <w:p w:rsidR="00215B20" w:rsidRDefault="00FD0AA3">
      <w:pPr>
        <w:pStyle w:val="Zkladntext1"/>
        <w:numPr>
          <w:ilvl w:val="0"/>
          <w:numId w:val="28"/>
        </w:numPr>
        <w:shd w:val="clear" w:color="auto" w:fill="auto"/>
        <w:tabs>
          <w:tab w:val="left" w:pos="966"/>
        </w:tabs>
        <w:spacing w:after="0" w:line="331" w:lineRule="auto"/>
        <w:ind w:firstLine="560"/>
        <w:jc w:val="both"/>
      </w:pPr>
      <w:r>
        <w:t>službu přenosu dat,</w:t>
      </w:r>
    </w:p>
    <w:p w:rsidR="00215B20" w:rsidRDefault="00FD0AA3">
      <w:pPr>
        <w:pStyle w:val="Zkladntext1"/>
        <w:numPr>
          <w:ilvl w:val="0"/>
          <w:numId w:val="28"/>
        </w:numPr>
        <w:shd w:val="clear" w:color="auto" w:fill="auto"/>
        <w:tabs>
          <w:tab w:val="left" w:pos="966"/>
        </w:tabs>
        <w:spacing w:after="0" w:line="331" w:lineRule="auto"/>
        <w:ind w:firstLine="560"/>
        <w:jc w:val="both"/>
      </w:pPr>
      <w:r>
        <w:t>službu krátkých textových zpráv (též jen „SMS“),</w:t>
      </w:r>
    </w:p>
    <w:p w:rsidR="00215B20" w:rsidRDefault="00FD0AA3">
      <w:pPr>
        <w:pStyle w:val="Zkladntext1"/>
        <w:numPr>
          <w:ilvl w:val="0"/>
          <w:numId w:val="28"/>
        </w:numPr>
        <w:shd w:val="clear" w:color="auto" w:fill="auto"/>
        <w:tabs>
          <w:tab w:val="left" w:pos="966"/>
        </w:tabs>
        <w:spacing w:after="220" w:line="331" w:lineRule="auto"/>
        <w:ind w:firstLine="560"/>
        <w:jc w:val="both"/>
      </w:pPr>
      <w:r>
        <w:t>službu multimediálních zpráv (dále jen „MMS“).</w:t>
      </w:r>
    </w:p>
    <w:p w:rsidR="00215B20" w:rsidRDefault="00FD0AA3">
      <w:pPr>
        <w:pStyle w:val="Zkladntext1"/>
        <w:numPr>
          <w:ilvl w:val="2"/>
          <w:numId w:val="27"/>
        </w:numPr>
        <w:shd w:val="clear" w:color="auto" w:fill="auto"/>
        <w:tabs>
          <w:tab w:val="left" w:pos="574"/>
        </w:tabs>
        <w:spacing w:after="0" w:line="334" w:lineRule="auto"/>
        <w:jc w:val="both"/>
      </w:pPr>
      <w:r>
        <w:t>Další Služby a doplňkové Služby</w:t>
      </w:r>
    </w:p>
    <w:p w:rsidR="00215B20" w:rsidRDefault="00FD0AA3">
      <w:pPr>
        <w:pStyle w:val="Zkladntext1"/>
        <w:shd w:val="clear" w:color="auto" w:fill="auto"/>
        <w:spacing w:after="220" w:line="334" w:lineRule="auto"/>
        <w:ind w:left="560" w:firstLine="20"/>
        <w:jc w:val="both"/>
      </w:pPr>
      <w:r>
        <w:t xml:space="preserve">Doplňkovými Službami se rozumí další Služby dle aktuální nabídky Operátora, které </w:t>
      </w:r>
      <w:r>
        <w:t>jsou uvedeny v Cenících služeb.</w:t>
      </w:r>
    </w:p>
    <w:p w:rsidR="00215B20" w:rsidRDefault="00FD0AA3">
      <w:pPr>
        <w:pStyle w:val="Zkladntext1"/>
        <w:numPr>
          <w:ilvl w:val="2"/>
          <w:numId w:val="27"/>
        </w:numPr>
        <w:shd w:val="clear" w:color="auto" w:fill="auto"/>
        <w:tabs>
          <w:tab w:val="left" w:pos="574"/>
        </w:tabs>
        <w:spacing w:after="0" w:line="334" w:lineRule="auto"/>
        <w:jc w:val="both"/>
      </w:pPr>
      <w:r>
        <w:t>Služby třetích stran a Mobilní platby</w:t>
      </w:r>
    </w:p>
    <w:p w:rsidR="00215B20" w:rsidRDefault="00FD0AA3">
      <w:pPr>
        <w:pStyle w:val="Zkladntext1"/>
        <w:shd w:val="clear" w:color="auto" w:fill="auto"/>
        <w:spacing w:after="220" w:line="334" w:lineRule="auto"/>
        <w:ind w:left="560" w:firstLine="20"/>
        <w:jc w:val="both"/>
      </w:pPr>
      <w:r>
        <w:t>Některé služby, které lze užívat prostřednictvím sítě Ope</w:t>
      </w:r>
      <w:r>
        <w:softHyphen/>
        <w:t xml:space="preserve">rátora, Vám neposkytuje Operátor, </w:t>
      </w:r>
      <w:r>
        <w:rPr>
          <w:u w:val="single"/>
        </w:rPr>
        <w:t>ale jiné subjekty, a to za podmínek, které s těmito subjekty sjednáte, přičemž k úhradě ceny t</w:t>
      </w:r>
      <w:r>
        <w:rPr>
          <w:u w:val="single"/>
        </w:rPr>
        <w:t>ěchto služeb může docházet s využitím Mobilních plateb ve smyslu níže uvedených podmínek</w:t>
      </w:r>
      <w:r>
        <w:t>. O tom, že jde o Službu třetí strany, Vás má třetí strana po</w:t>
      </w:r>
      <w:r>
        <w:softHyphen/>
        <w:t>vinnost informovat nejpozději v okamžiku užití služby.</w:t>
      </w:r>
    </w:p>
    <w:p w:rsidR="00215B20" w:rsidRDefault="00FD0AA3">
      <w:pPr>
        <w:pStyle w:val="Zkladntext1"/>
        <w:shd w:val="clear" w:color="auto" w:fill="auto"/>
        <w:spacing w:after="220" w:line="334" w:lineRule="auto"/>
        <w:ind w:left="560" w:firstLine="20"/>
        <w:jc w:val="both"/>
      </w:pPr>
      <w:r>
        <w:t>Seznam zprostředkovatelů Služeb třetích stran je uv</w:t>
      </w:r>
      <w:r>
        <w:t xml:space="preserve">eden na </w:t>
      </w:r>
      <w:hyperlink r:id="rId120" w:history="1">
        <w:r w:rsidRPr="00920265">
          <w:rPr>
            <w:color w:val="E4087E"/>
            <w:u w:val="single"/>
            <w:lang w:eastAsia="en-US" w:bidi="en-US"/>
          </w:rPr>
          <w:t xml:space="preserve">http://www.platmobilem.cz/pro-verejnost/zprostred- </w:t>
        </w:r>
        <w:r>
          <w:rPr>
            <w:color w:val="E4087E"/>
            <w:u w:val="single"/>
          </w:rPr>
          <w:t>kovatele-mobilnich-plateb</w:t>
        </w:r>
      </w:hyperlink>
      <w:r>
        <w:rPr>
          <w:color w:val="E4087E"/>
        </w:rPr>
        <w:t>.</w:t>
      </w:r>
    </w:p>
    <w:p w:rsidR="00215B20" w:rsidRDefault="00FD0AA3">
      <w:pPr>
        <w:pStyle w:val="Zkladntext1"/>
        <w:shd w:val="clear" w:color="auto" w:fill="auto"/>
        <w:spacing w:after="220" w:line="334" w:lineRule="auto"/>
        <w:ind w:left="560" w:firstLine="20"/>
        <w:jc w:val="both"/>
      </w:pPr>
      <w:r>
        <w:t>Aktuální podmínky čerpání Služeb třetích stran jsou po</w:t>
      </w:r>
      <w:r>
        <w:softHyphen/>
        <w:t>psány v příslušném Kodexu</w:t>
      </w:r>
      <w:r>
        <w:t xml:space="preserve"> dané služby uvedeném na </w:t>
      </w:r>
      <w:hyperlink r:id="rId121" w:history="1">
        <w:r w:rsidRPr="00920265">
          <w:rPr>
            <w:color w:val="E4087E"/>
            <w:u w:val="single"/>
            <w:lang w:eastAsia="en-US" w:bidi="en-US"/>
          </w:rPr>
          <w:t>http://www.platmobilem.cz/kodexy-sluzeb</w:t>
        </w:r>
      </w:hyperlink>
      <w:r w:rsidRPr="00920265">
        <w:rPr>
          <w:color w:val="E4087E"/>
          <w:lang w:eastAsia="en-US" w:bidi="en-US"/>
        </w:rPr>
        <w:t>.</w:t>
      </w:r>
    </w:p>
    <w:p w:rsidR="00215B20" w:rsidRDefault="00FD0AA3">
      <w:pPr>
        <w:pStyle w:val="Zkladntext1"/>
        <w:shd w:val="clear" w:color="auto" w:fill="auto"/>
        <w:spacing w:after="220" w:line="334" w:lineRule="auto"/>
        <w:ind w:left="560" w:firstLine="20"/>
        <w:jc w:val="both"/>
      </w:pPr>
      <w:r>
        <w:rPr>
          <w:u w:val="single"/>
        </w:rPr>
        <w:lastRenderedPageBreak/>
        <w:t>Operátor Vás tímto společně s poskytovateli a zprostřed</w:t>
      </w:r>
      <w:r>
        <w:rPr>
          <w:u w:val="single"/>
        </w:rPr>
        <w:softHyphen/>
        <w:t>kovateli Služeb třetích stran informuje, že veškeré pohle</w:t>
      </w:r>
      <w:r>
        <w:rPr>
          <w:u w:val="single"/>
        </w:rPr>
        <w:softHyphen/>
        <w:t xml:space="preserve">dávky, které vzniknou </w:t>
      </w:r>
      <w:r>
        <w:rPr>
          <w:u w:val="single"/>
        </w:rPr>
        <w:t>třetí straně za Vámi v případě, že vy</w:t>
      </w:r>
      <w:r>
        <w:rPr>
          <w:u w:val="single"/>
        </w:rPr>
        <w:softHyphen/>
        <w:t>užijete Službu třetí strany, příslušná třetí strana postupuje vždy Operátorovi, který Vám je může vyúčtovat a v přípa</w:t>
      </w:r>
      <w:r>
        <w:rPr>
          <w:u w:val="single"/>
        </w:rPr>
        <w:softHyphen/>
        <w:t>dě, že je neuhradíte, může je po Vás vlastním jménem a na vlastní účet vymáhat.</w:t>
      </w:r>
    </w:p>
    <w:p w:rsidR="00215B20" w:rsidRDefault="00FD0AA3">
      <w:pPr>
        <w:pStyle w:val="Zkladntext1"/>
        <w:shd w:val="clear" w:color="auto" w:fill="auto"/>
        <w:spacing w:after="220" w:line="334" w:lineRule="auto"/>
        <w:ind w:left="560" w:firstLine="20"/>
        <w:jc w:val="both"/>
      </w:pPr>
      <w:r>
        <w:t>Dohodnete-li se s Op</w:t>
      </w:r>
      <w:r>
        <w:t>erátorem při uzavření či během trvá</w:t>
      </w:r>
      <w:r>
        <w:softHyphen/>
        <w:t>ní Účastnické smlouvy na poskytování a aktivaci některé z Mobilních plateb, dochází současně s tím k uzavření rám</w:t>
      </w:r>
      <w:r>
        <w:softHyphen/>
        <w:t>cové smlouvy o poskytování Mobilních plateb.</w:t>
      </w:r>
    </w:p>
    <w:p w:rsidR="00215B20" w:rsidRDefault="00FD0AA3">
      <w:pPr>
        <w:pStyle w:val="Zkladntext1"/>
        <w:shd w:val="clear" w:color="auto" w:fill="auto"/>
        <w:spacing w:after="220" w:line="334" w:lineRule="auto"/>
        <w:ind w:left="560" w:firstLine="20"/>
        <w:jc w:val="both"/>
      </w:pPr>
      <w:r>
        <w:t>Mobilními platbami lze zaplatit za zboží či služby nebo za vs</w:t>
      </w:r>
      <w:r>
        <w:t>tupenky, jízdenky či poskytnout charitativní dar (vždy v souladu s podmínkami stanovenými Operátorem a po</w:t>
      </w:r>
      <w:r>
        <w:softHyphen/>
        <w:t>skytovateli Služeb třetích stran), které jsou dodány do elektronického komunikačního zařízení a užívány jeho pro</w:t>
      </w:r>
      <w:r>
        <w:softHyphen/>
        <w:t>střednictvím (např. herní aplikace) n</w:t>
      </w:r>
      <w:r>
        <w:t>ebo dodány nebo uží</w:t>
      </w:r>
      <w:r>
        <w:softHyphen/>
        <w:t>vány mimo elektronické komunikační zařízení (např. SMS jízdenky, vstupenky).</w:t>
      </w:r>
    </w:p>
    <w:p w:rsidR="00215B20" w:rsidRDefault="00FD0AA3">
      <w:pPr>
        <w:pStyle w:val="Zkladntext1"/>
        <w:numPr>
          <w:ilvl w:val="1"/>
          <w:numId w:val="27"/>
        </w:numPr>
        <w:shd w:val="clear" w:color="auto" w:fill="auto"/>
        <w:tabs>
          <w:tab w:val="left" w:pos="574"/>
        </w:tabs>
        <w:spacing w:after="0" w:line="331" w:lineRule="auto"/>
        <w:jc w:val="both"/>
      </w:pPr>
      <w:r>
        <w:t>Předplacená Služba</w:t>
      </w:r>
    </w:p>
    <w:p w:rsidR="00215B20" w:rsidRDefault="00FD0AA3">
      <w:pPr>
        <w:pStyle w:val="Zkladntext1"/>
        <w:shd w:val="clear" w:color="auto" w:fill="auto"/>
        <w:spacing w:after="220" w:line="331" w:lineRule="auto"/>
        <w:ind w:left="560" w:firstLine="20"/>
        <w:jc w:val="both"/>
      </w:pPr>
      <w:r>
        <w:t>Pro předplacenou Službu se neuplatní ustanovení Vše</w:t>
      </w:r>
      <w:r>
        <w:softHyphen/>
        <w:t>obecných podmínek, která nelze s ohledem na povahu předplacených Služeb použít, a ustano</w:t>
      </w:r>
      <w:r>
        <w:t>vení, která jsou v rozporu s podmínkami uvedenými v tomto článku.</w:t>
      </w:r>
    </w:p>
    <w:p w:rsidR="00215B20" w:rsidRDefault="00FD0AA3">
      <w:pPr>
        <w:pStyle w:val="Zkladntext1"/>
        <w:shd w:val="clear" w:color="auto" w:fill="auto"/>
        <w:spacing w:after="220" w:line="334" w:lineRule="auto"/>
        <w:ind w:left="560" w:firstLine="20"/>
        <w:jc w:val="both"/>
      </w:pPr>
      <w:r>
        <w:t>Smlouvu na předplacenou Službu uzavřete okamžikem prvního úspěšně uskutečněného hovoru, a to na dobu ne</w:t>
      </w:r>
      <w:r>
        <w:softHyphen/>
        <w:t>určitou. Anonymní předplacenou Službu můžete převést na jinou osobu. Tuto osobu musíte</w:t>
      </w:r>
      <w:r>
        <w:t xml:space="preserve"> seznámit se Smlouvou a předat jí vše potřebné, co k využívání Služby dle Smlouvy potřebuje, zejména SIM kartu s bezpečnostními kódy nebo SIM kartu a originál dopisu obsahujícího bezpečnostní kódy, příp. nosič obsahující bezpečnostní kódy (dále jen „průvod</w:t>
      </w:r>
      <w:r>
        <w:t>ní dopis, příp. nosič“). Třetí osoba se stane Účast</w:t>
      </w:r>
      <w:r>
        <w:softHyphen/>
        <w:t>níkem okamžikem převzetí předplacené SIM karty. Ope</w:t>
      </w:r>
      <w:r>
        <w:softHyphen/>
        <w:t>rátor je oprávněn považovat za Účastníka osobu, která se prokáže průvodním dopisem, příp. nosičem či obalem SIM karty s bezpečnostními kódy.</w:t>
      </w:r>
    </w:p>
    <w:p w:rsidR="00215B20" w:rsidRDefault="00FD0AA3">
      <w:pPr>
        <w:pStyle w:val="Zkladntext1"/>
        <w:shd w:val="clear" w:color="auto" w:fill="auto"/>
        <w:spacing w:after="220" w:line="334" w:lineRule="auto"/>
        <w:ind w:left="560" w:firstLine="20"/>
        <w:jc w:val="both"/>
      </w:pPr>
      <w:r>
        <w:t>Chcete-li v</w:t>
      </w:r>
      <w:r>
        <w:t xml:space="preserve">yužít předplacené Služby, nejprve musí být složena finanční částka určená k čerpání Služeb (dále jen „kredit“). Způsoby složení kreditu (dále jen „Dobití“) jsou uvedeny na </w:t>
      </w:r>
      <w:hyperlink r:id="rId122" w:history="1">
        <w:r w:rsidRPr="00920265">
          <w:rPr>
            <w:color w:val="E4087E"/>
            <w:u w:val="single"/>
            <w:lang w:eastAsia="en-US" w:bidi="en-US"/>
          </w:rPr>
          <w:t>www.t-mobile.cz</w:t>
        </w:r>
      </w:hyperlink>
      <w:r w:rsidRPr="00920265">
        <w:rPr>
          <w:color w:val="E4087E"/>
          <w:lang w:eastAsia="en-US" w:bidi="en-US"/>
        </w:rPr>
        <w:t xml:space="preserve"> </w:t>
      </w:r>
      <w:r>
        <w:t>(sekce Volání - Předplacená kar</w:t>
      </w:r>
      <w:r>
        <w:t>ta - Dobít kredit). Operátor po provedení Dobití navýší kredit Vaší předplacené Služby o složenou finanční část</w:t>
      </w:r>
      <w:r>
        <w:softHyphen/>
        <w:t xml:space="preserve">ku a následně z tohoto kreditu strhává částky za využité Služby (vč. Služeb třetích stran a Mobilních plateb). </w:t>
      </w:r>
      <w:r>
        <w:rPr>
          <w:u w:val="single"/>
        </w:rPr>
        <w:t xml:space="preserve">Kredit musíte využít ve lhůtě 12 </w:t>
      </w:r>
      <w:r>
        <w:rPr>
          <w:u w:val="single"/>
        </w:rPr>
        <w:t>měsíců od posledního Dobití či aktivace předplacené Služby.</w:t>
      </w:r>
      <w:r>
        <w:t xml:space="preserve"> Vykáže-li Vámi užívaná před</w:t>
      </w:r>
      <w:r>
        <w:softHyphen/>
        <w:t>placená Služba záporný kredit, jste povinen/povinna bez</w:t>
      </w:r>
      <w:r>
        <w:softHyphen/>
        <w:t>odkladně provést Dobití a dluh vyrovnat. O proplacení ne</w:t>
      </w:r>
      <w:r>
        <w:softHyphen/>
        <w:t xml:space="preserve">vyčerpaného kreditu můžete požádat do 1 měsíce ode dne </w:t>
      </w:r>
      <w:r>
        <w:t>ukončení Smlouvy, jinak toto právo zaniká. Operátor může odmítnout kredit proplatit v případě podezření na zneužití tohoto procesu. Poskytne-li Vám Operátor kredit převyšu</w:t>
      </w:r>
      <w:r>
        <w:softHyphen/>
        <w:t>jící Vámi uhrazenou finanční částku (bonusový kredit), mů</w:t>
      </w:r>
      <w:r>
        <w:softHyphen/>
        <w:t>žete jej využít pouze k bě</w:t>
      </w:r>
      <w:r>
        <w:t xml:space="preserve">žnému čerpání základních Služeb a nemáte nárok na </w:t>
      </w:r>
      <w:r>
        <w:lastRenderedPageBreak/>
        <w:t xml:space="preserve">jeho proplacení. </w:t>
      </w:r>
      <w:r>
        <w:rPr>
          <w:u w:val="single"/>
        </w:rPr>
        <w:t>Smlouva na předpla</w:t>
      </w:r>
      <w:r>
        <w:rPr>
          <w:u w:val="single"/>
        </w:rPr>
        <w:softHyphen/>
        <w:t>cenou Službu zaniká z důvodů uvedených v čl. 2.6 a rovněž v případě, že není provedeno Dobití ve lhůtě 12 měsíců od posledního Dobití či aktivace předplacené Služby.</w:t>
      </w:r>
    </w:p>
    <w:p w:rsidR="00215B20" w:rsidRDefault="00FD0AA3">
      <w:pPr>
        <w:pStyle w:val="Zkladntext1"/>
        <w:numPr>
          <w:ilvl w:val="1"/>
          <w:numId w:val="27"/>
        </w:numPr>
        <w:shd w:val="clear" w:color="auto" w:fill="auto"/>
        <w:tabs>
          <w:tab w:val="left" w:pos="542"/>
        </w:tabs>
        <w:spacing w:after="0" w:line="334" w:lineRule="auto"/>
        <w:jc w:val="both"/>
      </w:pPr>
      <w:r>
        <w:t>Omezení a přerušení poskytování Služeb</w:t>
      </w:r>
    </w:p>
    <w:p w:rsidR="00215B20" w:rsidRDefault="00FD0AA3">
      <w:pPr>
        <w:pStyle w:val="Zkladntext1"/>
        <w:shd w:val="clear" w:color="auto" w:fill="auto"/>
        <w:spacing w:after="0" w:line="334" w:lineRule="auto"/>
        <w:ind w:left="560" w:firstLine="20"/>
        <w:jc w:val="both"/>
      </w:pPr>
      <w:r>
        <w:t>Operátor Vám je oprávněn okamžitě omezit (blokovat rizi</w:t>
      </w:r>
      <w:r>
        <w:softHyphen/>
        <w:t>kové služby jako např. volání na audiotexová čísla, prémi</w:t>
      </w:r>
      <w:r>
        <w:softHyphen/>
        <w:t>ové SMS, roaming apod.) či přerušit (zamezit čerpání veš</w:t>
      </w:r>
      <w:r>
        <w:softHyphen/>
        <w:t>kerých odchozích Služeb jako např. volání, SMS</w:t>
      </w:r>
      <w:r>
        <w:t>, čerpání dat aj.) poskytování Služeb v následujících případech:</w:t>
      </w:r>
    </w:p>
    <w:p w:rsidR="00215B20" w:rsidRDefault="00FD0AA3">
      <w:pPr>
        <w:pStyle w:val="Zkladntext1"/>
        <w:numPr>
          <w:ilvl w:val="0"/>
          <w:numId w:val="29"/>
        </w:numPr>
        <w:shd w:val="clear" w:color="auto" w:fill="auto"/>
        <w:tabs>
          <w:tab w:val="left" w:pos="978"/>
        </w:tabs>
        <w:spacing w:after="0" w:line="334" w:lineRule="auto"/>
        <w:ind w:left="960" w:hanging="380"/>
        <w:jc w:val="both"/>
      </w:pPr>
      <w:r>
        <w:t>neuhradíte-li řádně a včas Vyúčtování, a to ani v ná</w:t>
      </w:r>
      <w:r>
        <w:softHyphen/>
        <w:t>hradní lhůtě, kterou Operátor stanoví;</w:t>
      </w:r>
    </w:p>
    <w:p w:rsidR="00215B20" w:rsidRDefault="00FD0AA3">
      <w:pPr>
        <w:pStyle w:val="Zkladntext1"/>
        <w:numPr>
          <w:ilvl w:val="0"/>
          <w:numId w:val="29"/>
        </w:numPr>
        <w:shd w:val="clear" w:color="auto" w:fill="auto"/>
        <w:tabs>
          <w:tab w:val="left" w:pos="978"/>
        </w:tabs>
        <w:spacing w:after="0" w:line="334" w:lineRule="auto"/>
        <w:ind w:left="960" w:hanging="380"/>
        <w:jc w:val="both"/>
      </w:pPr>
      <w:r>
        <w:t>vznikne-li podezření, že jste uzavřel/a Smlouvu na zá</w:t>
      </w:r>
      <w:r>
        <w:softHyphen/>
        <w:t>kladě nepravdivých údajů nebo že zneužíváte S</w:t>
      </w:r>
      <w:r>
        <w:t>lužby;</w:t>
      </w:r>
    </w:p>
    <w:p w:rsidR="00215B20" w:rsidRDefault="00FD0AA3">
      <w:pPr>
        <w:pStyle w:val="Zkladntext1"/>
        <w:numPr>
          <w:ilvl w:val="0"/>
          <w:numId w:val="29"/>
        </w:numPr>
        <w:shd w:val="clear" w:color="auto" w:fill="auto"/>
        <w:tabs>
          <w:tab w:val="left" w:pos="978"/>
        </w:tabs>
        <w:spacing w:after="0" w:line="334" w:lineRule="auto"/>
        <w:ind w:left="960" w:hanging="380"/>
        <w:jc w:val="both"/>
      </w:pPr>
      <w:r>
        <w:t>porušujete-li podstatně podmínky Smlouvy (zejmé</w:t>
      </w:r>
      <w:r>
        <w:softHyphen/>
        <w:t>na užíváte-li neschválená zařízení či jinak ohrožujete provoz sítě, uskutečňujete-li zlomyslná či obtěžující volání, rozesíláte-li nevyžádané či reklamní zprávy atp.);</w:t>
      </w:r>
    </w:p>
    <w:p w:rsidR="00215B20" w:rsidRDefault="00FD0AA3">
      <w:pPr>
        <w:pStyle w:val="Zkladntext1"/>
        <w:numPr>
          <w:ilvl w:val="0"/>
          <w:numId w:val="29"/>
        </w:numPr>
        <w:shd w:val="clear" w:color="auto" w:fill="auto"/>
        <w:tabs>
          <w:tab w:val="left" w:pos="978"/>
        </w:tabs>
        <w:spacing w:after="0" w:line="334" w:lineRule="auto"/>
        <w:ind w:left="960" w:hanging="380"/>
        <w:jc w:val="both"/>
      </w:pPr>
      <w:r>
        <w:t>nejsou-li splněny podmínky nezbyt</w:t>
      </w:r>
      <w:r>
        <w:t>né pro to, aby Vám mohl Operátor poskytovat Služby, či je-li vůči Vám vedeno insolvenční řízení;</w:t>
      </w:r>
    </w:p>
    <w:p w:rsidR="00215B20" w:rsidRDefault="00FD0AA3">
      <w:pPr>
        <w:pStyle w:val="Zkladntext1"/>
        <w:numPr>
          <w:ilvl w:val="0"/>
          <w:numId w:val="29"/>
        </w:numPr>
        <w:shd w:val="clear" w:color="auto" w:fill="auto"/>
        <w:tabs>
          <w:tab w:val="left" w:pos="978"/>
        </w:tabs>
        <w:spacing w:after="0" w:line="334" w:lineRule="auto"/>
        <w:ind w:left="960" w:hanging="380"/>
        <w:jc w:val="both"/>
      </w:pPr>
      <w:r>
        <w:t>dojde-li k neobvykle vysokému provozu, který pře</w:t>
      </w:r>
      <w:r>
        <w:softHyphen/>
        <w:t>sáhne v průběhu zúčtovacího období dvojnásobek průměrné výše Vyúčtování, nebo k neobvyklému typu provozu (např</w:t>
      </w:r>
      <w:r>
        <w:t>. hovory do exotických destinací nebo na audiotexová čísla, ačkoliv k takovým hovorům v minu</w:t>
      </w:r>
      <w:r>
        <w:softHyphen/>
        <w:t>losti v takovém objemu nedocházelo); o této skuteč</w:t>
      </w:r>
      <w:r>
        <w:softHyphen/>
        <w:t>nosti Vás Operátor informuje SMS zprávou či jiným vhodným způsobem; tímto způsobem se Vás Operátor snaží chránit</w:t>
      </w:r>
      <w:r>
        <w:t xml:space="preserve"> před možným zneužitím Služby, a proto je oprávněn zvolené opatření aplikovat i na jiné Služby a SIM karty než ty, u nichž se problém objevil;</w:t>
      </w:r>
    </w:p>
    <w:p w:rsidR="00215B20" w:rsidRDefault="00FD0AA3">
      <w:pPr>
        <w:pStyle w:val="Zkladntext1"/>
        <w:numPr>
          <w:ilvl w:val="0"/>
          <w:numId w:val="29"/>
        </w:numPr>
        <w:shd w:val="clear" w:color="auto" w:fill="auto"/>
        <w:tabs>
          <w:tab w:val="left" w:pos="978"/>
        </w:tabs>
        <w:spacing w:after="0" w:line="334" w:lineRule="auto"/>
        <w:ind w:left="960" w:hanging="380"/>
        <w:jc w:val="both"/>
      </w:pPr>
      <w:r>
        <w:t>nastanou-li závažné technické nebo provozní důvo</w:t>
      </w:r>
      <w:r>
        <w:softHyphen/>
        <w:t>dy, zejména hrozí-li nebo dojde-li k narušení bezpeč</w:t>
      </w:r>
      <w:r>
        <w:softHyphen/>
        <w:t>nosti a int</w:t>
      </w:r>
      <w:r>
        <w:t>egrity sítě nebo dojde-li k narušení bezpeč</w:t>
      </w:r>
      <w:r>
        <w:softHyphen/>
        <w:t>nosti Služeb;</w:t>
      </w:r>
    </w:p>
    <w:p w:rsidR="00215B20" w:rsidRDefault="00FD0AA3">
      <w:pPr>
        <w:pStyle w:val="Zkladntext1"/>
        <w:numPr>
          <w:ilvl w:val="0"/>
          <w:numId w:val="29"/>
        </w:numPr>
        <w:shd w:val="clear" w:color="auto" w:fill="auto"/>
        <w:tabs>
          <w:tab w:val="left" w:pos="994"/>
        </w:tabs>
        <w:spacing w:after="0" w:line="334" w:lineRule="auto"/>
        <w:ind w:left="960" w:hanging="380"/>
        <w:jc w:val="both"/>
      </w:pPr>
      <w:r>
        <w:t>nastane-li krizový stav, zejména branná pohotovost státu, živelní pohroma nebo ohrožení bezpečnosti státu;</w:t>
      </w:r>
    </w:p>
    <w:p w:rsidR="00215B20" w:rsidRDefault="00FD0AA3">
      <w:pPr>
        <w:pStyle w:val="Zkladntext1"/>
        <w:shd w:val="clear" w:color="auto" w:fill="auto"/>
        <w:spacing w:after="220" w:line="334" w:lineRule="auto"/>
        <w:ind w:left="960" w:hanging="380"/>
        <w:jc w:val="both"/>
      </w:pPr>
      <w:r>
        <w:rPr>
          <w:b/>
          <w:bCs/>
        </w:rPr>
        <w:t xml:space="preserve">(viii) </w:t>
      </w:r>
      <w:r>
        <w:t>na základě Zákona nebo rozhodnutí soudního či správního orgánu.</w:t>
      </w:r>
    </w:p>
    <w:p w:rsidR="00215B20" w:rsidRDefault="00FD0AA3">
      <w:pPr>
        <w:pStyle w:val="Zkladntext1"/>
        <w:shd w:val="clear" w:color="auto" w:fill="auto"/>
        <w:spacing w:after="0" w:line="334" w:lineRule="auto"/>
        <w:ind w:firstLine="560"/>
        <w:jc w:val="both"/>
      </w:pPr>
      <w:r>
        <w:t xml:space="preserve">Pokud složíte </w:t>
      </w:r>
      <w:r>
        <w:t>mimořádnou zálohu (viz důvody dle čl. 4.4</w:t>
      </w:r>
    </w:p>
    <w:p w:rsidR="00215B20" w:rsidRDefault="00FD0AA3">
      <w:pPr>
        <w:pStyle w:val="Zkladntext1"/>
        <w:numPr>
          <w:ilvl w:val="0"/>
          <w:numId w:val="26"/>
        </w:numPr>
        <w:shd w:val="clear" w:color="auto" w:fill="auto"/>
        <w:spacing w:after="220" w:line="334" w:lineRule="auto"/>
        <w:ind w:left="560" w:firstLine="20"/>
        <w:jc w:val="both"/>
      </w:pPr>
      <w:r>
        <w:t>), bude Vám poskytování přerušených či omezených Služeb bez zbytečného odkladu obnoveno. Při omezení či přerušení mobilních Služeb mohou být Vaše paušální Služ</w:t>
      </w:r>
      <w:r>
        <w:softHyphen/>
        <w:t>by poskytovány formou předplacených Služeb.</w:t>
      </w:r>
    </w:p>
    <w:p w:rsidR="00215B20" w:rsidRDefault="00FD0AA3">
      <w:pPr>
        <w:pStyle w:val="Zkladntext1"/>
        <w:numPr>
          <w:ilvl w:val="1"/>
          <w:numId w:val="27"/>
        </w:numPr>
        <w:shd w:val="clear" w:color="auto" w:fill="auto"/>
        <w:tabs>
          <w:tab w:val="left" w:pos="563"/>
        </w:tabs>
        <w:spacing w:after="0" w:line="334" w:lineRule="auto"/>
        <w:jc w:val="both"/>
      </w:pPr>
      <w:r>
        <w:t>Výměna SIM</w:t>
      </w:r>
      <w:r>
        <w:t xml:space="preserve"> karty</w:t>
      </w:r>
    </w:p>
    <w:p w:rsidR="00215B20" w:rsidRDefault="00FD0AA3">
      <w:pPr>
        <w:pStyle w:val="Zkladntext1"/>
        <w:shd w:val="clear" w:color="auto" w:fill="auto"/>
        <w:spacing w:after="220" w:line="334" w:lineRule="auto"/>
        <w:ind w:left="560" w:firstLine="20"/>
        <w:jc w:val="both"/>
      </w:pPr>
      <w:r>
        <w:t xml:space="preserve">Typ SIM karty potřebný pro využití Služby je závislý na typu Vaší Služby a Vašeho Koncového zařízení. V případě potřeby máte možnost požádat o výměnu SIM karty na potřebný typ. Je-li nutnost výměny způsobena změnou technologie pro užívání Služby či </w:t>
      </w:r>
      <w:r>
        <w:t>z jiného důvodu na stra</w:t>
      </w:r>
      <w:r>
        <w:softHyphen/>
        <w:t>ně Operátora, je výměna SIM karty zdarma. V jiných pří</w:t>
      </w:r>
      <w:r>
        <w:softHyphen/>
        <w:t>padech může být zpoplatněna dle platného Ceníku služeb v části Doplňkové služby.</w:t>
      </w:r>
    </w:p>
    <w:p w:rsidR="00215B20" w:rsidRDefault="00FD0AA3">
      <w:pPr>
        <w:pStyle w:val="Zkladntext1"/>
        <w:shd w:val="clear" w:color="auto" w:fill="auto"/>
        <w:spacing w:after="220" w:line="334" w:lineRule="auto"/>
        <w:ind w:left="560" w:firstLine="20"/>
        <w:jc w:val="both"/>
      </w:pPr>
      <w:r>
        <w:t>Vezměte prosím na vědomí, že v některých případech mů</w:t>
      </w:r>
      <w:r>
        <w:softHyphen/>
        <w:t xml:space="preserve">žete být </w:t>
      </w:r>
      <w:r>
        <w:lastRenderedPageBreak/>
        <w:t>vyzván/a k a</w:t>
      </w:r>
      <w:bookmarkStart w:id="206" w:name="_GoBack"/>
      <w:bookmarkEnd w:id="206"/>
      <w:r>
        <w:t>ktualizaci softwaru (</w:t>
      </w:r>
      <w:r>
        <w:t>SW) na své SIM kartě zpravidla prostřednictvím odkazu zaslaného formou SMS nebo přímo k výměně SIM karty k Vaší Službě, a to například z důvodu využití modernějších technologií a sítí. V případě, že tuto změnu SW nebo SIM karty neprovedete, nemůže Vám Oper</w:t>
      </w:r>
      <w:r>
        <w:t>átor zaručit poskytování Služeb ve sjed</w:t>
      </w:r>
      <w:r>
        <w:softHyphen/>
        <w:t>nané a Zákonem požadované kvalitě.</w:t>
      </w:r>
    </w:p>
    <w:p w:rsidR="00215B20" w:rsidRDefault="00FD0AA3">
      <w:pPr>
        <w:pStyle w:val="Nadpis60"/>
        <w:keepNext/>
        <w:keepLines/>
        <w:numPr>
          <w:ilvl w:val="0"/>
          <w:numId w:val="27"/>
        </w:numPr>
        <w:shd w:val="clear" w:color="auto" w:fill="auto"/>
        <w:tabs>
          <w:tab w:val="left" w:pos="563"/>
        </w:tabs>
        <w:spacing w:after="0" w:line="334" w:lineRule="auto"/>
        <w:jc w:val="both"/>
      </w:pPr>
      <w:bookmarkStart w:id="207" w:name="bookmark206"/>
      <w:bookmarkStart w:id="208" w:name="bookmark207"/>
      <w:r>
        <w:rPr>
          <w:color w:val="E4087E"/>
        </w:rPr>
        <w:t>Cena, zálohy a platební podmínky</w:t>
      </w:r>
      <w:bookmarkEnd w:id="207"/>
      <w:bookmarkEnd w:id="208"/>
    </w:p>
    <w:p w:rsidR="00215B20" w:rsidRDefault="00FD0AA3">
      <w:pPr>
        <w:pStyle w:val="Zkladntext1"/>
        <w:numPr>
          <w:ilvl w:val="1"/>
          <w:numId w:val="27"/>
        </w:numPr>
        <w:shd w:val="clear" w:color="auto" w:fill="auto"/>
        <w:tabs>
          <w:tab w:val="left" w:pos="563"/>
        </w:tabs>
        <w:spacing w:after="0" w:line="334" w:lineRule="auto"/>
        <w:jc w:val="both"/>
      </w:pPr>
      <w:r>
        <w:t>Ceny a účtování Služeb</w:t>
      </w:r>
    </w:p>
    <w:p w:rsidR="00215B20" w:rsidRDefault="00FD0AA3">
      <w:pPr>
        <w:pStyle w:val="Zkladntext1"/>
        <w:shd w:val="clear" w:color="auto" w:fill="auto"/>
        <w:spacing w:after="220" w:line="334" w:lineRule="auto"/>
        <w:ind w:left="560" w:firstLine="20"/>
        <w:jc w:val="both"/>
      </w:pPr>
      <w:r>
        <w:t>Ceny za poskytnuté Služby Vám Operátor účtuje dle plat</w:t>
      </w:r>
      <w:r>
        <w:softHyphen/>
        <w:t xml:space="preserve">ných Ceníků služeb a Vy jste je povinen/povinna řádně a včas hradit. </w:t>
      </w:r>
      <w:r>
        <w:t>Ceny za Služby Vám Operátor začne účto</w:t>
      </w:r>
      <w:r>
        <w:softHyphen/>
        <w:t>vat dnem aktivace zvolené Služby, případně od data účin</w:t>
      </w:r>
      <w:r>
        <w:softHyphen/>
        <w:t>nosti Smlouvy či účinnosti její změny, dojde-li k účinnosti Smlouvy či její změně později než k aktivaci Služby. Ceny za Služby třetích stran Vám Operátor účtuje</w:t>
      </w:r>
      <w:r>
        <w:t xml:space="preserve"> dle podmínek stanovených pro příslušnou Službu třetí strany. Ceny Slu</w:t>
      </w:r>
      <w:r>
        <w:softHyphen/>
        <w:t>žeb, jejichž účelem není jen zajištění elektronické komu</w:t>
      </w:r>
      <w:r>
        <w:softHyphen/>
        <w:t>nikace (tedy Služby s přidanou hodnotou), se liší od cen základních Služeb.</w:t>
      </w:r>
    </w:p>
    <w:p w:rsidR="00215B20" w:rsidRDefault="00FD0AA3">
      <w:pPr>
        <w:pStyle w:val="Zkladntext1"/>
        <w:numPr>
          <w:ilvl w:val="1"/>
          <w:numId w:val="27"/>
        </w:numPr>
        <w:shd w:val="clear" w:color="auto" w:fill="auto"/>
        <w:tabs>
          <w:tab w:val="left" w:pos="563"/>
        </w:tabs>
        <w:spacing w:after="0" w:line="334" w:lineRule="auto"/>
        <w:jc w:val="both"/>
      </w:pPr>
      <w:r>
        <w:t>Vyúčtování paušálních Služeb a jeho úhrada</w:t>
      </w:r>
    </w:p>
    <w:p w:rsidR="00215B20" w:rsidRDefault="00FD0AA3">
      <w:pPr>
        <w:pStyle w:val="Zkladntext1"/>
        <w:shd w:val="clear" w:color="auto" w:fill="auto"/>
        <w:spacing w:after="220" w:line="334" w:lineRule="auto"/>
        <w:ind w:left="560" w:firstLine="20"/>
        <w:jc w:val="both"/>
        <w:sectPr w:rsidR="00215B20">
          <w:headerReference w:type="even" r:id="rId123"/>
          <w:headerReference w:type="default" r:id="rId124"/>
          <w:footerReference w:type="even" r:id="rId125"/>
          <w:footerReference w:type="default" r:id="rId126"/>
          <w:pgSz w:w="11900" w:h="16840"/>
          <w:pgMar w:top="1974" w:right="809" w:bottom="1364" w:left="819" w:header="0" w:footer="3" w:gutter="0"/>
          <w:cols w:num="2" w:space="435"/>
          <w:noEndnote/>
          <w:docGrid w:linePitch="360"/>
        </w:sectPr>
      </w:pPr>
      <w:r>
        <w:t>Vždy po skončení zúčtovacího období Vám Operátor vy</w:t>
      </w:r>
      <w:r>
        <w:softHyphen/>
        <w:t>staví Vyúčtování s náležitostmi daňového dokladu (shora i</w:t>
      </w:r>
      <w:r>
        <w:t xml:space="preserve"> dále jako „Vyúčtování“ či „Faktura“), které obsahuje cenu</w:t>
      </w:r>
    </w:p>
    <w:p w:rsidR="00215B20" w:rsidRDefault="00FD0AA3">
      <w:pPr>
        <w:pStyle w:val="Zkladntext1"/>
        <w:shd w:val="clear" w:color="auto" w:fill="auto"/>
        <w:spacing w:after="220" w:line="334" w:lineRule="auto"/>
        <w:jc w:val="both"/>
      </w:pPr>
      <w:r>
        <w:lastRenderedPageBreak/>
        <w:t>poskytnutých Služeb (vč. Služeb třetích stran a Mobilních plateb) a jiné částky, na které má Operátor nárok (např. zálohy, splátky za zakoupené zařízení, nájemné za proná</w:t>
      </w:r>
      <w:r>
        <w:softHyphen/>
        <w:t>jem zařízení, finanční vyp</w:t>
      </w:r>
      <w:r>
        <w:t>ořádání či náklady na vymáhání). Operátor je Vám oprávněn nastavit (a to i v průběhu trvání Smlouvy) způsob účtování Služeb tak, že ve Vyúčtová</w:t>
      </w:r>
      <w:r>
        <w:softHyphen/>
        <w:t>ní bude účtována cena za pravidelný měsíční paušál či paušály za následující zúčtovací období, nikoliv za zúčto</w:t>
      </w:r>
      <w:r>
        <w:softHyphen/>
      </w:r>
      <w:r>
        <w:t>vací období uplynulé; ostatní ceny za poskytnuté Služby se vyúčtují dle předchozí věty.</w:t>
      </w:r>
    </w:p>
    <w:p w:rsidR="00215B20" w:rsidRDefault="00FD0AA3">
      <w:pPr>
        <w:pStyle w:val="Zkladntext1"/>
        <w:shd w:val="clear" w:color="auto" w:fill="auto"/>
        <w:spacing w:after="220" w:line="334" w:lineRule="auto"/>
        <w:jc w:val="both"/>
      </w:pPr>
      <w:r>
        <w:t>Pokud se s Operátorem nedohodnete jinak, vystaví Vám Vyúčtování v elektronické podobě. Vystavení tištěného Vyúčtování může být zpoplatněno dle Ceníků služeb.</w:t>
      </w:r>
    </w:p>
    <w:p w:rsidR="00215B20" w:rsidRDefault="00FD0AA3">
      <w:pPr>
        <w:pStyle w:val="Zkladntext1"/>
        <w:shd w:val="clear" w:color="auto" w:fill="auto"/>
        <w:spacing w:after="220" w:line="334" w:lineRule="auto"/>
        <w:jc w:val="both"/>
      </w:pPr>
      <w:r>
        <w:t>Vyúčtování</w:t>
      </w:r>
      <w:r>
        <w:t xml:space="preserve"> Vám Operátor doručí do 15 dnů ode dne ukon</w:t>
      </w:r>
      <w:r>
        <w:softHyphen/>
        <w:t>čení zúčtovacího období. V případě, že bude z data odeslá</w:t>
      </w:r>
      <w:r>
        <w:softHyphen/>
        <w:t>ní Vyúčtování zřejmé, že Vám bude Vyúčtování doručeno během posledních 3 dnů uvedené lhůty, prodlouží Vám Operátor přiměřeně lhůtu splatnosti takového Vyú</w:t>
      </w:r>
      <w:r>
        <w:t>čtování.</w:t>
      </w:r>
    </w:p>
    <w:p w:rsidR="00215B20" w:rsidRDefault="00FD0AA3">
      <w:pPr>
        <w:pStyle w:val="Zkladntext1"/>
        <w:shd w:val="clear" w:color="auto" w:fill="auto"/>
        <w:spacing w:after="220" w:line="334" w:lineRule="auto"/>
        <w:jc w:val="both"/>
      </w:pPr>
      <w:r>
        <w:rPr>
          <w:b/>
          <w:bCs/>
        </w:rPr>
        <w:t>Vyúčtované částky musíte uhradit na bankovní účet Ope</w:t>
      </w:r>
      <w:r>
        <w:rPr>
          <w:b/>
          <w:bCs/>
        </w:rPr>
        <w:softHyphen/>
        <w:t xml:space="preserve">rátora uvedený na Vyúčtování, a to (není-li na Vyúčtování jiná lhůta) do 14 dnů od vystavení Vyúčtování. </w:t>
      </w:r>
      <w:r>
        <w:t xml:space="preserve">Splatnost Vyúčtování dle předchozí věty se uplatní i pro Vyúčtování Služeb poskytnutých </w:t>
      </w:r>
      <w:r>
        <w:t>Vám dle Účastnických smluv uza</w:t>
      </w:r>
      <w:r>
        <w:softHyphen/>
        <w:t>vřených před 1. 9. 2017, jsou-li Vám tyto Služby účtovány v jednom Vyúčtování společně se Službami poskytova</w:t>
      </w:r>
      <w:r>
        <w:softHyphen/>
        <w:t>nými dle Smlouvy uzavřené po 1. 1. 2022. Neoznačíte-li platbu číslem Vyúčtování, které hradíte, ale jednotným variab</w:t>
      </w:r>
      <w:r>
        <w:t>ilním symbolem pro platby (který je vždy uveden ve Vyúčtování) nebo platbu nijak neoznačíte (a Operátor ji i přesto identifikuje), použijí se pravidla pro pořadí úhrady pohledávek dle čl. 4.3 níže.</w:t>
      </w:r>
    </w:p>
    <w:p w:rsidR="00215B20" w:rsidRDefault="00FD0AA3">
      <w:pPr>
        <w:pStyle w:val="Zkladntext1"/>
        <w:shd w:val="clear" w:color="auto" w:fill="auto"/>
        <w:spacing w:after="220" w:line="334" w:lineRule="auto"/>
        <w:jc w:val="both"/>
      </w:pPr>
      <w:r>
        <w:t>Operátor Vás upozorní, pokud neuhradíte Vyúčtování řád</w:t>
      </w:r>
      <w:r>
        <w:softHyphen/>
        <w:t xml:space="preserve">ně </w:t>
      </w:r>
      <w:r>
        <w:t>a včas, a stanoví Vám náhradní lhůtu k úhradě Vyúčto</w:t>
      </w:r>
      <w:r>
        <w:softHyphen/>
        <w:t>vání, která nebude kratší než jeden týden, přičemž za pro</w:t>
      </w:r>
      <w:r>
        <w:softHyphen/>
        <w:t>kazatelné upozornění je považována také SMS. Operátor je oprávněn tuto SMS odeslat na telefonní číslo, kterého se dlužné Vyúčtování týká, nebo na</w:t>
      </w:r>
      <w:r>
        <w:t xml:space="preserve"> číslo, které je uvedeno jako kontaktní v systému Operátora, či na kontaktní e-mail evidovaný v systému Operátora.</w:t>
      </w:r>
    </w:p>
    <w:p w:rsidR="00215B20" w:rsidRDefault="00FD0AA3">
      <w:pPr>
        <w:pStyle w:val="Zkladntext1"/>
        <w:shd w:val="clear" w:color="auto" w:fill="auto"/>
        <w:spacing w:after="220" w:line="334" w:lineRule="auto"/>
        <w:jc w:val="both"/>
      </w:pPr>
      <w:r>
        <w:t>Pokud některou z poskytnutých Služeb není možno vy</w:t>
      </w:r>
      <w:r>
        <w:softHyphen/>
        <w:t xml:space="preserve">účtovat ve Vyúčtování za zúčtovací období, v němž byla Služba poskytnuta, vyúčtuje Vám ji </w:t>
      </w:r>
      <w:r>
        <w:t>Operátor v nejbližším možném následujícím Vyúčtování.</w:t>
      </w:r>
    </w:p>
    <w:p w:rsidR="00215B20" w:rsidRDefault="00FD0AA3">
      <w:pPr>
        <w:pStyle w:val="Zkladntext1"/>
        <w:shd w:val="clear" w:color="auto" w:fill="auto"/>
        <w:spacing w:after="220" w:line="334" w:lineRule="auto"/>
        <w:jc w:val="both"/>
      </w:pPr>
      <w:r>
        <w:t>Pokud jste neobdržel/a Vyúčtování ani více než po 40 dnech od doručení posledního Vyúčtování nebo ode dne aktivace Služby, musíte tuto skutečnost neprodleně ohlásit kontaktnímu místu Operátora. Nedoruče</w:t>
      </w:r>
      <w:r>
        <w:t>ní Vyúčto</w:t>
      </w:r>
      <w:r>
        <w:softHyphen/>
        <w:t>vání nemá vliv na Vaši povinnost řádně a včas uhradit ceny za poskytnuté Služby. Podrobný výpis skutečně vyčerpa</w:t>
      </w:r>
      <w:r>
        <w:softHyphen/>
        <w:t>ných Služeb Vám na základě Vaší žádosti vyhotoví Operá</w:t>
      </w:r>
      <w:r>
        <w:softHyphen/>
        <w:t>tor za cenu uvedenou v platném Ceníku služeb, a to pokud jej má mít dle Zákona</w:t>
      </w:r>
      <w:r>
        <w:t xml:space="preserve"> k dispozici.</w:t>
      </w:r>
    </w:p>
    <w:p w:rsidR="00215B20" w:rsidRDefault="00FD0AA3">
      <w:pPr>
        <w:pStyle w:val="Zkladntext1"/>
        <w:numPr>
          <w:ilvl w:val="1"/>
          <w:numId w:val="27"/>
        </w:numPr>
        <w:shd w:val="clear" w:color="auto" w:fill="auto"/>
        <w:tabs>
          <w:tab w:val="left" w:pos="568"/>
        </w:tabs>
        <w:spacing w:after="0" w:line="334" w:lineRule="auto"/>
        <w:jc w:val="both"/>
      </w:pPr>
      <w:r>
        <w:t>Započtení a pořadí úhrady pohledávek</w:t>
      </w:r>
    </w:p>
    <w:p w:rsidR="00215B20" w:rsidRDefault="00FD0AA3">
      <w:pPr>
        <w:pStyle w:val="Zkladntext1"/>
        <w:shd w:val="clear" w:color="auto" w:fill="auto"/>
        <w:spacing w:after="220" w:line="334" w:lineRule="auto"/>
        <w:ind w:left="560" w:firstLine="20"/>
        <w:jc w:val="both"/>
      </w:pPr>
      <w:r>
        <w:lastRenderedPageBreak/>
        <w:t>Operátor použije uhrazenou částku nejprve na úhradu nej</w:t>
      </w:r>
      <w:r>
        <w:softHyphen/>
        <w:t>staršího splatného dluhu, a to nejprve na úhradu nákladů spojených s vymáháním pohledávky, následně na úhradu splátek poskytnutých úvěrů, poté na úhr</w:t>
      </w:r>
      <w:r>
        <w:t>adu Služeb tře</w:t>
      </w:r>
      <w:r>
        <w:softHyphen/>
        <w:t>tích stran, dále na úhradu sjednaných splátek na zařízení, následně smluvních pokut a poté na úhradu zbytku Vaše</w:t>
      </w:r>
      <w:r>
        <w:softHyphen/>
        <w:t>ho nejstaršího splatného dluhu vůči Operátorovi, a to vždy nejprve na úhradu jistiny, pokud neurčíte jinak nebo Vás Operátor nei</w:t>
      </w:r>
      <w:r>
        <w:t>nformuje o jiném pořadí započtení. Stejným způsobem je Operátor oprávněn použít Vámi složenou zá</w:t>
      </w:r>
      <w:r>
        <w:softHyphen/>
        <w:t>lohu, Váš přeplatek nebo jakoukoliv jinou finanční částku. Není-li třeba tuto částku takto použít, vrátí Vám Operátor takovou finanční částku snížením částky k</w:t>
      </w:r>
      <w:r>
        <w:t xml:space="preserve"> úhradě v násle</w:t>
      </w:r>
      <w:r>
        <w:softHyphen/>
        <w:t>dujícím Vyúčtování.</w:t>
      </w:r>
    </w:p>
    <w:p w:rsidR="00215B20" w:rsidRDefault="00FD0AA3">
      <w:pPr>
        <w:pStyle w:val="Zkladntext1"/>
        <w:shd w:val="clear" w:color="auto" w:fill="auto"/>
        <w:spacing w:after="220" w:line="334" w:lineRule="auto"/>
        <w:ind w:left="560" w:firstLine="20"/>
        <w:jc w:val="both"/>
      </w:pPr>
      <w:r>
        <w:t>Operátor je oprávněn požadovat po Vás náhradu nákladů spojených s vymáháním pohledávky a zmocnit třetí osoby k vymáhání pohledávek po splatnosti.</w:t>
      </w:r>
    </w:p>
    <w:p w:rsidR="00215B20" w:rsidRDefault="00FD0AA3">
      <w:pPr>
        <w:pStyle w:val="Zkladntext1"/>
        <w:numPr>
          <w:ilvl w:val="1"/>
          <w:numId w:val="27"/>
        </w:numPr>
        <w:shd w:val="clear" w:color="auto" w:fill="auto"/>
        <w:tabs>
          <w:tab w:val="left" w:pos="568"/>
        </w:tabs>
        <w:spacing w:after="0" w:line="334" w:lineRule="auto"/>
        <w:jc w:val="both"/>
      </w:pPr>
      <w:r>
        <w:t>Zálohy</w:t>
      </w:r>
    </w:p>
    <w:p w:rsidR="00215B20" w:rsidRDefault="00FD0AA3">
      <w:pPr>
        <w:pStyle w:val="Zkladntext1"/>
        <w:shd w:val="clear" w:color="auto" w:fill="auto"/>
        <w:spacing w:after="220" w:line="334" w:lineRule="auto"/>
        <w:ind w:left="560" w:firstLine="20"/>
        <w:jc w:val="both"/>
      </w:pPr>
      <w:r>
        <w:t xml:space="preserve">Operátor je oprávněn po Vás žádat složení zálohy pouze v případech </w:t>
      </w:r>
      <w:r>
        <w:t>hrozícího finančního rizika nebo z jiného váž</w:t>
      </w:r>
      <w:r>
        <w:softHyphen/>
        <w:t>ného důvodu. V případě neuhrazení požadované zálohy je Operátor oprávněn odmítnout s Vámi uzavřít Smlouvu, odstoupit od již uzavřené Smlouvy, neprovést navrženou změnu Smlouvy či Vám omezit nebo přerušit poskyt</w:t>
      </w:r>
      <w:r>
        <w:t>ování Služeb.</w:t>
      </w:r>
    </w:p>
    <w:p w:rsidR="00215B20" w:rsidRDefault="00FD0AA3">
      <w:pPr>
        <w:pStyle w:val="Zkladntext1"/>
        <w:shd w:val="clear" w:color="auto" w:fill="auto"/>
        <w:spacing w:after="0" w:line="334" w:lineRule="auto"/>
        <w:ind w:firstLine="560"/>
        <w:jc w:val="both"/>
      </w:pPr>
      <w:r>
        <w:t>Operátor může vybírat následující zálohy:</w:t>
      </w:r>
    </w:p>
    <w:p w:rsidR="00215B20" w:rsidRDefault="00FD0AA3">
      <w:pPr>
        <w:pStyle w:val="Zkladntext1"/>
        <w:numPr>
          <w:ilvl w:val="0"/>
          <w:numId w:val="30"/>
        </w:numPr>
        <w:shd w:val="clear" w:color="auto" w:fill="auto"/>
        <w:tabs>
          <w:tab w:val="left" w:pos="963"/>
        </w:tabs>
        <w:spacing w:after="0" w:line="334" w:lineRule="auto"/>
        <w:ind w:firstLine="560"/>
        <w:jc w:val="both"/>
      </w:pPr>
      <w:r>
        <w:t>na Služby;</w:t>
      </w:r>
    </w:p>
    <w:p w:rsidR="00215B20" w:rsidRDefault="00FD0AA3">
      <w:pPr>
        <w:pStyle w:val="Zkladntext1"/>
        <w:numPr>
          <w:ilvl w:val="0"/>
          <w:numId w:val="30"/>
        </w:numPr>
        <w:shd w:val="clear" w:color="auto" w:fill="auto"/>
        <w:tabs>
          <w:tab w:val="left" w:pos="963"/>
        </w:tabs>
        <w:spacing w:after="0" w:line="334" w:lineRule="auto"/>
        <w:ind w:firstLine="560"/>
        <w:jc w:val="both"/>
      </w:pPr>
      <w:r>
        <w:t>při splátkovém prodeji;</w:t>
      </w:r>
    </w:p>
    <w:p w:rsidR="00215B20" w:rsidRDefault="00FD0AA3">
      <w:pPr>
        <w:pStyle w:val="Zkladntext1"/>
        <w:numPr>
          <w:ilvl w:val="0"/>
          <w:numId w:val="30"/>
        </w:numPr>
        <w:shd w:val="clear" w:color="auto" w:fill="auto"/>
        <w:tabs>
          <w:tab w:val="left" w:pos="963"/>
        </w:tabs>
        <w:spacing w:after="0" w:line="334" w:lineRule="auto"/>
        <w:ind w:firstLine="560"/>
        <w:jc w:val="both"/>
      </w:pPr>
      <w:r>
        <w:t xml:space="preserve">na </w:t>
      </w:r>
      <w:r>
        <w:rPr>
          <w:lang w:val="en-US" w:eastAsia="en-US" w:bidi="en-US"/>
        </w:rPr>
        <w:t>roaming;</w:t>
      </w:r>
    </w:p>
    <w:p w:rsidR="00215B20" w:rsidRDefault="00FD0AA3">
      <w:pPr>
        <w:pStyle w:val="Zkladntext1"/>
        <w:numPr>
          <w:ilvl w:val="0"/>
          <w:numId w:val="30"/>
        </w:numPr>
        <w:shd w:val="clear" w:color="auto" w:fill="auto"/>
        <w:tabs>
          <w:tab w:val="left" w:pos="963"/>
        </w:tabs>
        <w:spacing w:after="220" w:line="334" w:lineRule="auto"/>
        <w:ind w:left="980" w:hanging="400"/>
        <w:jc w:val="both"/>
      </w:pPr>
      <w:r>
        <w:t xml:space="preserve">mimořádnou zálohu, </w:t>
      </w:r>
      <w:r w:rsidRPr="00920265">
        <w:rPr>
          <w:lang w:eastAsia="en-US" w:bidi="en-US"/>
        </w:rPr>
        <w:t xml:space="preserve">nastane-li </w:t>
      </w:r>
      <w:r>
        <w:t xml:space="preserve">některá </w:t>
      </w:r>
      <w:r w:rsidRPr="00920265">
        <w:rPr>
          <w:lang w:eastAsia="en-US" w:bidi="en-US"/>
        </w:rPr>
        <w:t xml:space="preserve">ze </w:t>
      </w:r>
      <w:r>
        <w:t>skuteč</w:t>
      </w:r>
      <w:r>
        <w:softHyphen/>
        <w:t xml:space="preserve">ností uvedených </w:t>
      </w:r>
      <w:r w:rsidRPr="00920265">
        <w:rPr>
          <w:lang w:eastAsia="en-US" w:bidi="en-US"/>
        </w:rPr>
        <w:t xml:space="preserve">v </w:t>
      </w:r>
      <w:r>
        <w:t xml:space="preserve">čl. </w:t>
      </w:r>
      <w:r w:rsidRPr="00920265">
        <w:rPr>
          <w:lang w:eastAsia="en-US" w:bidi="en-US"/>
        </w:rPr>
        <w:t xml:space="preserve">3.4 bodech (i) </w:t>
      </w:r>
      <w:r>
        <w:t xml:space="preserve">až </w:t>
      </w:r>
      <w:r w:rsidRPr="00920265">
        <w:rPr>
          <w:lang w:eastAsia="en-US" w:bidi="en-US"/>
        </w:rPr>
        <w:t xml:space="preserve">(v), </w:t>
      </w:r>
      <w:r>
        <w:t xml:space="preserve">přičemž maximální výše mimořádné zálohy činí </w:t>
      </w:r>
      <w:r w:rsidRPr="00920265">
        <w:rPr>
          <w:lang w:eastAsia="en-US" w:bidi="en-US"/>
        </w:rPr>
        <w:t xml:space="preserve">zpravidla </w:t>
      </w:r>
      <w:r>
        <w:t>čtyřnásobek výše Vašeho obvyklého Vyúčtování.</w:t>
      </w:r>
    </w:p>
    <w:p w:rsidR="00215B20" w:rsidRDefault="00FD0AA3">
      <w:pPr>
        <w:pStyle w:val="Zkladntext1"/>
        <w:shd w:val="clear" w:color="auto" w:fill="auto"/>
        <w:spacing w:after="220" w:line="334" w:lineRule="auto"/>
        <w:ind w:left="560" w:firstLine="20"/>
        <w:jc w:val="both"/>
      </w:pPr>
      <w:r w:rsidRPr="00920265">
        <w:rPr>
          <w:lang w:eastAsia="en-US" w:bidi="en-US"/>
        </w:rPr>
        <w:t xml:space="preserve">Pokud </w:t>
      </w:r>
      <w:r>
        <w:t xml:space="preserve">řádně </w:t>
      </w:r>
      <w:r w:rsidRPr="00920265">
        <w:rPr>
          <w:lang w:eastAsia="en-US" w:bidi="en-US"/>
        </w:rPr>
        <w:t xml:space="preserve">a </w:t>
      </w:r>
      <w:r>
        <w:t xml:space="preserve">včas platíte Vyúčtování </w:t>
      </w:r>
      <w:r w:rsidRPr="00920265">
        <w:rPr>
          <w:lang w:eastAsia="en-US" w:bidi="en-US"/>
        </w:rPr>
        <w:t xml:space="preserve">a </w:t>
      </w:r>
      <w:r>
        <w:t>nehrozí žádné fi</w:t>
      </w:r>
      <w:r>
        <w:softHyphen/>
        <w:t xml:space="preserve">nanční </w:t>
      </w:r>
      <w:r w:rsidRPr="00920265">
        <w:rPr>
          <w:lang w:eastAsia="en-US" w:bidi="en-US"/>
        </w:rPr>
        <w:t xml:space="preserve">riziko, </w:t>
      </w:r>
      <w:r>
        <w:t xml:space="preserve">Operátor Vám zálohy vrátí snížením částky </w:t>
      </w:r>
      <w:r w:rsidRPr="00920265">
        <w:rPr>
          <w:lang w:eastAsia="en-US" w:bidi="en-US"/>
        </w:rPr>
        <w:t xml:space="preserve">k </w:t>
      </w:r>
      <w:r>
        <w:t xml:space="preserve">úhradě: </w:t>
      </w:r>
      <w:r w:rsidRPr="00920265">
        <w:rPr>
          <w:lang w:eastAsia="en-US" w:bidi="en-US"/>
        </w:rPr>
        <w:t xml:space="preserve">do v </w:t>
      </w:r>
      <w:r>
        <w:t xml:space="preserve">pořadí čtvrtého Vyúčtování </w:t>
      </w:r>
      <w:r w:rsidRPr="00920265">
        <w:rPr>
          <w:lang w:eastAsia="en-US" w:bidi="en-US"/>
        </w:rPr>
        <w:t xml:space="preserve">od data </w:t>
      </w:r>
      <w:r>
        <w:t xml:space="preserve">vybrání zálohy </w:t>
      </w:r>
      <w:r w:rsidRPr="00920265">
        <w:rPr>
          <w:lang w:eastAsia="en-US" w:bidi="en-US"/>
        </w:rPr>
        <w:t xml:space="preserve">v </w:t>
      </w:r>
      <w:r>
        <w:t xml:space="preserve">případě zálohy </w:t>
      </w:r>
      <w:r w:rsidRPr="00920265">
        <w:rPr>
          <w:lang w:eastAsia="en-US" w:bidi="en-US"/>
        </w:rPr>
        <w:t>ad (i) nebo (i</w:t>
      </w:r>
      <w:r w:rsidRPr="00920265">
        <w:rPr>
          <w:lang w:eastAsia="en-US" w:bidi="en-US"/>
        </w:rPr>
        <w:t xml:space="preserve">ii), do </w:t>
      </w:r>
      <w:r>
        <w:t>sedmého vy</w:t>
      </w:r>
      <w:r>
        <w:softHyphen/>
        <w:t xml:space="preserve">staveného Vyúčtování </w:t>
      </w:r>
      <w:r w:rsidRPr="00920265">
        <w:rPr>
          <w:lang w:eastAsia="en-US" w:bidi="en-US"/>
        </w:rPr>
        <w:t xml:space="preserve">od data </w:t>
      </w:r>
      <w:r>
        <w:t xml:space="preserve">vybrání zálohy </w:t>
      </w:r>
      <w:r w:rsidRPr="00920265">
        <w:rPr>
          <w:lang w:eastAsia="en-US" w:bidi="en-US"/>
        </w:rPr>
        <w:t xml:space="preserve">v </w:t>
      </w:r>
      <w:r>
        <w:t xml:space="preserve">případě zálohy </w:t>
      </w:r>
      <w:r w:rsidRPr="00920265">
        <w:rPr>
          <w:lang w:eastAsia="en-US" w:bidi="en-US"/>
        </w:rPr>
        <w:t xml:space="preserve">ad (ii) nebo (v), do </w:t>
      </w:r>
      <w:r>
        <w:t xml:space="preserve">bezprostředně následujícího Vyúčtování Služeb </w:t>
      </w:r>
      <w:r w:rsidRPr="00920265">
        <w:rPr>
          <w:lang w:eastAsia="en-US" w:bidi="en-US"/>
        </w:rPr>
        <w:t xml:space="preserve">bez </w:t>
      </w:r>
      <w:r>
        <w:t xml:space="preserve">zbytečného </w:t>
      </w:r>
      <w:r w:rsidRPr="00920265">
        <w:rPr>
          <w:lang w:eastAsia="en-US" w:bidi="en-US"/>
        </w:rPr>
        <w:t xml:space="preserve">odkladu po </w:t>
      </w:r>
      <w:r>
        <w:t xml:space="preserve">zaplacení všech Vyúčtování, </w:t>
      </w:r>
      <w:r w:rsidRPr="00920265">
        <w:rPr>
          <w:lang w:eastAsia="en-US" w:bidi="en-US"/>
        </w:rPr>
        <w:t xml:space="preserve">ve </w:t>
      </w:r>
      <w:r>
        <w:t xml:space="preserve">kterých </w:t>
      </w:r>
      <w:r w:rsidRPr="00920265">
        <w:rPr>
          <w:lang w:eastAsia="en-US" w:bidi="en-US"/>
        </w:rPr>
        <w:t xml:space="preserve">se projevily </w:t>
      </w:r>
      <w:r>
        <w:t xml:space="preserve">události, jež </w:t>
      </w:r>
      <w:r w:rsidRPr="00920265">
        <w:rPr>
          <w:lang w:eastAsia="en-US" w:bidi="en-US"/>
        </w:rPr>
        <w:t xml:space="preserve">byly </w:t>
      </w:r>
      <w:r>
        <w:t>důvodem mimo</w:t>
      </w:r>
      <w:r>
        <w:t xml:space="preserve">řádné zálohy, </w:t>
      </w:r>
      <w:r w:rsidRPr="00920265">
        <w:rPr>
          <w:lang w:eastAsia="en-US" w:bidi="en-US"/>
        </w:rPr>
        <w:t xml:space="preserve">v </w:t>
      </w:r>
      <w:r>
        <w:t xml:space="preserve">případě zálohy </w:t>
      </w:r>
      <w:r w:rsidRPr="00920265">
        <w:rPr>
          <w:lang w:eastAsia="en-US" w:bidi="en-US"/>
        </w:rPr>
        <w:t>ad (iv).</w:t>
      </w:r>
    </w:p>
    <w:p w:rsidR="00215B20" w:rsidRDefault="00FD0AA3">
      <w:pPr>
        <w:pStyle w:val="Nadpis60"/>
        <w:keepNext/>
        <w:keepLines/>
        <w:numPr>
          <w:ilvl w:val="0"/>
          <w:numId w:val="27"/>
        </w:numPr>
        <w:shd w:val="clear" w:color="auto" w:fill="auto"/>
        <w:tabs>
          <w:tab w:val="left" w:pos="568"/>
        </w:tabs>
        <w:spacing w:after="0" w:line="334" w:lineRule="auto"/>
        <w:jc w:val="both"/>
      </w:pPr>
      <w:bookmarkStart w:id="209" w:name="bookmark208"/>
      <w:bookmarkStart w:id="210" w:name="bookmark209"/>
      <w:r>
        <w:rPr>
          <w:color w:val="E4087E"/>
        </w:rPr>
        <w:t>Síť a pokrytí</w:t>
      </w:r>
      <w:bookmarkEnd w:id="209"/>
      <w:bookmarkEnd w:id="210"/>
    </w:p>
    <w:p w:rsidR="00215B20" w:rsidRDefault="00FD0AA3">
      <w:pPr>
        <w:pStyle w:val="Zkladntext1"/>
        <w:shd w:val="clear" w:color="auto" w:fill="auto"/>
        <w:spacing w:after="220" w:line="334" w:lineRule="auto"/>
        <w:ind w:left="560" w:firstLine="20"/>
        <w:jc w:val="both"/>
        <w:sectPr w:rsidR="00215B20">
          <w:pgSz w:w="11900" w:h="16840"/>
          <w:pgMar w:top="2214" w:right="814" w:bottom="1364" w:left="1371" w:header="0" w:footer="3" w:gutter="0"/>
          <w:cols w:num="2" w:space="720" w:equalWidth="0">
            <w:col w:w="4363" w:space="442"/>
            <w:col w:w="4910"/>
          </w:cols>
          <w:noEndnote/>
          <w:docGrid w:linePitch="360"/>
        </w:sectPr>
      </w:pPr>
      <w:r>
        <w:t>Operátor se zavazuje provádět opravy a úpravy sítě a její údržbu rychle a efektivně, v co nejkratším čase s ohledem</w:t>
      </w:r>
    </w:p>
    <w:p w:rsidR="00215B20" w:rsidRDefault="00FD0AA3">
      <w:pPr>
        <w:pStyle w:val="Zkladntext1"/>
        <w:shd w:val="clear" w:color="auto" w:fill="auto"/>
        <w:spacing w:after="220" w:line="334" w:lineRule="auto"/>
        <w:ind w:left="560" w:firstLine="20"/>
        <w:jc w:val="both"/>
      </w:pPr>
      <w:r>
        <w:lastRenderedPageBreak/>
        <w:t>na technické a procesní možnosti a druh závady, úpra</w:t>
      </w:r>
      <w:r>
        <w:t>vy či údržby. Provádění těchto činností se může výjimečně pro</w:t>
      </w:r>
      <w:r>
        <w:softHyphen/>
        <w:t>jevit dočasným snížením dostupnosti Služeb, o čemž bude Operátor zákazníky přiměřeným způsobem a bez zbyteč</w:t>
      </w:r>
      <w:r>
        <w:softHyphen/>
        <w:t>ného odkladu informovat.</w:t>
      </w:r>
    </w:p>
    <w:p w:rsidR="00215B20" w:rsidRDefault="00FD0AA3">
      <w:pPr>
        <w:pStyle w:val="Zkladntext1"/>
        <w:shd w:val="clear" w:color="auto" w:fill="auto"/>
        <w:spacing w:after="220" w:line="334" w:lineRule="auto"/>
        <w:ind w:left="560" w:firstLine="20"/>
        <w:jc w:val="both"/>
      </w:pPr>
      <w:r>
        <w:t>Oblasti pokryté signálem pro poskytování mobilních Slu</w:t>
      </w:r>
      <w:r>
        <w:softHyphen/>
        <w:t>žeb js</w:t>
      </w:r>
      <w:r>
        <w:t xml:space="preserve">ou graficky znázorněny v orientační aktualizované mapě na </w:t>
      </w:r>
      <w:hyperlink r:id="rId127" w:history="1">
        <w:r w:rsidRPr="00920265">
          <w:rPr>
            <w:color w:val="E4087E"/>
            <w:u w:val="single"/>
            <w:lang w:eastAsia="en-US" w:bidi="en-US"/>
          </w:rPr>
          <w:t>www.t-mobile.cz</w:t>
        </w:r>
      </w:hyperlink>
      <w:r w:rsidRPr="00920265">
        <w:rPr>
          <w:color w:val="E4087E"/>
          <w:lang w:eastAsia="en-US" w:bidi="en-US"/>
        </w:rPr>
        <w:t xml:space="preserve">. </w:t>
      </w:r>
      <w:r>
        <w:t>Vzhledem k charakteru šíření rádiových vln a k omezeným možnostem grafického zob</w:t>
      </w:r>
      <w:r>
        <w:softHyphen/>
        <w:t xml:space="preserve">razení mapy Operátor nezaručuje, že v oblastech dle mapy </w:t>
      </w:r>
      <w:r>
        <w:t>pokrytých signálem budete mít vždy připojení k síti. Nepo</w:t>
      </w:r>
      <w:r>
        <w:softHyphen/>
        <w:t>krytí některých částí území České republiky signálem není vadou plnění na straně Operátora a nezakládá Vaše právo na odstoupení od Smlouvy.</w:t>
      </w:r>
    </w:p>
    <w:p w:rsidR="00215B20" w:rsidRDefault="00FD0AA3">
      <w:pPr>
        <w:pStyle w:val="Nadpis60"/>
        <w:keepNext/>
        <w:keepLines/>
        <w:numPr>
          <w:ilvl w:val="0"/>
          <w:numId w:val="27"/>
        </w:numPr>
        <w:shd w:val="clear" w:color="auto" w:fill="auto"/>
        <w:tabs>
          <w:tab w:val="left" w:pos="571"/>
        </w:tabs>
        <w:spacing w:after="0" w:line="334" w:lineRule="auto"/>
        <w:jc w:val="both"/>
      </w:pPr>
      <w:bookmarkStart w:id="211" w:name="bookmark210"/>
      <w:bookmarkStart w:id="212" w:name="bookmark211"/>
      <w:r>
        <w:rPr>
          <w:color w:val="E4087E"/>
        </w:rPr>
        <w:t>Odpovědnost a opatření proti zneužití Služeb</w:t>
      </w:r>
      <w:bookmarkEnd w:id="211"/>
      <w:bookmarkEnd w:id="212"/>
    </w:p>
    <w:p w:rsidR="00215B20" w:rsidRDefault="00FD0AA3">
      <w:pPr>
        <w:pStyle w:val="Zkladntext1"/>
        <w:numPr>
          <w:ilvl w:val="1"/>
          <w:numId w:val="27"/>
        </w:numPr>
        <w:shd w:val="clear" w:color="auto" w:fill="auto"/>
        <w:tabs>
          <w:tab w:val="left" w:pos="571"/>
        </w:tabs>
        <w:spacing w:after="0" w:line="334" w:lineRule="auto"/>
        <w:jc w:val="both"/>
      </w:pPr>
      <w:r>
        <w:t>Opatření prot</w:t>
      </w:r>
      <w:r>
        <w:t>i zneužití Služeb</w:t>
      </w:r>
    </w:p>
    <w:p w:rsidR="00215B20" w:rsidRDefault="00FD0AA3">
      <w:pPr>
        <w:pStyle w:val="Zkladntext1"/>
        <w:shd w:val="clear" w:color="auto" w:fill="auto"/>
        <w:spacing w:after="220" w:line="334" w:lineRule="auto"/>
        <w:ind w:left="560" w:firstLine="20"/>
        <w:jc w:val="both"/>
      </w:pPr>
      <w:r>
        <w:t>Operátor je oprávněn provést změnu Vašeho nastavení SIM karty, bezpečnostních prvků (zejména hesel či bez</w:t>
      </w:r>
      <w:r>
        <w:softHyphen/>
        <w:t>pečnostních kódů), e-mailové adresy či jiných nastavení Služeb i bez Vašeho souhlasu v případě, že je toto opatře</w:t>
      </w:r>
      <w:r>
        <w:softHyphen/>
        <w:t>ní ve Váš prospěch</w:t>
      </w:r>
      <w:r>
        <w:t xml:space="preserve"> nebo je nutné k řádnému poskytování Služeb (např. je-li to nutné k zajištění funkčnosti Služeb či v případě důvodného podezření na zneužití Služby). Přijměte prosím veškerá potřebná opatření k ochraně svých bezpečnostních prvků (zejména hesla pro komuni</w:t>
      </w:r>
      <w:r>
        <w:softHyphen/>
        <w:t>k</w:t>
      </w:r>
      <w:r>
        <w:t xml:space="preserve">aci s Operátorem, do Aplikace nebo do Samoobsluhy či bezpečnostní kódy) a nesdělujte je třetí osobě. V případě důvodného podezření na jejich prozrazení je neprodleně změňte. V případě, že zjistíte ztrátu, odcizení či zneužití své SIM karty nebo kterékoliv </w:t>
      </w:r>
      <w:r>
        <w:t>své Služby nebo svých bezpeč</w:t>
      </w:r>
      <w:r>
        <w:softHyphen/>
        <w:t>nostních prvků, neprodleně o této skutečnosti informujte Operátora prostřednictvím zákaznického centra, které nejpozději do dvou hodin po přijetí Vašeho oznámení učiní opatření k zamezení oznámeného zneužití SIM karty, bez</w:t>
      </w:r>
      <w:r>
        <w:softHyphen/>
        <w:t>pečn</w:t>
      </w:r>
      <w:r>
        <w:t>ostních prvků nebo Služby. Pokud Operátor neučiní ve dvouhodinové lhůtě opatření dle předchozí věty, odpo</w:t>
      </w:r>
      <w:r>
        <w:softHyphen/>
        <w:t>vídá za újmu, která Vám v důsledku nesplnění této povin</w:t>
      </w:r>
      <w:r>
        <w:softHyphen/>
        <w:t>nosti vznikla. Za ostatní újmy vzniklé v důsledku ztráty, od</w:t>
      </w:r>
      <w:r>
        <w:softHyphen/>
        <w:t>cizení či zneužití Vaší SIM karty</w:t>
      </w:r>
      <w:r>
        <w:t xml:space="preserve"> nebo kterékoliv Vaší Služby nebo Vašich bezpečnostních prvků však odpovídáte Vy.</w:t>
      </w:r>
    </w:p>
    <w:p w:rsidR="00215B20" w:rsidRDefault="00FD0AA3">
      <w:pPr>
        <w:pStyle w:val="Zkladntext1"/>
        <w:shd w:val="clear" w:color="auto" w:fill="auto"/>
        <w:spacing w:after="220" w:line="334" w:lineRule="auto"/>
        <w:ind w:left="560" w:firstLine="20"/>
        <w:jc w:val="both"/>
      </w:pPr>
      <w:r>
        <w:t>Bez smlouvy o propojení nesmíte směrovat provoz do sítě Operátora (např. směrování hovorů přes GSM brány). Pokud porušíte zákaz směrovat provoz do sítě Operáto</w:t>
      </w:r>
      <w:r>
        <w:softHyphen/>
        <w:t>ra, bude to Op</w:t>
      </w:r>
      <w:r>
        <w:t>erátor považovat za podstatné porušení Smlouvy a Vy jste povinen/povinna zaplatit Operátorovi smluvní pokutu ve výši 10 000 Kč za každé jednotlivé po</w:t>
      </w:r>
      <w:r>
        <w:softHyphen/>
        <w:t>rušení tohoto zákazu (v pevné síti) či za každou SIM kartu, kterou máte aktivní v den, kdy je takové směro</w:t>
      </w:r>
      <w:r>
        <w:t>vání poprvé prokázáno (v mobilní síti).</w:t>
      </w:r>
    </w:p>
    <w:p w:rsidR="00215B20" w:rsidRDefault="00FD0AA3">
      <w:pPr>
        <w:pStyle w:val="Zkladntext1"/>
        <w:numPr>
          <w:ilvl w:val="1"/>
          <w:numId w:val="27"/>
        </w:numPr>
        <w:shd w:val="clear" w:color="auto" w:fill="auto"/>
        <w:tabs>
          <w:tab w:val="left" w:pos="571"/>
        </w:tabs>
        <w:spacing w:after="0" w:line="334" w:lineRule="auto"/>
        <w:jc w:val="both"/>
      </w:pPr>
      <w:r>
        <w:t>Odpovědnost za újmu</w:t>
      </w:r>
    </w:p>
    <w:p w:rsidR="00215B20" w:rsidRDefault="00FD0AA3">
      <w:pPr>
        <w:pStyle w:val="Zkladntext1"/>
        <w:shd w:val="clear" w:color="auto" w:fill="auto"/>
        <w:spacing w:after="220" w:line="334" w:lineRule="auto"/>
        <w:ind w:left="560" w:firstLine="20"/>
        <w:jc w:val="both"/>
      </w:pPr>
      <w:r>
        <w:t>Mějte prosím na paměti, že odpovídáte za jednání jakých</w:t>
      </w:r>
      <w:r>
        <w:softHyphen/>
        <w:t>koliv třetích osob, kterým jste umožnil/a užívat Služby. Odpovídáte rovněž za nedostatečnou ochranu svých bez</w:t>
      </w:r>
      <w:r>
        <w:softHyphen/>
        <w:t xml:space="preserve">pečnostních prvků či zneužití </w:t>
      </w:r>
      <w:r>
        <w:t>Služeb v případě, že jste ne- využil/a možnosti jejich zabezpečení.</w:t>
      </w:r>
    </w:p>
    <w:p w:rsidR="00215B20" w:rsidRDefault="00FD0AA3">
      <w:pPr>
        <w:pStyle w:val="Zkladntext1"/>
        <w:shd w:val="clear" w:color="auto" w:fill="auto"/>
        <w:spacing w:after="220" w:line="334" w:lineRule="auto"/>
        <w:ind w:left="560"/>
        <w:jc w:val="both"/>
      </w:pPr>
      <w:r>
        <w:t xml:space="preserve">Operátor neodpovídá za kvalitu hovorů uskutečněných </w:t>
      </w:r>
      <w:r>
        <w:lastRenderedPageBreak/>
        <w:t>prostřednictvím počítačové sítě Internet, za plnění třetích stran ani za Vaše data uložená na SIM kartě či v jiných zaří</w:t>
      </w:r>
      <w:r>
        <w:softHyphen/>
        <w:t xml:space="preserve">zeních, která </w:t>
      </w:r>
      <w:r>
        <w:t>užíváte při poskytování Služeb.</w:t>
      </w:r>
    </w:p>
    <w:p w:rsidR="00215B20" w:rsidRDefault="00FD0AA3">
      <w:pPr>
        <w:pStyle w:val="Zkladntext1"/>
        <w:shd w:val="clear" w:color="auto" w:fill="auto"/>
        <w:spacing w:after="220" w:line="334" w:lineRule="auto"/>
        <w:ind w:left="560"/>
        <w:jc w:val="both"/>
      </w:pPr>
      <w:r>
        <w:t>Pokud jste mohl/a Službu využít jen částečně nebo ji ne</w:t>
      </w:r>
      <w:r>
        <w:softHyphen/>
        <w:t>bylo možno využít vůbec pro závadu technického nebo provozního charakteru na straně Operátora nebo z důvodu nedodržení kvality Služeb, je Operátor povinen přiměřeně sní</w:t>
      </w:r>
      <w:r>
        <w:t>žit cenu Služby nebo po dohodě s Vámi zajistit poskyt</w:t>
      </w:r>
      <w:r>
        <w:softHyphen/>
        <w:t>nutí Služby náhradním způsobem. V případě závad zajistí Operátor rovněž odstranění závady. V těchto případech nemáte právo na náhradu újmy. Úhrnná předvídatelná újma, která by Vám mohla vzniknout jako n</w:t>
      </w:r>
      <w:r>
        <w:t>ásledek poru</w:t>
      </w:r>
      <w:r>
        <w:softHyphen/>
        <w:t>šení povinností Operátorem, může činit maximálně část</w:t>
      </w:r>
      <w:r>
        <w:softHyphen/>
        <w:t>ku 120 000 Kč. Právo na náhradu újmy Operátor uspokojí snížením částky k úhradě v následujících Vyúčtováních. Jiným způsobem Operátor právo na náhradu újmy uspo</w:t>
      </w:r>
      <w:r>
        <w:softHyphen/>
        <w:t>kojí pouze na základě Vaší p</w:t>
      </w:r>
      <w:r>
        <w:t>ísemné výzvy. Nedohodne-li se s Vámi Operátor jinak, nahrazuje se veškerá újma způsobe</w:t>
      </w:r>
      <w:r>
        <w:softHyphen/>
        <w:t>ná v souvislosti s plněním dle Smlouvy v penězích. Vylučuje se povinnost Operátora nahradit Vám újmu, kterou nebylo možno v době uzavření Smlouvy rozumně předvídat. Jsou</w:t>
      </w:r>
      <w:r>
        <w:t>- -li sjednány smluvní pokuty, právo Operátora domáhat se náhrady újmy není zaplacením smluvních pokut dotčeno.</w:t>
      </w:r>
    </w:p>
    <w:p w:rsidR="00215B20" w:rsidRDefault="00FD0AA3">
      <w:pPr>
        <w:pStyle w:val="Nadpis60"/>
        <w:keepNext/>
        <w:keepLines/>
        <w:numPr>
          <w:ilvl w:val="0"/>
          <w:numId w:val="27"/>
        </w:numPr>
        <w:shd w:val="clear" w:color="auto" w:fill="auto"/>
        <w:tabs>
          <w:tab w:val="left" w:pos="565"/>
        </w:tabs>
        <w:spacing w:after="0" w:line="334" w:lineRule="auto"/>
        <w:jc w:val="both"/>
      </w:pPr>
      <w:bookmarkStart w:id="213" w:name="bookmark212"/>
      <w:bookmarkStart w:id="214" w:name="bookmark213"/>
      <w:r>
        <w:rPr>
          <w:color w:val="E4087E"/>
        </w:rPr>
        <w:t>Reklamace</w:t>
      </w:r>
      <w:bookmarkEnd w:id="213"/>
      <w:bookmarkEnd w:id="214"/>
    </w:p>
    <w:p w:rsidR="00215B20" w:rsidRDefault="00FD0AA3">
      <w:pPr>
        <w:pStyle w:val="Zkladntext1"/>
        <w:shd w:val="clear" w:color="auto" w:fill="auto"/>
        <w:spacing w:after="220" w:line="334" w:lineRule="auto"/>
        <w:ind w:left="560"/>
        <w:jc w:val="both"/>
      </w:pPr>
      <w:r>
        <w:rPr>
          <w:b/>
          <w:bCs/>
        </w:rPr>
        <w:t xml:space="preserve">Reklamaci vystaveného Vyúčtování můžete uplatnit do 2 měsíců od doručení Vyúčtování a reklamaci poskytnuté Služby </w:t>
      </w:r>
      <w:r>
        <w:t>(např. poskytnutý ro</w:t>
      </w:r>
      <w:r>
        <w:t>zsah či její kvalitu) do 2 měsíců od poskytnutí Služby, a to vyplněním reklamačního for</w:t>
      </w:r>
      <w:r>
        <w:softHyphen/>
        <w:t xml:space="preserve">muláře na </w:t>
      </w:r>
      <w:hyperlink r:id="rId128" w:history="1">
        <w:r w:rsidRPr="00920265">
          <w:rPr>
            <w:color w:val="E4087E"/>
            <w:u w:val="single"/>
            <w:lang w:eastAsia="en-US" w:bidi="en-US"/>
          </w:rPr>
          <w:t>www.t-mobile.cz</w:t>
        </w:r>
      </w:hyperlink>
      <w:r w:rsidRPr="00920265">
        <w:rPr>
          <w:color w:val="E4087E"/>
          <w:lang w:eastAsia="en-US" w:bidi="en-US"/>
        </w:rPr>
        <w:t xml:space="preserve">, </w:t>
      </w:r>
      <w:r>
        <w:t xml:space="preserve">případně písemně na adresu Zákaznického centra, e-mailem na adresu </w:t>
      </w:r>
      <w:r w:rsidR="00920265">
        <w:t>xxx</w:t>
      </w:r>
      <w:r>
        <w:rPr>
          <w:color w:val="E4087E"/>
        </w:rPr>
        <w:t xml:space="preserve"> </w:t>
      </w:r>
      <w:r>
        <w:t xml:space="preserve">nebo osobně v </w:t>
      </w:r>
      <w:proofErr w:type="gramStart"/>
      <w:r>
        <w:t>které</w:t>
      </w:r>
      <w:r>
        <w:t>koliv</w:t>
      </w:r>
      <w:proofErr w:type="gramEnd"/>
      <w:r>
        <w:t xml:space="preserve"> T-Mobile prodejně. </w:t>
      </w:r>
      <w:r>
        <w:rPr>
          <w:u w:val="single"/>
        </w:rPr>
        <w:t>I v přípa</w:t>
      </w:r>
      <w:r>
        <w:rPr>
          <w:u w:val="single"/>
        </w:rPr>
        <w:softHyphen/>
        <w:t>dě, že podáte reklamaci, musíte řádně uhradit reklamo</w:t>
      </w:r>
      <w:r>
        <w:rPr>
          <w:u w:val="single"/>
        </w:rPr>
        <w:softHyphen/>
        <w:t>vané Vyúčtování</w:t>
      </w:r>
      <w:r>
        <w:t>. Operátor reklamaci vyřídí bezodkladně, nejpozději Vás však informuje do 1 měsíce ode dne jejího doručení. V případě, že je třeba projednat reklamaci s</w:t>
      </w:r>
      <w:r>
        <w:t>e zahraničním provozovatelem, obdržíte vyřízení reklamace do 2 měsíců. Pokud s řešením reklamace služby elektro</w:t>
      </w:r>
      <w:r>
        <w:softHyphen/>
        <w:t>nických komunikací nebudete souhlasit, můžete do jed</w:t>
      </w:r>
      <w:r>
        <w:softHyphen/>
        <w:t>noho měsíce od vyřízení reklamace uplatnit námitky proti vyřízení reklamace u Českého telek</w:t>
      </w:r>
      <w:r>
        <w:t>omunikačního úřadu.</w:t>
      </w:r>
    </w:p>
    <w:p w:rsidR="00215B20" w:rsidRDefault="00FD0AA3">
      <w:pPr>
        <w:pStyle w:val="Zkladntext1"/>
        <w:shd w:val="clear" w:color="auto" w:fill="auto"/>
        <w:spacing w:after="220" w:line="334" w:lineRule="auto"/>
        <w:ind w:left="560"/>
        <w:jc w:val="both"/>
      </w:pPr>
      <w:r>
        <w:t>Reklamaci poskytnutých Služeb třetích stran či Mobilních plateb můžete uplatnit u poskytovatele nebo zprostředko</w:t>
      </w:r>
      <w:r>
        <w:softHyphen/>
        <w:t>vatele dané služby.</w:t>
      </w:r>
    </w:p>
    <w:p w:rsidR="00215B20" w:rsidRDefault="00FD0AA3">
      <w:pPr>
        <w:pStyle w:val="Nadpis60"/>
        <w:keepNext/>
        <w:keepLines/>
        <w:numPr>
          <w:ilvl w:val="0"/>
          <w:numId w:val="27"/>
        </w:numPr>
        <w:shd w:val="clear" w:color="auto" w:fill="auto"/>
        <w:tabs>
          <w:tab w:val="left" w:pos="565"/>
        </w:tabs>
        <w:spacing w:after="0" w:line="334" w:lineRule="auto"/>
        <w:jc w:val="both"/>
      </w:pPr>
      <w:bookmarkStart w:id="215" w:name="bookmark214"/>
      <w:bookmarkStart w:id="216" w:name="bookmark215"/>
      <w:r>
        <w:rPr>
          <w:color w:val="E4087E"/>
        </w:rPr>
        <w:t>Komunikace stran</w:t>
      </w:r>
      <w:bookmarkEnd w:id="215"/>
      <w:bookmarkEnd w:id="216"/>
    </w:p>
    <w:p w:rsidR="00215B20" w:rsidRDefault="00FD0AA3">
      <w:pPr>
        <w:pStyle w:val="Zkladntext1"/>
        <w:numPr>
          <w:ilvl w:val="1"/>
          <w:numId w:val="27"/>
        </w:numPr>
        <w:shd w:val="clear" w:color="auto" w:fill="auto"/>
        <w:tabs>
          <w:tab w:val="left" w:pos="565"/>
        </w:tabs>
        <w:spacing w:after="0" w:line="334" w:lineRule="auto"/>
        <w:jc w:val="both"/>
      </w:pPr>
      <w:r>
        <w:t>Kontaktní místa</w:t>
      </w:r>
    </w:p>
    <w:p w:rsidR="00215B20" w:rsidRDefault="00FD0AA3">
      <w:pPr>
        <w:pStyle w:val="Zkladntext1"/>
        <w:shd w:val="clear" w:color="auto" w:fill="auto"/>
        <w:spacing w:after="220" w:line="334" w:lineRule="auto"/>
        <w:ind w:left="560"/>
        <w:jc w:val="both"/>
      </w:pPr>
      <w:r>
        <w:t xml:space="preserve">Pro komunikaci s Operátorem využívejte prosím kontaktní formulář umístěný na </w:t>
      </w:r>
      <w:hyperlink r:id="rId129" w:history="1">
        <w:r w:rsidRPr="00920265">
          <w:rPr>
            <w:b/>
            <w:bCs/>
            <w:color w:val="E4087E"/>
            <w:u w:val="single"/>
            <w:lang w:eastAsia="en-US" w:bidi="en-US"/>
          </w:rPr>
          <w:t>www.t-mobile.cz/kontakty</w:t>
        </w:r>
      </w:hyperlink>
      <w:r w:rsidRPr="00920265">
        <w:rPr>
          <w:color w:val="E4087E"/>
          <w:lang w:eastAsia="en-US" w:bidi="en-US"/>
        </w:rPr>
        <w:t xml:space="preserve">, </w:t>
      </w:r>
      <w:proofErr w:type="gramStart"/>
      <w:r>
        <w:t>kterou</w:t>
      </w:r>
      <w:r>
        <w:softHyphen/>
        <w:t>koliv</w:t>
      </w:r>
      <w:proofErr w:type="gramEnd"/>
      <w:r>
        <w:t xml:space="preserve"> T-Mobile prodejnu anebo v případě, že jste Smlou</w:t>
      </w:r>
      <w:r>
        <w:softHyphen/>
        <w:t>vu uzavřel v postavení spotřebitele, také inf</w:t>
      </w:r>
      <w:r>
        <w:t xml:space="preserve">olinku </w:t>
      </w:r>
      <w:r w:rsidR="00920265">
        <w:rPr>
          <w:b/>
          <w:bCs/>
        </w:rPr>
        <w:t>na te</w:t>
      </w:r>
      <w:r w:rsidR="00920265">
        <w:rPr>
          <w:b/>
          <w:bCs/>
        </w:rPr>
        <w:softHyphen/>
        <w:t>lefonním čísle</w:t>
      </w:r>
      <w:r>
        <w:t xml:space="preserve">, e-mailovou adresu </w:t>
      </w:r>
      <w:r w:rsidR="00920265">
        <w:t>xxx</w:t>
      </w:r>
      <w:r w:rsidRPr="00920265">
        <w:rPr>
          <w:b/>
          <w:bCs/>
          <w:color w:val="E4087E"/>
          <w:lang w:eastAsia="en-US" w:bidi="en-US"/>
        </w:rPr>
        <w:t xml:space="preserve"> </w:t>
      </w:r>
      <w:r>
        <w:t>a v případě, že jste Smlouvu uzavřel v po</w:t>
      </w:r>
      <w:r>
        <w:softHyphen/>
        <w:t>stavení podnikatele, využijt</w:t>
      </w:r>
      <w:r w:rsidR="00920265">
        <w:t>e infolinku na telefonním čísle</w:t>
      </w:r>
      <w:r>
        <w:rPr>
          <w:b/>
          <w:bCs/>
        </w:rPr>
        <w:t xml:space="preserve"> </w:t>
      </w:r>
      <w:r>
        <w:t>či e-mailovou ad</w:t>
      </w:r>
      <w:r>
        <w:t xml:space="preserve">resu </w:t>
      </w:r>
      <w:hyperlink r:id="rId130" w:history="1"/>
      <w:r w:rsidRPr="00920265">
        <w:rPr>
          <w:b/>
          <w:bCs/>
          <w:color w:val="E4087E"/>
          <w:lang w:eastAsia="en-US" w:bidi="en-US"/>
        </w:rPr>
        <w:t xml:space="preserve"> </w:t>
      </w:r>
      <w:r>
        <w:t>nebo jiné způsoby dle aktuálních podmínek.</w:t>
      </w:r>
    </w:p>
    <w:p w:rsidR="00215B20" w:rsidRDefault="00FD0AA3">
      <w:pPr>
        <w:pStyle w:val="Zkladntext1"/>
        <w:shd w:val="clear" w:color="auto" w:fill="auto"/>
        <w:spacing w:after="220" w:line="334" w:lineRule="auto"/>
        <w:ind w:left="560"/>
        <w:jc w:val="both"/>
      </w:pPr>
      <w:r>
        <w:t xml:space="preserve">Písemnou komunikaci směrujte prosím na </w:t>
      </w:r>
      <w:r>
        <w:rPr>
          <w:b/>
          <w:bCs/>
        </w:rPr>
        <w:t xml:space="preserve">Zákaznické centrum </w:t>
      </w:r>
      <w:r>
        <w:rPr>
          <w:b/>
          <w:bCs/>
        </w:rPr>
        <w:lastRenderedPageBreak/>
        <w:t xml:space="preserve">Praha, Tomíčkova 2144/1, 148 00 Praha 4 </w:t>
      </w:r>
      <w:r>
        <w:t>či do datové schránky Operátora.</w:t>
      </w:r>
    </w:p>
    <w:p w:rsidR="00215B20" w:rsidRDefault="00FD0AA3">
      <w:pPr>
        <w:pStyle w:val="Zkladntext1"/>
        <w:shd w:val="clear" w:color="auto" w:fill="auto"/>
        <w:spacing w:after="220" w:line="334" w:lineRule="auto"/>
        <w:ind w:left="560"/>
        <w:jc w:val="both"/>
      </w:pPr>
      <w:r>
        <w:t>Není-li stanov</w:t>
      </w:r>
      <w:r>
        <w:t>eno jinak, jste prostřednictvím kteréhokoliv kontaktního místa oprávněn/a předkládat návrhy, připo</w:t>
      </w:r>
      <w:r>
        <w:softHyphen/>
        <w:t>mínky a žádosti, požadovat změnu telefonního čísla, ozna</w:t>
      </w:r>
      <w:r>
        <w:softHyphen/>
        <w:t>movat závady v rámci sítě, získávat informace o cenách a Službách a využívat možnosti servisních Slu</w:t>
      </w:r>
      <w:r>
        <w:t>žeb (např. základní nastavení telefonu či jiného zařízení pro využívání Služeb, přenesení kontaktů, výměny SIM karty) a zákaz</w:t>
      </w:r>
      <w:r>
        <w:softHyphen/>
        <w:t>nické podpory či činit jakékoliv jiné úkony související se Smlouvou a Službami.</w:t>
      </w:r>
    </w:p>
    <w:p w:rsidR="00215B20" w:rsidRDefault="00FD0AA3">
      <w:pPr>
        <w:pStyle w:val="Zkladntext1"/>
        <w:numPr>
          <w:ilvl w:val="1"/>
          <w:numId w:val="27"/>
        </w:numPr>
        <w:shd w:val="clear" w:color="auto" w:fill="auto"/>
        <w:tabs>
          <w:tab w:val="left" w:pos="571"/>
        </w:tabs>
        <w:spacing w:after="0" w:line="334" w:lineRule="auto"/>
      </w:pPr>
      <w:r>
        <w:t>Komunikace</w:t>
      </w:r>
    </w:p>
    <w:p w:rsidR="00215B20" w:rsidRDefault="00FD0AA3">
      <w:pPr>
        <w:pStyle w:val="Zkladntext1"/>
        <w:shd w:val="clear" w:color="auto" w:fill="auto"/>
        <w:spacing w:after="220" w:line="334" w:lineRule="auto"/>
        <w:ind w:left="560"/>
        <w:jc w:val="both"/>
      </w:pPr>
      <w:r>
        <w:t>Pro komunikaci s Operátorem, pro přístu</w:t>
      </w:r>
      <w:r>
        <w:t>p do Aplikace či Samoobsluhy si zvolte heslo, které Vám umožní získávat informace o Vašich Službách, výši částek k úhradě, jednot</w:t>
      </w:r>
      <w:r>
        <w:softHyphen/>
        <w:t>livých spojeních apod. a na jehož základě je rovněž možno měnit nastavení některých Služeb. Nezvolíte-li si heslo pro komunika</w:t>
      </w:r>
      <w:r>
        <w:t>ci s Operátorem, nastaví Vám jej Operátor sám a jeho znění Vám oznámí. V případě ztráty či zapomenutí hesla může Operátor využít alternativní způsob Vaší au</w:t>
      </w:r>
      <w:r>
        <w:softHyphen/>
        <w:t>torizace (např. dotazem na Vaše osobní údaje). K prove</w:t>
      </w:r>
      <w:r>
        <w:softHyphen/>
        <w:t>dení některých úkonů po Vás může Operátor po</w:t>
      </w:r>
      <w:r>
        <w:t>žadovat autorizaci prostřednictvím hesla či prokázání totožnosti a je oprávněn v případě, že nebude autorizace řádně pro</w:t>
      </w:r>
      <w:r>
        <w:softHyphen/>
        <w:t>vedena, odmítnout provedení úkonu. Operátor je rovněž oprávněn odmítnout provést požadovaný úkon v případě důvodného podezření, že došl</w:t>
      </w:r>
      <w:r>
        <w:t xml:space="preserve">o ke zneužití </w:t>
      </w:r>
      <w:r>
        <w:rPr>
          <w:u w:val="single"/>
        </w:rPr>
        <w:t>identifikačních prostředků</w:t>
      </w:r>
      <w:r>
        <w:t>.</w:t>
      </w:r>
    </w:p>
    <w:p w:rsidR="00215B20" w:rsidRDefault="00FD0AA3">
      <w:pPr>
        <w:pStyle w:val="Zkladntext1"/>
        <w:shd w:val="clear" w:color="auto" w:fill="auto"/>
        <w:spacing w:after="220" w:line="334" w:lineRule="auto"/>
        <w:ind w:left="560"/>
        <w:jc w:val="both"/>
      </w:pPr>
      <w:r>
        <w:rPr>
          <w:u w:val="single"/>
        </w:rPr>
        <w:t xml:space="preserve">Operátor Vám umožňuje spravovat a sledovat nastavení svých Služeb (vč. nastavení zúčtovacího období) a jiné úkony prostřednictvím účtu Můj T-Mobile. K tomuto účtu je možné přistupovat prostřednictvím Aplikace </w:t>
      </w:r>
      <w:r>
        <w:rPr>
          <w:u w:val="single"/>
        </w:rPr>
        <w:t>stažené do Koncového zařízení (někdy nazývané Operátorem jako „apka“) anebo Samoobsluhy.</w:t>
      </w:r>
    </w:p>
    <w:p w:rsidR="00215B20" w:rsidRDefault="00FD0AA3">
      <w:pPr>
        <w:pStyle w:val="Zkladntext1"/>
        <w:pBdr>
          <w:bottom w:val="single" w:sz="4" w:space="0" w:color="auto"/>
        </w:pBdr>
        <w:shd w:val="clear" w:color="auto" w:fill="auto"/>
        <w:spacing w:after="220" w:line="334" w:lineRule="auto"/>
        <w:ind w:left="560"/>
        <w:jc w:val="both"/>
      </w:pPr>
      <w:r>
        <w:rPr>
          <w:u w:val="single"/>
        </w:rPr>
        <w:t>Operátor Vás může kontaktovat prostřednictvím provozo</w:t>
      </w:r>
      <w:r>
        <w:rPr>
          <w:u w:val="single"/>
        </w:rPr>
        <w:softHyphen/>
        <w:t>vatele poštovních či přepravních služeb (dále jen „pošta“), elektronickou poštou (e-mailem), telefonicky, zasílán</w:t>
      </w:r>
      <w:r>
        <w:rPr>
          <w:u w:val="single"/>
        </w:rPr>
        <w:t>ím zpráv do schránky T-Box, SMS či MMS či datovou schrán</w:t>
      </w:r>
      <w:r>
        <w:rPr>
          <w:u w:val="single"/>
        </w:rPr>
        <w:softHyphen/>
        <w:t>kou. Za písemné se pro účely dodržení formy vyžadované Smlouvou považuje i právní jednání Operátora učiněné elektronickou poštou, SMS, MMS, dodáním do schránky T-Box či datovou zprávou do Vaší datové</w:t>
      </w:r>
      <w:r>
        <w:rPr>
          <w:u w:val="single"/>
        </w:rPr>
        <w:t xml:space="preserve"> schránky. Uvede</w:t>
      </w:r>
      <w:r>
        <w:rPr>
          <w:u w:val="single"/>
        </w:rPr>
        <w:softHyphen/>
        <w:t>te-li více e-mailových adres a nedohodnete-li se s Operá</w:t>
      </w:r>
      <w:r>
        <w:rPr>
          <w:u w:val="single"/>
        </w:rPr>
        <w:softHyphen/>
        <w:t>torem, kterou písemnost má Operátor zasílat na tu kterou z uvedených e-mailových adres, má Operátor právo zaslat předmětnou informaci na kteroukoliv z nich.</w:t>
      </w:r>
    </w:p>
    <w:p w:rsidR="00215B20" w:rsidRDefault="00FD0AA3">
      <w:pPr>
        <w:pStyle w:val="Zkladntext1"/>
        <w:shd w:val="clear" w:color="auto" w:fill="auto"/>
        <w:spacing w:after="220" w:line="334" w:lineRule="auto"/>
        <w:ind w:left="560" w:firstLine="20"/>
        <w:jc w:val="both"/>
      </w:pPr>
      <w:r>
        <w:rPr>
          <w:u w:val="single"/>
        </w:rPr>
        <w:t xml:space="preserve">Typ komunikace se může v </w:t>
      </w:r>
      <w:r>
        <w:rPr>
          <w:u w:val="single"/>
        </w:rPr>
        <w:t>průběhu jednotlivé komuni</w:t>
      </w:r>
      <w:r>
        <w:rPr>
          <w:u w:val="single"/>
        </w:rPr>
        <w:softHyphen/>
        <w:t>kace měnit. Není-li pro určitý úkon stanovena Zákonem výslovně písemná forma (s nutností vlastnoručního či elektronického zaručeného podpisu), Operátor s Vámi ko</w:t>
      </w:r>
      <w:r>
        <w:rPr>
          <w:u w:val="single"/>
        </w:rPr>
        <w:softHyphen/>
        <w:t>munikuje zpravidla prostřednictvím e-mailu.</w:t>
      </w:r>
    </w:p>
    <w:p w:rsidR="00215B20" w:rsidRDefault="00FD0AA3">
      <w:pPr>
        <w:pStyle w:val="Zkladntext1"/>
        <w:pBdr>
          <w:bottom w:val="single" w:sz="4" w:space="0" w:color="auto"/>
        </w:pBdr>
        <w:shd w:val="clear" w:color="auto" w:fill="auto"/>
        <w:spacing w:after="220" w:line="334" w:lineRule="auto"/>
        <w:ind w:left="560" w:firstLine="20"/>
        <w:jc w:val="both"/>
      </w:pPr>
      <w:r>
        <w:rPr>
          <w:u w:val="single"/>
        </w:rPr>
        <w:t xml:space="preserve">Za Vaše písemná jednání </w:t>
      </w:r>
      <w:r>
        <w:rPr>
          <w:u w:val="single"/>
        </w:rPr>
        <w:t>se považují Vámi vlastnoručně podepsané listiny, elektronické dokumenty opatřené Va</w:t>
      </w:r>
      <w:r>
        <w:rPr>
          <w:u w:val="single"/>
        </w:rPr>
        <w:softHyphen/>
        <w:t xml:space="preserve">ším </w:t>
      </w:r>
      <w:r>
        <w:rPr>
          <w:u w:val="single"/>
        </w:rPr>
        <w:lastRenderedPageBreak/>
        <w:t>zaručeným elektronickým podpisem či datová zpráva.</w:t>
      </w:r>
    </w:p>
    <w:p w:rsidR="00215B20" w:rsidRDefault="00FD0AA3">
      <w:pPr>
        <w:pStyle w:val="Zkladntext1"/>
        <w:shd w:val="clear" w:color="auto" w:fill="auto"/>
        <w:spacing w:after="220" w:line="334" w:lineRule="auto"/>
        <w:ind w:left="560" w:firstLine="20"/>
        <w:jc w:val="both"/>
      </w:pPr>
      <w:r>
        <w:t>Poštou Vás primárně Operátor kontaktuje na korespon</w:t>
      </w:r>
      <w:r>
        <w:softHyphen/>
        <w:t>denční adrese uvedené ve Smlouvě. V případě potřeby však Operátor</w:t>
      </w:r>
      <w:r>
        <w:t xml:space="preserve"> může písemnost zaslat i na Vaši jinou adre</w:t>
      </w:r>
      <w:r>
        <w:softHyphen/>
        <w:t>su, kterou zná, a to včetně Vaší e-mailové adresy. Písem</w:t>
      </w:r>
      <w:r>
        <w:softHyphen/>
        <w:t>nost zasílaná Operátorem prostřednictvím pošty se pova</w:t>
      </w:r>
      <w:r>
        <w:softHyphen/>
        <w:t xml:space="preserve">žuje za doručenou jejím dodáním na Vaši adresu, případně marným uplynutím lhůty určené k vyzvednutí </w:t>
      </w:r>
      <w:r>
        <w:t>poštovní zá</w:t>
      </w:r>
      <w:r>
        <w:softHyphen/>
        <w:t>silky, i když jste se o jejím uložení nedozvěděl/a, případně dnem, kdy se písemnost vrátila Operátorovi, podle toho, která z těchto skutečností nastala dříve. Doručení na adre</w:t>
      </w:r>
      <w:r>
        <w:softHyphen/>
        <w:t>su uvedenou ve Smlouvě je účinné i tehdy, když se na této adrese nez</w:t>
      </w:r>
      <w:r>
        <w:t>držujete.</w:t>
      </w:r>
    </w:p>
    <w:p w:rsidR="00215B20" w:rsidRDefault="00FD0AA3">
      <w:pPr>
        <w:pStyle w:val="Zkladntext1"/>
        <w:shd w:val="clear" w:color="auto" w:fill="auto"/>
        <w:spacing w:after="220" w:line="334" w:lineRule="auto"/>
        <w:ind w:left="560" w:firstLine="20"/>
        <w:jc w:val="both"/>
      </w:pPr>
      <w:r>
        <w:rPr>
          <w:u w:val="single"/>
        </w:rPr>
        <w:t>S oznámeními zaslanými do schránky T-Box jste povi- nen/povinna se pravidelně seznamovat.</w:t>
      </w:r>
      <w:r>
        <w:t xml:space="preserve"> Zpráva zasílaná Operátorem prostřednictvím elektronické pošty, SMS či MMS se považuje za doručenou nejpozději dnem násle</w:t>
      </w:r>
      <w:r>
        <w:softHyphen/>
        <w:t xml:space="preserve">dujícím po odeslání zprávy na vaše </w:t>
      </w:r>
      <w:r>
        <w:t>telefonní číslo nebo Vaši e-mailovou adresu. Pokud hodláte používat SIM kartu v zařízení, které neumožňuje přijímání SMS či MMS, musí</w:t>
      </w:r>
      <w:r>
        <w:softHyphen/>
        <w:t>te tuto skutečnost předem oznámit Operátorovi a dohod</w:t>
      </w:r>
      <w:r>
        <w:softHyphen/>
        <w:t xml:space="preserve">nout si s ním náhradní způsob komunikace, jinak Operátor neodpovídá </w:t>
      </w:r>
      <w:r>
        <w:t>za případně vzniklou újmu.</w:t>
      </w:r>
    </w:p>
    <w:p w:rsidR="00215B20" w:rsidRDefault="00FD0AA3">
      <w:pPr>
        <w:pStyle w:val="Nadpis60"/>
        <w:keepNext/>
        <w:keepLines/>
        <w:numPr>
          <w:ilvl w:val="0"/>
          <w:numId w:val="27"/>
        </w:numPr>
        <w:shd w:val="clear" w:color="auto" w:fill="auto"/>
        <w:tabs>
          <w:tab w:val="left" w:pos="571"/>
        </w:tabs>
        <w:spacing w:after="0" w:line="334" w:lineRule="auto"/>
        <w:jc w:val="both"/>
      </w:pPr>
      <w:bookmarkStart w:id="217" w:name="bookmark216"/>
      <w:bookmarkStart w:id="218" w:name="bookmark217"/>
      <w:r>
        <w:rPr>
          <w:color w:val="E4087E"/>
        </w:rPr>
        <w:t>Závěrečná ustanovení, řešení sporů</w:t>
      </w:r>
      <w:bookmarkEnd w:id="217"/>
      <w:bookmarkEnd w:id="218"/>
    </w:p>
    <w:p w:rsidR="00215B20" w:rsidRDefault="00FD0AA3">
      <w:pPr>
        <w:pStyle w:val="Zkladntext1"/>
        <w:shd w:val="clear" w:color="auto" w:fill="auto"/>
        <w:spacing w:after="220" w:line="334" w:lineRule="auto"/>
        <w:ind w:left="560" w:firstLine="20"/>
        <w:jc w:val="both"/>
      </w:pPr>
      <w:r>
        <w:t>Práva a povinnosti vyplývající ze Smlouvy se řídí českým právním řádem s vyloučením kolizních norem.</w:t>
      </w:r>
    </w:p>
    <w:p w:rsidR="00215B20" w:rsidRDefault="00FD0AA3">
      <w:pPr>
        <w:pStyle w:val="Zkladntext1"/>
        <w:shd w:val="clear" w:color="auto" w:fill="auto"/>
        <w:spacing w:after="220" w:line="334" w:lineRule="auto"/>
        <w:ind w:left="560" w:firstLine="20"/>
        <w:jc w:val="both"/>
      </w:pPr>
      <w:r>
        <w:rPr>
          <w:b/>
          <w:bCs/>
        </w:rPr>
        <w:t>O sporech mezi Vámi a Operátorem rozhoduje soud, při</w:t>
      </w:r>
      <w:r>
        <w:rPr>
          <w:b/>
          <w:bCs/>
        </w:rPr>
        <w:softHyphen/>
        <w:t>čemž v některých případech je dána pravo</w:t>
      </w:r>
      <w:r>
        <w:rPr>
          <w:b/>
          <w:bCs/>
        </w:rPr>
        <w:t>moc Českému telekomunikačnímu úřadu. Pokud jste uzavřeli Smlouvu v postavení spotřebitele, můžete v souladu se zákonem č. 634/1992 Sb., o ochraně spotřebitele, řešit spory vyplý</w:t>
      </w:r>
      <w:r>
        <w:rPr>
          <w:b/>
          <w:bCs/>
        </w:rPr>
        <w:softHyphen/>
        <w:t>vající ze Smlouvy i mimosoudně, a to v případě sporu tý</w:t>
      </w:r>
      <w:r>
        <w:rPr>
          <w:b/>
          <w:bCs/>
        </w:rPr>
        <w:softHyphen/>
        <w:t>kajícího se služeb ele</w:t>
      </w:r>
      <w:r>
        <w:rPr>
          <w:b/>
          <w:bCs/>
        </w:rPr>
        <w:t>ktronických komunikací u Českého te</w:t>
      </w:r>
      <w:r>
        <w:rPr>
          <w:b/>
          <w:bCs/>
        </w:rPr>
        <w:softHyphen/>
        <w:t xml:space="preserve">lekomunikačního úřadu </w:t>
      </w:r>
      <w:r w:rsidRPr="00920265">
        <w:rPr>
          <w:b/>
          <w:bCs/>
          <w:color w:val="E4087E"/>
          <w:u w:val="single"/>
          <w:lang w:eastAsia="en-US" w:bidi="en-US"/>
        </w:rPr>
        <w:t>iwww.ctu.cz)</w:t>
      </w:r>
      <w:r w:rsidRPr="00920265">
        <w:rPr>
          <w:b/>
          <w:bCs/>
          <w:color w:val="E4087E"/>
          <w:lang w:eastAsia="en-US" w:bidi="en-US"/>
        </w:rPr>
        <w:t xml:space="preserve"> </w:t>
      </w:r>
      <w:r>
        <w:rPr>
          <w:b/>
          <w:bCs/>
        </w:rPr>
        <w:t xml:space="preserve">a v případě ostatních sporů pak u České obchodní inspekce </w:t>
      </w:r>
      <w:r w:rsidRPr="00920265">
        <w:rPr>
          <w:b/>
          <w:bCs/>
          <w:color w:val="E4087E"/>
          <w:u w:val="single"/>
          <w:lang w:eastAsia="en-US" w:bidi="en-US"/>
        </w:rPr>
        <w:t>iwww.coi.cz</w:t>
      </w:r>
      <w:r w:rsidRPr="00920265">
        <w:rPr>
          <w:b/>
          <w:bCs/>
          <w:color w:val="E4087E"/>
          <w:lang w:eastAsia="en-US" w:bidi="en-US"/>
        </w:rPr>
        <w:t>).</w:t>
      </w:r>
    </w:p>
    <w:p w:rsidR="00215B20" w:rsidRDefault="00FD0AA3">
      <w:pPr>
        <w:pStyle w:val="Zkladntext1"/>
        <w:shd w:val="clear" w:color="auto" w:fill="auto"/>
        <w:spacing w:after="220" w:line="334" w:lineRule="auto"/>
        <w:ind w:left="560" w:firstLine="20"/>
        <w:jc w:val="both"/>
        <w:sectPr w:rsidR="00215B20">
          <w:pgSz w:w="11900" w:h="16840"/>
          <w:pgMar w:top="1978" w:right="808" w:bottom="1364" w:left="820" w:header="0" w:footer="3" w:gutter="0"/>
          <w:cols w:num="2" w:space="434"/>
          <w:noEndnote/>
          <w:docGrid w:linePitch="360"/>
        </w:sectPr>
      </w:pPr>
      <w:r>
        <w:t>Tyto Všeobecné podmínky nabývají platnosti a účinnosti dne 1. 1. 2022 a pro Smlouvy uzav</w:t>
      </w:r>
      <w:r>
        <w:t>řené před tímto datem dne 1. 4. 2022.</w:t>
      </w:r>
    </w:p>
    <w:p w:rsidR="00215B20" w:rsidRDefault="00FD0AA3">
      <w:pPr>
        <w:pStyle w:val="Nadpis40"/>
        <w:keepNext/>
        <w:keepLines/>
        <w:shd w:val="clear" w:color="auto" w:fill="auto"/>
        <w:spacing w:after="0"/>
      </w:pPr>
      <w:bookmarkStart w:id="219" w:name="bookmark218"/>
      <w:bookmarkStart w:id="220" w:name="bookmark219"/>
      <w:r>
        <w:lastRenderedPageBreak/>
        <w:t>Podmínky zpracování osobních, identifikačních, provozních a lokalizačních</w:t>
      </w:r>
      <w:bookmarkEnd w:id="219"/>
      <w:bookmarkEnd w:id="220"/>
    </w:p>
    <w:p w:rsidR="00215B20" w:rsidRDefault="00FD0AA3">
      <w:pPr>
        <w:pStyle w:val="Zkladntext1"/>
        <w:shd w:val="clear" w:color="auto" w:fill="auto"/>
        <w:tabs>
          <w:tab w:val="left" w:pos="464"/>
        </w:tabs>
        <w:spacing w:after="0" w:line="180" w:lineRule="auto"/>
        <w:rPr>
          <w:sz w:val="14"/>
          <w:szCs w:val="14"/>
        </w:rPr>
      </w:pPr>
      <w:r>
        <w:rPr>
          <w:b/>
          <w:bCs/>
          <w:color w:val="E4087E"/>
          <w:sz w:val="28"/>
          <w:szCs w:val="28"/>
        </w:rPr>
        <w:t>* 1</w:t>
      </w:r>
      <w:r>
        <w:rPr>
          <w:b/>
          <w:bCs/>
          <w:color w:val="E4087E"/>
          <w:sz w:val="28"/>
          <w:szCs w:val="28"/>
        </w:rPr>
        <w:tab/>
      </w:r>
      <w:r>
        <w:rPr>
          <w:b/>
          <w:bCs/>
          <w:color w:val="E4087E"/>
          <w:sz w:val="14"/>
          <w:szCs w:val="14"/>
        </w:rPr>
        <w:t xml:space="preserve">■ o &lt; v </w:t>
      </w:r>
      <w:r>
        <w:rPr>
          <w:b/>
          <w:bCs/>
          <w:color w:val="E4087E"/>
          <w:sz w:val="14"/>
          <w:szCs w:val="14"/>
          <w:u w:val="single"/>
        </w:rPr>
        <w:t>J</w:t>
      </w:r>
      <w:r>
        <w:rPr>
          <w:b/>
          <w:bCs/>
          <w:color w:val="E4087E"/>
          <w:sz w:val="14"/>
          <w:szCs w:val="14"/>
        </w:rPr>
        <w:t xml:space="preserve"> ^1 o</w:t>
      </w:r>
    </w:p>
    <w:p w:rsidR="00215B20" w:rsidRDefault="00FD0AA3">
      <w:pPr>
        <w:pStyle w:val="Nadpis40"/>
        <w:keepNext/>
        <w:keepLines/>
        <w:shd w:val="clear" w:color="auto" w:fill="auto"/>
        <w:spacing w:after="40" w:line="180" w:lineRule="auto"/>
      </w:pPr>
      <w:bookmarkStart w:id="221" w:name="bookmark220"/>
      <w:bookmarkStart w:id="222" w:name="bookmark221"/>
      <w:r>
        <w:t>údajů účastníků</w:t>
      </w:r>
      <w:bookmarkEnd w:id="221"/>
      <w:bookmarkEnd w:id="222"/>
    </w:p>
    <w:p w:rsidR="00215B20" w:rsidRDefault="00FD0AA3">
      <w:pPr>
        <w:pStyle w:val="Zkladntext1"/>
        <w:shd w:val="clear" w:color="auto" w:fill="auto"/>
        <w:spacing w:after="0" w:line="334" w:lineRule="auto"/>
        <w:sectPr w:rsidR="00215B20">
          <w:pgSz w:w="11900" w:h="16840"/>
          <w:pgMar w:top="1983" w:right="809" w:bottom="1364" w:left="795" w:header="0" w:footer="3" w:gutter="0"/>
          <w:cols w:space="720"/>
          <w:noEndnote/>
          <w:docGrid w:linePitch="360"/>
        </w:sectPr>
      </w:pPr>
      <w:r>
        <w:t xml:space="preserve">Společnost T-Mobile a.s. se sídlem Tomíčkova 2144/1, 148 00 Praha 4, IČO 649 49 681, </w:t>
      </w:r>
      <w:r>
        <w:t>zapsaná do obchodního rejstříku vedeného Městským soudem v Praze, oddíl B, vložka 3787, vydává tyto Podmínky zpracování osobních, identifikačních, provozních a lokalizačních údajů účastníků.</w:t>
      </w:r>
    </w:p>
    <w:p w:rsidR="00215B20" w:rsidRDefault="00215B20">
      <w:pPr>
        <w:spacing w:line="240" w:lineRule="exact"/>
        <w:rPr>
          <w:sz w:val="19"/>
          <w:szCs w:val="19"/>
        </w:rPr>
      </w:pPr>
    </w:p>
    <w:p w:rsidR="00215B20" w:rsidRDefault="00215B20">
      <w:pPr>
        <w:spacing w:line="240" w:lineRule="exact"/>
        <w:rPr>
          <w:sz w:val="19"/>
          <w:szCs w:val="19"/>
        </w:rPr>
      </w:pPr>
    </w:p>
    <w:p w:rsidR="00215B20" w:rsidRDefault="00215B20">
      <w:pPr>
        <w:spacing w:line="240" w:lineRule="exact"/>
        <w:rPr>
          <w:sz w:val="19"/>
          <w:szCs w:val="19"/>
        </w:rPr>
      </w:pPr>
    </w:p>
    <w:p w:rsidR="00215B20" w:rsidRDefault="00215B20">
      <w:pPr>
        <w:spacing w:before="45" w:after="45" w:line="240" w:lineRule="exact"/>
        <w:rPr>
          <w:sz w:val="19"/>
          <w:szCs w:val="19"/>
        </w:rPr>
      </w:pPr>
    </w:p>
    <w:p w:rsidR="00215B20" w:rsidRDefault="00215B20">
      <w:pPr>
        <w:spacing w:line="1" w:lineRule="exact"/>
        <w:sectPr w:rsidR="00215B20">
          <w:type w:val="continuous"/>
          <w:pgSz w:w="11900" w:h="16840"/>
          <w:pgMar w:top="1964" w:right="0" w:bottom="1364" w:left="0" w:header="0" w:footer="3" w:gutter="0"/>
          <w:cols w:space="720"/>
          <w:noEndnote/>
          <w:docGrid w:linePitch="360"/>
        </w:sectPr>
      </w:pPr>
    </w:p>
    <w:p w:rsidR="00215B20" w:rsidRDefault="00FD0AA3">
      <w:pPr>
        <w:pStyle w:val="Zkladntext1"/>
        <w:numPr>
          <w:ilvl w:val="0"/>
          <w:numId w:val="31"/>
        </w:numPr>
        <w:shd w:val="clear" w:color="auto" w:fill="auto"/>
        <w:tabs>
          <w:tab w:val="left" w:pos="280"/>
        </w:tabs>
        <w:spacing w:after="200" w:line="334" w:lineRule="auto"/>
        <w:ind w:left="280" w:hanging="280"/>
        <w:jc w:val="both"/>
      </w:pPr>
      <w:r>
        <w:lastRenderedPageBreak/>
        <w:t>Tyto Podmínky zpracování osobních, i</w:t>
      </w:r>
      <w:r>
        <w:t>dentifikačních, pro</w:t>
      </w:r>
      <w:r>
        <w:softHyphen/>
        <w:t>vozních a lokalizačních údajů (dále jen „</w:t>
      </w:r>
      <w:r>
        <w:rPr>
          <w:b/>
          <w:bCs/>
        </w:rPr>
        <w:t>Podmínky</w:t>
      </w:r>
      <w:r>
        <w:t>“) upravují práva a povinnosti smluvních stran (</w:t>
      </w:r>
      <w:r>
        <w:rPr>
          <w:b/>
          <w:bCs/>
        </w:rPr>
        <w:t>T-Mobile a účastníka</w:t>
      </w:r>
      <w:r>
        <w:t>) při zpracování osobních, identifikačních, provozních a lokalizač</w:t>
      </w:r>
      <w:r>
        <w:softHyphen/>
        <w:t>ních údajů účastníků (dále jen „</w:t>
      </w:r>
      <w:r>
        <w:rPr>
          <w:b/>
          <w:bCs/>
        </w:rPr>
        <w:t>Údaje</w:t>
      </w:r>
      <w:r>
        <w:t>“). Za účastník</w:t>
      </w:r>
      <w:r>
        <w:t xml:space="preserve">a se pro účely těchto Podmínek považuje každý, kdo je s </w:t>
      </w:r>
      <w:proofErr w:type="gramStart"/>
      <w:r>
        <w:t>T-Mobile</w:t>
      </w:r>
      <w:proofErr w:type="gramEnd"/>
      <w:r>
        <w:t xml:space="preserve"> v ja</w:t>
      </w:r>
      <w:r>
        <w:softHyphen/>
        <w:t xml:space="preserve">kémkoliv smluvním či obdobném vztahu. </w:t>
      </w:r>
      <w:proofErr w:type="gramStart"/>
      <w:r>
        <w:t>T-Mobile</w:t>
      </w:r>
      <w:proofErr w:type="gramEnd"/>
      <w:r>
        <w:t xml:space="preserve"> je oprávněn zpracovávat Údaje, které získal zejména v souvislosti s uzavře</w:t>
      </w:r>
      <w:r>
        <w:softHyphen/>
        <w:t xml:space="preserve">ním Účastnické smlouvy, poskytováním nabízených služeb či jiným </w:t>
      </w:r>
      <w:r>
        <w:t>přímým nebo nepřímým kontaktem s účastníkem či od třetích osob.</w:t>
      </w:r>
    </w:p>
    <w:p w:rsidR="00215B20" w:rsidRDefault="00FD0AA3">
      <w:pPr>
        <w:pStyle w:val="Zkladntext1"/>
        <w:numPr>
          <w:ilvl w:val="0"/>
          <w:numId w:val="31"/>
        </w:numPr>
        <w:shd w:val="clear" w:color="auto" w:fill="auto"/>
        <w:tabs>
          <w:tab w:val="left" w:pos="280"/>
        </w:tabs>
        <w:spacing w:after="200" w:line="334" w:lineRule="auto"/>
        <w:ind w:left="280" w:hanging="280"/>
        <w:jc w:val="both"/>
      </w:pPr>
      <w:proofErr w:type="gramStart"/>
      <w:r>
        <w:t>T-Mobile</w:t>
      </w:r>
      <w:proofErr w:type="gramEnd"/>
      <w:r>
        <w:t xml:space="preserve"> zpracovává vaše Údaje vždy transparentně, korekt</w:t>
      </w:r>
      <w:r>
        <w:softHyphen/>
        <w:t xml:space="preserve">ně, v souladu s nařízením Evropského parlamentu a Rady (EU) č. 2016/679 ze dne 27. dubna 2016, o ochraně fyzických osob v souvislosti </w:t>
      </w:r>
      <w:r>
        <w:t>se zpracováním osobních údajů a o volném po</w:t>
      </w:r>
      <w:r>
        <w:softHyphen/>
        <w:t>hybu těchto údajů a o zrušení směrnice 95/46/ES (dále jen „</w:t>
      </w:r>
      <w:r>
        <w:rPr>
          <w:b/>
          <w:bCs/>
        </w:rPr>
        <w:t>GDPR</w:t>
      </w:r>
      <w:r>
        <w:t xml:space="preserve">“), a zákonem č. 110/2019 Sb., o zpracování osobních údajů, a to v rozsahu nezbytném pro příslušný účel zpracování. </w:t>
      </w:r>
      <w:proofErr w:type="gramStart"/>
      <w:r>
        <w:t>T-Mobile</w:t>
      </w:r>
      <w:proofErr w:type="gramEnd"/>
      <w:r>
        <w:t xml:space="preserve"> vaše Údaje bezpečně ucho</w:t>
      </w:r>
      <w:r>
        <w:t>vává po dobu nezbytně nutnou podle lhůt, které nám ukládají příslušné právní předpi</w:t>
      </w:r>
      <w:r>
        <w:softHyphen/>
        <w:t>sy.</w:t>
      </w:r>
    </w:p>
    <w:p w:rsidR="00215B20" w:rsidRDefault="00FD0AA3">
      <w:pPr>
        <w:pStyle w:val="Zkladntext1"/>
        <w:numPr>
          <w:ilvl w:val="0"/>
          <w:numId w:val="31"/>
        </w:numPr>
        <w:shd w:val="clear" w:color="auto" w:fill="auto"/>
        <w:tabs>
          <w:tab w:val="left" w:pos="280"/>
        </w:tabs>
        <w:spacing w:after="200" w:line="334" w:lineRule="auto"/>
        <w:ind w:left="280" w:hanging="280"/>
        <w:jc w:val="both"/>
      </w:pPr>
      <w:r>
        <w:t>Osobními a identifikačními údaji se rozumí zejména titul, jmé</w:t>
      </w:r>
      <w:r>
        <w:softHyphen/>
        <w:t>no, příjmení, adresa (zejména doručovací adresa, adresa místa instalace dané služby), rodné číslo, popř. j</w:t>
      </w:r>
      <w:r>
        <w:t>iný národní identi</w:t>
      </w:r>
      <w:r>
        <w:softHyphen/>
        <w:t>fikátor, datum narození, věk, pohlaví, vzdělání, rodinný stav, údaje o dokladech totožnosti, telefonní číslo a e-mailová ad</w:t>
      </w:r>
      <w:r>
        <w:softHyphen/>
        <w:t>resa, obchodní firma, název, sídlo, místo podnikání, IČO, úda</w:t>
      </w:r>
      <w:r>
        <w:softHyphen/>
        <w:t xml:space="preserve">je o platbách a platební morálce, číslo SIM karty, </w:t>
      </w:r>
      <w:r>
        <w:t>účastnické telefonní číslo, aktivní tarif a heslo.</w:t>
      </w:r>
    </w:p>
    <w:p w:rsidR="00215B20" w:rsidRDefault="00FD0AA3">
      <w:pPr>
        <w:pStyle w:val="Zkladntext1"/>
        <w:numPr>
          <w:ilvl w:val="0"/>
          <w:numId w:val="31"/>
        </w:numPr>
        <w:shd w:val="clear" w:color="auto" w:fill="auto"/>
        <w:tabs>
          <w:tab w:val="left" w:pos="280"/>
        </w:tabs>
        <w:spacing w:after="200" w:line="334" w:lineRule="auto"/>
        <w:ind w:left="280" w:hanging="280"/>
        <w:jc w:val="both"/>
      </w:pPr>
      <w:r>
        <w:t>Provozními údaji se rozumí zejména telefonní číslo volajícího, telefonní číslo volaného, druh poskytnuté služby, cena za po</w:t>
      </w:r>
      <w:r>
        <w:softHyphen/>
        <w:t>skytnutou službu, začátek spojení, konec spojení, datum a fre</w:t>
      </w:r>
      <w:r>
        <w:softHyphen/>
        <w:t xml:space="preserve">kvence uskutečnění </w:t>
      </w:r>
      <w:r>
        <w:t xml:space="preserve">spojení, počet poskytnutých jednotek (např. minuty, kB či kusy), typ přístupu k internetu (např. WAP, APN Internet, pevný internet - ADSL, SHDSL, xDSL atp.), typ používaného koncového zařízení a IMEI, konfigurační údaje (např. IP adresy), údaje o obsahu a </w:t>
      </w:r>
      <w:r>
        <w:t>způsobu využívání služeb a typovém chování účastníka (behaviorální údaje).</w:t>
      </w:r>
    </w:p>
    <w:p w:rsidR="00215B20" w:rsidRDefault="00FD0AA3">
      <w:pPr>
        <w:pStyle w:val="Zkladntext1"/>
        <w:numPr>
          <w:ilvl w:val="0"/>
          <w:numId w:val="31"/>
        </w:numPr>
        <w:shd w:val="clear" w:color="auto" w:fill="auto"/>
        <w:tabs>
          <w:tab w:val="left" w:pos="280"/>
        </w:tabs>
        <w:spacing w:after="200" w:line="334" w:lineRule="auto"/>
        <w:ind w:left="280" w:hanging="280"/>
        <w:jc w:val="both"/>
      </w:pPr>
      <w:r>
        <w:t>Lokalizačními údaji se rozumí údaje zpracovávané v síti elek</w:t>
      </w:r>
      <w:r>
        <w:softHyphen/>
        <w:t>tronických komunikací, které určují zeměpisnou polohu kon</w:t>
      </w:r>
      <w:r>
        <w:softHyphen/>
        <w:t>cového zařízení účastníka, zejména údaj o síti, k níž je účast</w:t>
      </w:r>
      <w:r>
        <w:t>ník připojen (např. při roamingových spojeních), údaj o tranzitní ústředně apod.</w:t>
      </w:r>
    </w:p>
    <w:p w:rsidR="00215B20" w:rsidRDefault="00FD0AA3">
      <w:pPr>
        <w:pStyle w:val="Zkladntext1"/>
        <w:numPr>
          <w:ilvl w:val="0"/>
          <w:numId w:val="31"/>
        </w:numPr>
        <w:shd w:val="clear" w:color="auto" w:fill="auto"/>
        <w:tabs>
          <w:tab w:val="left" w:pos="284"/>
        </w:tabs>
        <w:spacing w:after="200" w:line="334" w:lineRule="auto"/>
        <w:ind w:left="300" w:hanging="300"/>
        <w:jc w:val="both"/>
      </w:pPr>
      <w:proofErr w:type="gramStart"/>
      <w:r>
        <w:t>T-Mobile</w:t>
      </w:r>
      <w:proofErr w:type="gramEnd"/>
      <w:r>
        <w:t xml:space="preserve"> zpracovává Údaje v souladu s článkem 6 GDPR (práv</w:t>
      </w:r>
      <w:r>
        <w:softHyphen/>
        <w:t xml:space="preserve">ní tituly pro zpracování osobních údajů). </w:t>
      </w:r>
      <w:proofErr w:type="gramStart"/>
      <w:r>
        <w:t>T-Mobile</w:t>
      </w:r>
      <w:proofErr w:type="gramEnd"/>
      <w:r>
        <w:t xml:space="preserve"> zpracovává Údaje na základě následujících právních titulů: splněn</w:t>
      </w:r>
      <w:r>
        <w:t>í smlou</w:t>
      </w:r>
      <w:r>
        <w:softHyphen/>
        <w:t xml:space="preserve">vy, plnění právních povinností, oprávněného zájmu T-Mobile a na základě souhlasu se </w:t>
      </w:r>
      <w:r>
        <w:lastRenderedPageBreak/>
        <w:t>zpracováním osobních údajů.</w:t>
      </w:r>
    </w:p>
    <w:p w:rsidR="00215B20" w:rsidRDefault="00FD0AA3">
      <w:pPr>
        <w:pStyle w:val="Zkladntext1"/>
        <w:numPr>
          <w:ilvl w:val="0"/>
          <w:numId w:val="31"/>
        </w:numPr>
        <w:shd w:val="clear" w:color="auto" w:fill="auto"/>
        <w:tabs>
          <w:tab w:val="left" w:pos="284"/>
        </w:tabs>
        <w:spacing w:after="200" w:line="334" w:lineRule="auto"/>
        <w:ind w:left="300" w:hanging="300"/>
        <w:jc w:val="both"/>
      </w:pPr>
      <w:r>
        <w:t>Zpracování Údajů na základě právního titulu splnění smlou</w:t>
      </w:r>
      <w:r>
        <w:softHyphen/>
        <w:t>vy a plnění právních povinností, tj. povinností vyplývajících z právního předp</w:t>
      </w:r>
      <w:r>
        <w:t>isu a oprávněných zájmů T-Mobile, zahrnuje zpracování pro následující účely: poskytování služeb, zajištění propojení a přístupu k síti, zajištění provozních činností ne</w:t>
      </w:r>
      <w:r>
        <w:softHyphen/>
        <w:t>zbytných k poskytování služeb, vyúčtování, účetní a daňové účely, identifikace zneužívá</w:t>
      </w:r>
      <w:r>
        <w:t>ní sítě či služeb (kterým je mimo jiné i opakované neuhrazení ceny nabízených služeb), ochra</w:t>
      </w:r>
      <w:r>
        <w:softHyphen/>
        <w:t>ny práv a právem chráněných zájmů (T-Mobile a účastníků, spočívající v posuzování schopnosti a ochoty účastníků plnit své závazky, vymáhání pohledávek z vyúčtování</w:t>
      </w:r>
      <w:r>
        <w:t>, poskytování služeb), případně dalších identifikačních údajů účastníka vo</w:t>
      </w:r>
      <w:r>
        <w:softHyphen/>
        <w:t>lajícího na čísla tísňového volání (přesný rozsah předávaných Údajů stanoví vyhláška č. 267/2017 Sb., vyhláška o lokalizaci a identifikaci volajícího při volání na čísla tísňových v</w:t>
      </w:r>
      <w:r>
        <w:t>olání), a to subjektům provozujícím pracoviště pro příjem volání na čísla tísňového volání.</w:t>
      </w:r>
    </w:p>
    <w:p w:rsidR="00215B20" w:rsidRDefault="00FD0AA3">
      <w:pPr>
        <w:pStyle w:val="Zkladntext1"/>
        <w:numPr>
          <w:ilvl w:val="0"/>
          <w:numId w:val="31"/>
        </w:numPr>
        <w:shd w:val="clear" w:color="auto" w:fill="auto"/>
        <w:tabs>
          <w:tab w:val="left" w:pos="284"/>
        </w:tabs>
        <w:spacing w:after="200" w:line="334" w:lineRule="auto"/>
        <w:ind w:left="300" w:hanging="300"/>
        <w:jc w:val="both"/>
      </w:pPr>
      <w:proofErr w:type="gramStart"/>
      <w:r>
        <w:t>T-Mobile</w:t>
      </w:r>
      <w:proofErr w:type="gramEnd"/>
      <w:r>
        <w:t xml:space="preserve"> je oprávněn zpracovávat Údaje rovněž v případě, že účastník k danému zpracování vyjádří souhlas se zpracováním osobních údajů. Udělení souhlasu je vždy zce</w:t>
      </w:r>
      <w:r>
        <w:t>la dobrovolné a Účastník může svůj souhlas kdykoliv odvolat.</w:t>
      </w:r>
    </w:p>
    <w:p w:rsidR="00215B20" w:rsidRDefault="00FD0AA3">
      <w:pPr>
        <w:pStyle w:val="Zkladntext1"/>
        <w:numPr>
          <w:ilvl w:val="0"/>
          <w:numId w:val="31"/>
        </w:numPr>
        <w:shd w:val="clear" w:color="auto" w:fill="auto"/>
        <w:tabs>
          <w:tab w:val="left" w:pos="284"/>
        </w:tabs>
        <w:spacing w:after="200" w:line="334" w:lineRule="auto"/>
        <w:ind w:left="300" w:hanging="300"/>
        <w:jc w:val="both"/>
      </w:pPr>
      <w:proofErr w:type="gramStart"/>
      <w:r>
        <w:t>T-Mobile</w:t>
      </w:r>
      <w:proofErr w:type="gramEnd"/>
      <w:r>
        <w:t xml:space="preserve"> je oprávněn na základě oprávněného zájmu dle člán</w:t>
      </w:r>
      <w:r>
        <w:softHyphen/>
        <w:t>ku 6 odst. 1 písm. f) GDPR v souvislosti s přímým marketin</w:t>
      </w:r>
      <w:r>
        <w:softHyphen/>
        <w:t>gem oslovovat účastníky s nabídkou zboží a služeb T-Mobile. Účastníci si moho</w:t>
      </w:r>
      <w:r>
        <w:t>u vybrat, jakou formou chtějí nabídku přímé</w:t>
      </w:r>
      <w:r>
        <w:softHyphen/>
        <w:t>ho marketingu dostávat, zda upřednostňují telefonickou na</w:t>
      </w:r>
      <w:r>
        <w:softHyphen/>
        <w:t xml:space="preserve">bídku, SMS, nebo e-mail. </w:t>
      </w:r>
      <w:proofErr w:type="gramStart"/>
      <w:r>
        <w:t>T-Mobile</w:t>
      </w:r>
      <w:proofErr w:type="gramEnd"/>
      <w:r>
        <w:t xml:space="preserve"> využívá v souvislosti s oslo</w:t>
      </w:r>
      <w:r>
        <w:softHyphen/>
        <w:t>vováním na základě přímého marketingu smluvní partnery, kteří jsou v postavení zpracovatele</w:t>
      </w:r>
      <w:r>
        <w:t xml:space="preserve"> osobních údajů. Pokud si nepřejete dostávat naši nabídku na základě přímého marke</w:t>
      </w:r>
      <w:r>
        <w:softHyphen/>
        <w:t>tingu, můžete ji jednoduše odmítnout (námitka proti zpraco</w:t>
      </w:r>
      <w:r>
        <w:softHyphen/>
        <w:t>vání). Můžete to udělat přímo u dané nabídky nebo v aplika</w:t>
      </w:r>
      <w:r>
        <w:softHyphen/>
        <w:t>ci Můj T-Mobile (na webu i v aplikaci) a odškrtnutím po</w:t>
      </w:r>
      <w:r>
        <w:t>líček k přímému marketingu, čímž nastavíte jednotlivé formy, jimiž vás můžeme takto oslovovat (e-mail, SMS, volání). Dále mů</w:t>
      </w:r>
      <w:r>
        <w:softHyphen/>
        <w:t>žete námitku uplatnit pomocí Kontaktního formuláře pro zá</w:t>
      </w:r>
      <w:r>
        <w:softHyphen/>
        <w:t xml:space="preserve">kazníky, který je rovněž k dispozici na webových stránkách: </w:t>
      </w:r>
      <w:hyperlink r:id="rId131" w:history="1">
        <w:r w:rsidRPr="00920265">
          <w:rPr>
            <w:color w:val="E4087E"/>
            <w:u w:val="single"/>
            <w:lang w:eastAsia="en-US" w:bidi="en-US"/>
          </w:rPr>
          <w:t>www.t-mobile.cz</w:t>
        </w:r>
      </w:hyperlink>
      <w:r w:rsidRPr="00920265">
        <w:rPr>
          <w:color w:val="E4087E"/>
          <w:lang w:eastAsia="en-US" w:bidi="en-US"/>
        </w:rPr>
        <w:t xml:space="preserve">, </w:t>
      </w:r>
      <w:r>
        <w:t xml:space="preserve">telefonicky v zákaznickém centru </w:t>
      </w:r>
      <w:proofErr w:type="gramStart"/>
      <w:r>
        <w:t>T-Mobile</w:t>
      </w:r>
      <w:proofErr w:type="gramEnd"/>
      <w:r>
        <w:t xml:space="preserve"> a rovněž v prodejně T-Mobile. Jakmile nám dáte vědět, že už si nepřejete zpracování osobních údajů za účelem přímého mar</w:t>
      </w:r>
      <w:r>
        <w:softHyphen/>
        <w:t xml:space="preserve">ketingu, tj. nepřejete si dostávat naše nabídky, </w:t>
      </w:r>
      <w:r>
        <w:t>ukončíme tento proces v co nejkratší době, jakou nám naše technické a admi</w:t>
      </w:r>
      <w:r>
        <w:softHyphen/>
        <w:t>nistrativní možnosti dovolí. V případě, že odmítnete nastave</w:t>
      </w:r>
      <w:r>
        <w:softHyphen/>
        <w:t xml:space="preserve">ní přímého marketingu, tj. podáte námitku proti zpracování osobních údajů a znovu se rozhodnete nastavit, že si přejete </w:t>
      </w:r>
      <w:r>
        <w:t>dostávat marketingová sdělení na základě přímého marketin</w:t>
      </w:r>
      <w:r>
        <w:softHyphen/>
        <w:t xml:space="preserve">gu, bude vaše nové nastavení považováno ze strany </w:t>
      </w:r>
      <w:proofErr w:type="gramStart"/>
      <w:r>
        <w:t>T-Mobile</w:t>
      </w:r>
      <w:proofErr w:type="gramEnd"/>
      <w:r>
        <w:t xml:space="preserve"> za souhlas.</w:t>
      </w:r>
    </w:p>
    <w:p w:rsidR="00215B20" w:rsidRDefault="00FD0AA3">
      <w:pPr>
        <w:pStyle w:val="Zkladntext1"/>
        <w:numPr>
          <w:ilvl w:val="0"/>
          <w:numId w:val="31"/>
        </w:numPr>
        <w:shd w:val="clear" w:color="auto" w:fill="auto"/>
        <w:tabs>
          <w:tab w:val="left" w:pos="346"/>
        </w:tabs>
        <w:spacing w:after="200" w:line="334" w:lineRule="auto"/>
        <w:ind w:left="280" w:hanging="280"/>
        <w:jc w:val="both"/>
      </w:pPr>
      <w:r>
        <w:lastRenderedPageBreak/>
        <w:t xml:space="preserve">S marketingovou nabídkou vás </w:t>
      </w:r>
      <w:proofErr w:type="gramStart"/>
      <w:r>
        <w:t>T-Mobile</w:t>
      </w:r>
      <w:proofErr w:type="gramEnd"/>
      <w:r>
        <w:t xml:space="preserve"> může oslovovat rov</w:t>
      </w:r>
      <w:r>
        <w:softHyphen/>
        <w:t>něž v případě, že nám udělíte souhlas se zpracováním osob</w:t>
      </w:r>
      <w:r>
        <w:softHyphen/>
        <w:t xml:space="preserve">ních údajů </w:t>
      </w:r>
      <w:r>
        <w:t>dle článku 6 odst. 1 písm. a) GDPR. Snažíme se o to, aby pro vás nabídka byla vždy co nejzajímavější, a proto máme celkově tři marketingové souhlasy, jež mají odlišný obsah, a vy se tak můžete rozhodnout, k čemu nám souhlas chcete udělit, tj. o co máte sku</w:t>
      </w:r>
      <w:r>
        <w:t>tečně zájem. Jedná se o: Souhlas s marketin</w:t>
      </w:r>
      <w:r>
        <w:softHyphen/>
        <w:t>gem třetích stran, Souhlas se zpracováním provozních a loka</w:t>
      </w:r>
      <w:r>
        <w:softHyphen/>
        <w:t>lizačních údajů pro marketingové účely T-Mobile a Souhlas se zpracováním provozních a lokalizačních údajů pro marketin</w:t>
      </w:r>
      <w:r>
        <w:softHyphen/>
        <w:t>gové účely T-Mobile a marketing t</w:t>
      </w:r>
      <w:r>
        <w:t>řetích stran. Podrobné in</w:t>
      </w:r>
      <w:r>
        <w:softHyphen/>
        <w:t xml:space="preserve">formace k obsahu uvedených souhlasů naleznete v Zásadách ochrany osobních údajů na našich webových stránkách v části B. Souhlas zde: </w:t>
      </w:r>
      <w:hyperlink r:id="rId132" w:history="1">
        <w:r w:rsidRPr="00920265">
          <w:rPr>
            <w:color w:val="E4087E"/>
            <w:u w:val="single"/>
            <w:lang w:eastAsia="en-US" w:bidi="en-US"/>
          </w:rPr>
          <w:t>https://www.t-mob</w:t>
        </w:r>
        <w:r w:rsidRPr="00920265">
          <w:rPr>
            <w:color w:val="E4087E"/>
            <w:u w:val="single"/>
            <w:lang w:eastAsia="en-US" w:bidi="en-US"/>
          </w:rPr>
          <w:t xml:space="preserve">ile.cz/ochrana-udaju/zasa- </w:t>
        </w:r>
        <w:r>
          <w:rPr>
            <w:color w:val="E4087E"/>
            <w:u w:val="single"/>
          </w:rPr>
          <w:t>dy-ochrany-osobnich-udaju</w:t>
        </w:r>
      </w:hyperlink>
      <w:r>
        <w:rPr>
          <w:color w:val="E4087E"/>
        </w:rPr>
        <w:t xml:space="preserve">. </w:t>
      </w:r>
      <w:r>
        <w:t>Uzavíráte-li s námi účastnickou smlouvu, zeptáme se vás, zda máte zájem souhlas udělit. Sou</w:t>
      </w:r>
      <w:r>
        <w:softHyphen/>
        <w:t xml:space="preserve">hlas můžete udělit rovněž elektronickou cestou zaškrtnutím příslušného políčka v aplikaci Můj </w:t>
      </w:r>
      <w:proofErr w:type="gramStart"/>
      <w:r>
        <w:t>T-Mobile</w:t>
      </w:r>
      <w:proofErr w:type="gramEnd"/>
      <w:r>
        <w:t xml:space="preserve"> v čá</w:t>
      </w:r>
      <w:r>
        <w:t>sti Nastavení souhlasů, v aplikaci nebo na našem webu. Udělení souhlasu je vždy dobrovolné a můžete jej kdykoliv odvolat.</w:t>
      </w:r>
    </w:p>
    <w:p w:rsidR="00215B20" w:rsidRDefault="00FD0AA3">
      <w:pPr>
        <w:pStyle w:val="Zkladntext1"/>
        <w:numPr>
          <w:ilvl w:val="0"/>
          <w:numId w:val="31"/>
        </w:numPr>
        <w:shd w:val="clear" w:color="auto" w:fill="auto"/>
        <w:tabs>
          <w:tab w:val="left" w:pos="346"/>
        </w:tabs>
        <w:spacing w:after="200" w:line="334" w:lineRule="auto"/>
        <w:ind w:left="280" w:hanging="280"/>
        <w:jc w:val="both"/>
      </w:pPr>
      <w:r>
        <w:t>Obchodní sdělení T-Mobile označuje hvězdičkou (*) nebo ji</w:t>
      </w:r>
      <w:r>
        <w:softHyphen/>
        <w:t xml:space="preserve">ným vhodným označením (např. OS apod.), které účastníka informuje o tom, že </w:t>
      </w:r>
      <w:r>
        <w:t xml:space="preserve">uvedené sdělení je obchodním sdělením ve smyslu platných právních předpisů a že jeho odesílatelem </w:t>
      </w:r>
      <w:proofErr w:type="gramStart"/>
      <w:r>
        <w:t>je</w:t>
      </w:r>
      <w:proofErr w:type="gramEnd"/>
      <w:r>
        <w:t xml:space="preserve"> T-Mobile.</w:t>
      </w:r>
    </w:p>
    <w:p w:rsidR="00215B20" w:rsidRDefault="00FD0AA3">
      <w:pPr>
        <w:pStyle w:val="Zkladntext1"/>
        <w:numPr>
          <w:ilvl w:val="0"/>
          <w:numId w:val="31"/>
        </w:numPr>
        <w:shd w:val="clear" w:color="auto" w:fill="auto"/>
        <w:tabs>
          <w:tab w:val="left" w:pos="346"/>
        </w:tabs>
        <w:spacing w:after="200" w:line="334" w:lineRule="auto"/>
        <w:ind w:left="280" w:hanging="280"/>
        <w:jc w:val="both"/>
      </w:pPr>
      <w:proofErr w:type="gramStart"/>
      <w:r>
        <w:t>T-Mobile</w:t>
      </w:r>
      <w:proofErr w:type="gramEnd"/>
      <w:r>
        <w:t xml:space="preserve"> zpracovává Údaje za účelem ověřování a hodnocení bonity a platební morálky prostřednictvím registrů dlužníků či jiných podobných registr</w:t>
      </w:r>
      <w:r>
        <w:t>ů a dále za účelem vzájemného in</w:t>
      </w:r>
      <w:r>
        <w:softHyphen/>
        <w:t>formování oprávněných uživatelů těchto registrů, a to jak při vzniku smluvního vztahu, tak kdykoliv v průběhu trvání smlou</w:t>
      </w:r>
      <w:r>
        <w:softHyphen/>
        <w:t>vy, je-li to nezbytné. Zpracování Údajů za účelem ověřování bonity a platební morálky a vzájemného i</w:t>
      </w:r>
      <w:r>
        <w:t>nformování oprávně</w:t>
      </w:r>
      <w:r>
        <w:softHyphen/>
        <w:t>ných uživatelů registrů dlužníků prostřednictvím těchto regis</w:t>
      </w:r>
      <w:r>
        <w:softHyphen/>
        <w:t>trů zahrnuje zpracování jména, příjmení, adresy, rodného čísla, názvu, obchodní firmy, sídla, místa podnikání, identifikačního čísla, data vzniku dluhu, výše dluhu, typu služb</w:t>
      </w:r>
      <w:r>
        <w:t>y či produktu, při jejichž poskytování či prodeji dluh vznikl, splatnosti, výše dlužné částky po splatnosti, počtu dlužných vyúčtování, údajů o postoupení pohledávky, data zaplacení, údajů o odpisu po</w:t>
      </w:r>
      <w:r>
        <w:softHyphen/>
        <w:t xml:space="preserve">hledávky a ID záznamu. Tyto Údaje je </w:t>
      </w:r>
      <w:proofErr w:type="gramStart"/>
      <w:r>
        <w:t>T-Mobile</w:t>
      </w:r>
      <w:proofErr w:type="gramEnd"/>
      <w:r>
        <w:t xml:space="preserve"> oprávněn </w:t>
      </w:r>
      <w:r>
        <w:t>pře</w:t>
      </w:r>
      <w:r>
        <w:softHyphen/>
        <w:t>dat registru dlužníků v případě opakovaného prodlení s úhra</w:t>
      </w:r>
      <w:r>
        <w:softHyphen/>
        <w:t>dou nebo existence jakékoliv peněžní pohledávky déle než 30 dnů po splatnosti. Provozovatel registru dlužníků je opráv</w:t>
      </w:r>
      <w:r>
        <w:softHyphen/>
        <w:t>něn dále tyto Údaje zpřístupnit za účelem hodnocení bonity a platební mor</w:t>
      </w:r>
      <w:r>
        <w:t>álky všem uživatelům registru, a to včetně rod</w:t>
      </w:r>
      <w:r>
        <w:softHyphen/>
        <w:t xml:space="preserve">ného čísla, které je nezbytným identifikátorem. K datu nabytí účinnosti těchto Podmínek </w:t>
      </w:r>
      <w:proofErr w:type="gramStart"/>
      <w:r>
        <w:t>T-Mobile</w:t>
      </w:r>
      <w:proofErr w:type="gramEnd"/>
      <w:r>
        <w:t xml:space="preserve"> předává data za účelem ověřování platební morálky prostřednictvím registru dlužní</w:t>
      </w:r>
      <w:r>
        <w:softHyphen/>
        <w:t>ků sdružení SOLUS, zájmovému s</w:t>
      </w:r>
      <w:r>
        <w:t xml:space="preserve">družení právnických osob, IČO: 69346925. Aktuální seznam členů sdružení SOLUS je uveden na adrese </w:t>
      </w:r>
      <w:hyperlink r:id="rId133" w:history="1">
        <w:r w:rsidRPr="00920265">
          <w:rPr>
            <w:color w:val="E4087E"/>
            <w:u w:val="single"/>
            <w:lang w:eastAsia="en-US" w:bidi="en-US"/>
          </w:rPr>
          <w:t>www.solus.cz</w:t>
        </w:r>
      </w:hyperlink>
      <w:r w:rsidRPr="00920265">
        <w:rPr>
          <w:color w:val="E4087E"/>
          <w:lang w:eastAsia="en-US" w:bidi="en-US"/>
        </w:rPr>
        <w:t xml:space="preserve">. </w:t>
      </w:r>
      <w:proofErr w:type="gramStart"/>
      <w:r>
        <w:t>T-Mobile</w:t>
      </w:r>
      <w:proofErr w:type="gramEnd"/>
      <w:r>
        <w:t xml:space="preserve"> je za uvedeným účelem oprávněn využít i další registry dlužníků. V takovém případě T-Mobile informuje</w:t>
      </w:r>
      <w:r>
        <w:t xml:space="preserve"> o dalších registrech na webových stránkách </w:t>
      </w:r>
      <w:proofErr w:type="gramStart"/>
      <w:r>
        <w:t>T-Mobile</w:t>
      </w:r>
      <w:proofErr w:type="gramEnd"/>
      <w:r>
        <w:t>.</w:t>
      </w:r>
    </w:p>
    <w:p w:rsidR="00215B20" w:rsidRDefault="00FD0AA3">
      <w:pPr>
        <w:pStyle w:val="Zkladntext1"/>
        <w:numPr>
          <w:ilvl w:val="0"/>
          <w:numId w:val="31"/>
        </w:numPr>
        <w:shd w:val="clear" w:color="auto" w:fill="auto"/>
        <w:tabs>
          <w:tab w:val="left" w:pos="342"/>
        </w:tabs>
        <w:spacing w:after="0" w:line="334" w:lineRule="auto"/>
        <w:ind w:left="280" w:hanging="280"/>
        <w:jc w:val="both"/>
        <w:sectPr w:rsidR="00215B20">
          <w:type w:val="continuous"/>
          <w:pgSz w:w="11900" w:h="16840"/>
          <w:pgMar w:top="1964" w:right="808" w:bottom="1364" w:left="813" w:header="0" w:footer="3" w:gutter="0"/>
          <w:cols w:num="2" w:space="430"/>
          <w:noEndnote/>
          <w:docGrid w:linePitch="360"/>
        </w:sectPr>
      </w:pPr>
      <w:r>
        <w:t xml:space="preserve">Účastník souhlasí s tím, že </w:t>
      </w:r>
      <w:proofErr w:type="gramStart"/>
      <w:r>
        <w:t>T-Mobile</w:t>
      </w:r>
      <w:proofErr w:type="gramEnd"/>
      <w:r>
        <w:t xml:space="preserve"> zpracovává Údaje za úče</w:t>
      </w:r>
      <w:r>
        <w:softHyphen/>
        <w:t>lem ověřování a hodnocení jeho bonity a platební morálky prostřednictvím pozitivních registrů či jiných podobných r</w:t>
      </w:r>
      <w:r>
        <w:t>e</w:t>
      </w:r>
      <w:r>
        <w:softHyphen/>
        <w:t>gistrů a dále za účelem vzájemného informování oprávněných uživatelů těchto registrů, a to jak při vzniku smluvního vztahu, tak kdykoliv v průběhu trvání smlouvy, je-li to nezbytné. Zpra</w:t>
      </w:r>
      <w:r>
        <w:softHyphen/>
        <w:t xml:space="preserve">cování Údajů za účelem ověřování platební </w:t>
      </w:r>
      <w:r>
        <w:lastRenderedPageBreak/>
        <w:t>morálky a vzájem</w:t>
      </w:r>
      <w:r>
        <w:softHyphen/>
        <w:t>ného inf</w:t>
      </w:r>
      <w:r>
        <w:t>ormování oprávněných uživatelů pozitivních registrů prostřednictvím těchto registrů zahrnuje jméno, příjmení, ad</w:t>
      </w:r>
      <w:r>
        <w:softHyphen/>
        <w:t>resu, rodné číslo, datum narození, pohlaví, název obchodní fir</w:t>
      </w:r>
      <w:r>
        <w:softHyphen/>
        <w:t>my, sídlo, místo podnikání, identifikační číslo, údaj o dokladech totožnosti, úd</w:t>
      </w:r>
      <w:r>
        <w:t>aj o tom, že mezi účastníkem a T-Mobile došlo k uzavření smlouvy, údaj o finančních závazcích, které vznik</w:t>
      </w:r>
      <w:r>
        <w:softHyphen/>
        <w:t xml:space="preserve">ly, vzniknou nebo mohou vzniknout účastníkovi vůči T-Mobile v souvislosti s uzavřenou smlouvou, a o plnění těchto závazků (zejm. údaje o vystavených </w:t>
      </w:r>
      <w:r>
        <w:t>vyúčtováních služeb), údaje o zajiš</w:t>
      </w:r>
      <w:r>
        <w:softHyphen/>
        <w:t>tění závazků Účastníka souvisejících se smlouvou, dalších úda</w:t>
      </w:r>
      <w:r>
        <w:softHyphen/>
        <w:t>jů vypovídajících o bonitě a platební morálce Účastníka (zejm. údajů o rozsahu a povaze příp. porušení smluvní povinnosti, jehož následkem je existence dlužné</w:t>
      </w:r>
      <w:r>
        <w:t xml:space="preserve"> pohledávky po splatnosti, o příp. změnách závazku nebo smlouvy, o předčasném splně</w:t>
      </w:r>
      <w:r>
        <w:softHyphen/>
        <w:t>ní dluhu apod.). Provozovatel pozitivního registru je oprávněn dále tyto Údaje zpřístupnit za účelem hodnocení bonity a pla</w:t>
      </w:r>
      <w:r>
        <w:softHyphen/>
        <w:t>tební morálky všem uživatelům registru, a to vče</w:t>
      </w:r>
      <w:r>
        <w:t>tně rodného čísla, které je nezbytným identifikátorem. K datu nabytí účin</w:t>
      </w:r>
      <w:r>
        <w:softHyphen/>
        <w:t xml:space="preserve">nosti těchto Podmínek </w:t>
      </w:r>
      <w:proofErr w:type="gramStart"/>
      <w:r>
        <w:t>T-Mobile</w:t>
      </w:r>
      <w:proofErr w:type="gramEnd"/>
      <w:r>
        <w:t xml:space="preserve"> předává data za účelem ově</w:t>
      </w:r>
      <w:r>
        <w:softHyphen/>
        <w:t>řování platební morálky prostřednictvím pozitivního registru sdružení SOLUS, zájmovému sdružení právnických osob, IČO: 69346</w:t>
      </w:r>
      <w:r>
        <w:t xml:space="preserve">925. Aktuální seznam členů sdružení SOLUS je uveden na adrese </w:t>
      </w:r>
      <w:r w:rsidRPr="00920265">
        <w:rPr>
          <w:color w:val="E4087E"/>
          <w:u w:val="single"/>
          <w:lang w:eastAsia="en-US" w:bidi="en-US"/>
        </w:rPr>
        <w:t>solus.cz</w:t>
      </w:r>
      <w:r w:rsidRPr="00920265">
        <w:rPr>
          <w:color w:val="E4087E"/>
          <w:lang w:eastAsia="en-US" w:bidi="en-US"/>
        </w:rPr>
        <w:t xml:space="preserve">. </w:t>
      </w:r>
      <w:r>
        <w:t>Souhlas se zpracováním Údajů za účelem ověřování bonity a platební morálky a za účelem vzájemného informování oprávněných uživatelů výše uvedených pozitiv</w:t>
      </w:r>
      <w:r>
        <w:softHyphen/>
        <w:t>ních registrů prostřednictvím</w:t>
      </w:r>
      <w:r>
        <w:t xml:space="preserve"> těchto registrů dává účastník na dobu platnosti smlouvy a dále po dobu 1 roku od úhrady posledního závazku účastníka vůči </w:t>
      </w:r>
      <w:proofErr w:type="gramStart"/>
      <w:r>
        <w:t>T-Mobile</w:t>
      </w:r>
      <w:proofErr w:type="gramEnd"/>
      <w:r>
        <w:t>, resp. 3 let, pokud byla účastníkova pohledávka postoupena dle platných práv</w:t>
      </w:r>
      <w:r>
        <w:softHyphen/>
        <w:t xml:space="preserve">ních předpisů. V případě pozitivního registru, </w:t>
      </w:r>
      <w:r>
        <w:t xml:space="preserve">pokud tato doba přesáhne dobu 10 let, budou údaje z platební historie starší 10 let zlikvidovány. </w:t>
      </w:r>
      <w:proofErr w:type="gramStart"/>
      <w:r>
        <w:t>T-Mobile</w:t>
      </w:r>
      <w:proofErr w:type="gramEnd"/>
      <w:r>
        <w:t xml:space="preserve"> je za uvedeným účelem oprávněn využít při jednání o smluvním vztahu i v průběhu smluvního</w:t>
      </w:r>
    </w:p>
    <w:p w:rsidR="00215B20" w:rsidRDefault="00FD0AA3">
      <w:pPr>
        <w:pStyle w:val="Zkladntext1"/>
        <w:shd w:val="clear" w:color="auto" w:fill="auto"/>
        <w:spacing w:after="200" w:line="334" w:lineRule="auto"/>
        <w:ind w:left="300" w:firstLine="20"/>
        <w:jc w:val="both"/>
      </w:pPr>
      <w:r>
        <w:lastRenderedPageBreak/>
        <w:t>vztahu s uživatelem nebo účastníkem i další pozitivní regis</w:t>
      </w:r>
      <w:r>
        <w:softHyphen/>
        <w:t xml:space="preserve">try. T-Mobile vás informuje o rozšíření pozitivních registrů na webových stránkách </w:t>
      </w:r>
      <w:proofErr w:type="gramStart"/>
      <w:r>
        <w:t>T-Mobile</w:t>
      </w:r>
      <w:proofErr w:type="gramEnd"/>
      <w:r>
        <w:t xml:space="preserve"> a prostřednictvím SMS zprávy s informací o pozitivním registru.</w:t>
      </w:r>
    </w:p>
    <w:p w:rsidR="00215B20" w:rsidRDefault="00FD0AA3">
      <w:pPr>
        <w:pStyle w:val="Zkladntext1"/>
        <w:numPr>
          <w:ilvl w:val="0"/>
          <w:numId w:val="31"/>
        </w:numPr>
        <w:shd w:val="clear" w:color="auto" w:fill="auto"/>
        <w:tabs>
          <w:tab w:val="left" w:pos="346"/>
        </w:tabs>
        <w:spacing w:after="200" w:line="334" w:lineRule="auto"/>
        <w:ind w:left="300" w:hanging="300"/>
        <w:jc w:val="both"/>
      </w:pPr>
      <w:r>
        <w:t>Účastník má právo rozhodnout se o tom, zda mají být jeho osobní údaje a identifikační údaje uvedené</w:t>
      </w:r>
      <w:r>
        <w:t xml:space="preserve"> ve veřejném účast</w:t>
      </w:r>
      <w:r>
        <w:softHyphen/>
        <w:t>nickém seznamu, jehož účelem je zveřejnění osobních a iden</w:t>
      </w:r>
      <w:r>
        <w:softHyphen/>
        <w:t>tifikačních údajů pro potřeby vyhledání těchto údajů třetími osobami. Osobními a identifikačními údaji se pro účely veřej</w:t>
      </w:r>
      <w:r>
        <w:softHyphen/>
        <w:t>ného účastnického seznamu rozumí jméno, popřípadě jména,</w:t>
      </w:r>
      <w:r>
        <w:t xml:space="preserve"> příjmení, popřípadě pseudonym, adresa bydliště, telefonní číslo a adresa elektronické pošty, u podnikající fyzické oso</w:t>
      </w:r>
      <w:r>
        <w:softHyphen/>
        <w:t>by navíc i adresa sídla podnikání a v případě právnické osoby adresa sídla, případně adresa sídla organizační složky, adresa a telefonní</w:t>
      </w:r>
      <w:r>
        <w:t xml:space="preserve"> číslo provozovny a adresa elektronické pošty. Sou</w:t>
      </w:r>
      <w:r>
        <w:softHyphen/>
        <w:t>hlas s uveřejněním osobních a identifikačních údajů v účast</w:t>
      </w:r>
      <w:r>
        <w:softHyphen/>
        <w:t>nickém seznamu může účastník Operátorovi udělit při uzaví</w:t>
      </w:r>
      <w:r>
        <w:softHyphen/>
        <w:t>rání smlouvy (je-li taková možnost v rámci smlouvy dána) či později prostřednictvím k t</w:t>
      </w:r>
      <w:r>
        <w:t>omu určených kanálů (v Můj T-Mo- bile). Současně má právo u těchto údajů uvést, zda si přeje být kontaktován za účelem marketingu.</w:t>
      </w:r>
    </w:p>
    <w:p w:rsidR="00215B20" w:rsidRDefault="00FD0AA3">
      <w:pPr>
        <w:pStyle w:val="Zkladntext1"/>
        <w:numPr>
          <w:ilvl w:val="0"/>
          <w:numId w:val="31"/>
        </w:numPr>
        <w:shd w:val="clear" w:color="auto" w:fill="auto"/>
        <w:tabs>
          <w:tab w:val="left" w:pos="346"/>
        </w:tabs>
        <w:spacing w:after="200" w:line="334" w:lineRule="auto"/>
        <w:ind w:left="300" w:hanging="300"/>
        <w:jc w:val="both"/>
      </w:pPr>
      <w:proofErr w:type="gramStart"/>
      <w:r>
        <w:t>T-Mobile</w:t>
      </w:r>
      <w:proofErr w:type="gramEnd"/>
      <w:r>
        <w:t xml:space="preserve"> informuje účastníky, že rozhovor se zaměstnanci T-Mobile při osobním projednávání stížnosti či podnětu v pro</w:t>
      </w:r>
      <w:r>
        <w:softHyphen/>
        <w:t>storách</w:t>
      </w:r>
      <w:r>
        <w:t xml:space="preserve"> osobní péče T-Mobile může být zachycen formou zvukového záznamu, a to za účelem zajištění důkazu o prů</w:t>
      </w:r>
      <w:r>
        <w:softHyphen/>
        <w:t>běhu komunikace mezi účastníkem a zaměstnanci T-Mobile. V případě telefonního hovoru s operátorem Zákaznické linky či externím call centrem, které předs</w:t>
      </w:r>
      <w:r>
        <w:t>tavuje zpracovatele osob</w:t>
      </w:r>
      <w:r>
        <w:softHyphen/>
        <w:t>ních údajů, bere účastník na vědomí, že telefonní hovor může být nahráván, a to za účelem vnitřní kontroly služeb a zvyšo</w:t>
      </w:r>
      <w:r>
        <w:softHyphen/>
        <w:t>vání jejich kvality či za účelem zajištění důkazu o uskutečněné transakci (např. uzavření účastnické smlouvy)</w:t>
      </w:r>
      <w:r>
        <w:t>.</w:t>
      </w:r>
    </w:p>
    <w:p w:rsidR="00215B20" w:rsidRDefault="00FD0AA3">
      <w:pPr>
        <w:pStyle w:val="Zkladntext1"/>
        <w:numPr>
          <w:ilvl w:val="0"/>
          <w:numId w:val="31"/>
        </w:numPr>
        <w:shd w:val="clear" w:color="auto" w:fill="auto"/>
        <w:tabs>
          <w:tab w:val="left" w:pos="346"/>
        </w:tabs>
        <w:spacing w:after="200" w:line="334" w:lineRule="auto"/>
        <w:ind w:left="300" w:hanging="300"/>
        <w:jc w:val="both"/>
      </w:pPr>
      <w:r>
        <w:t xml:space="preserve">Účastník bere na vědomí, že má právo vzít svůj souhlas se zpracováním osobních údajů kdykoliv zpět, právo na přístup k osobním údajům, právo na opravu osobních údajů, právo na výmaz, právo na omezené zpracování osobních údajů, právo vznést námitku proti </w:t>
      </w:r>
      <w:r>
        <w:t>zpracování osobních údajů, právo nebýt předmětem automatizovaného individuálního rozhodování včetně profilování a právo obrátit se se svou stížností na Úřad pro ochranu osobních údajů.</w:t>
      </w:r>
    </w:p>
    <w:p w:rsidR="00215B20" w:rsidRDefault="00FD0AA3">
      <w:pPr>
        <w:pStyle w:val="Zkladntext1"/>
        <w:numPr>
          <w:ilvl w:val="0"/>
          <w:numId w:val="31"/>
        </w:numPr>
        <w:shd w:val="clear" w:color="auto" w:fill="auto"/>
        <w:tabs>
          <w:tab w:val="left" w:pos="346"/>
        </w:tabs>
        <w:spacing w:after="200" w:line="334" w:lineRule="auto"/>
        <w:ind w:left="300" w:hanging="300"/>
        <w:jc w:val="both"/>
      </w:pPr>
      <w:r>
        <w:t>Bližší informace ke zpracování osobních údajů a vašim právům podle GDPR</w:t>
      </w:r>
      <w:r>
        <w:t xml:space="preserve"> naleznete v Zásadách ochrany osobních úda</w:t>
      </w:r>
      <w:r>
        <w:softHyphen/>
        <w:t xml:space="preserve">jů, jež jsou zveřejněny na webových stránkách </w:t>
      </w:r>
      <w:proofErr w:type="gramStart"/>
      <w:r>
        <w:t>T-Mobile</w:t>
      </w:r>
      <w:proofErr w:type="gramEnd"/>
      <w:r>
        <w:t xml:space="preserve"> zde: </w:t>
      </w:r>
      <w:hyperlink r:id="rId134" w:history="1">
        <w:r w:rsidRPr="00920265">
          <w:rPr>
            <w:color w:val="E4087E"/>
            <w:u w:val="single"/>
            <w:lang w:eastAsia="en-US" w:bidi="en-US"/>
          </w:rPr>
          <w:t xml:space="preserve">https://www.t-mobile.cz/ochrana-udaju/zasady-ochrany- </w:t>
        </w:r>
        <w:r>
          <w:rPr>
            <w:color w:val="E4087E"/>
            <w:u w:val="single"/>
          </w:rPr>
          <w:t>osobnich-udaju</w:t>
        </w:r>
      </w:hyperlink>
      <w:r>
        <w:rPr>
          <w:color w:val="E4087E"/>
        </w:rPr>
        <w:t>.</w:t>
      </w:r>
    </w:p>
    <w:p w:rsidR="00215B20" w:rsidRDefault="00FD0AA3">
      <w:pPr>
        <w:pStyle w:val="Zkladntext1"/>
        <w:numPr>
          <w:ilvl w:val="0"/>
          <w:numId w:val="31"/>
        </w:numPr>
        <w:shd w:val="clear" w:color="auto" w:fill="auto"/>
        <w:tabs>
          <w:tab w:val="left" w:pos="346"/>
        </w:tabs>
        <w:spacing w:after="200" w:line="334" w:lineRule="auto"/>
        <w:sectPr w:rsidR="00215B20">
          <w:pgSz w:w="11900" w:h="16840"/>
          <w:pgMar w:top="1981" w:right="809" w:bottom="1367" w:left="795" w:header="0" w:footer="3" w:gutter="0"/>
          <w:cols w:space="720"/>
          <w:noEndnote/>
          <w:docGrid w:linePitch="360"/>
        </w:sectPr>
      </w:pPr>
      <w:r>
        <w:t>Tyto Podmínky nabývají platnosti a účinnosti dne 1. 1. 2022.</w:t>
      </w:r>
    </w:p>
    <w:p w:rsidR="00215B20" w:rsidRDefault="00FD0AA3">
      <w:pPr>
        <w:pStyle w:val="Nadpis40"/>
        <w:keepNext/>
        <w:keepLines/>
        <w:shd w:val="clear" w:color="auto" w:fill="auto"/>
        <w:spacing w:after="100"/>
      </w:pPr>
      <w:bookmarkStart w:id="223" w:name="bookmark222"/>
      <w:bookmarkStart w:id="224" w:name="bookmark223"/>
      <w:r>
        <w:rPr>
          <w:color w:val="EC018B"/>
        </w:rPr>
        <w:lastRenderedPageBreak/>
        <w:t xml:space="preserve">Obchodní podmínky </w:t>
      </w:r>
      <w:r w:rsidRPr="00920265">
        <w:rPr>
          <w:color w:val="EC018B"/>
          <w:lang w:eastAsia="en-US" w:bidi="en-US"/>
        </w:rPr>
        <w:t xml:space="preserve">smlouvy o </w:t>
      </w:r>
      <w:r>
        <w:rPr>
          <w:color w:val="EC018B"/>
        </w:rPr>
        <w:t>firemním řešení</w:t>
      </w:r>
      <w:bookmarkEnd w:id="223"/>
      <w:bookmarkEnd w:id="224"/>
    </w:p>
    <w:p w:rsidR="00215B20" w:rsidRDefault="00FD0AA3">
      <w:pPr>
        <w:pStyle w:val="Zkladntext1"/>
        <w:shd w:val="clear" w:color="auto" w:fill="auto"/>
        <w:spacing w:after="0" w:line="334" w:lineRule="auto"/>
        <w:sectPr w:rsidR="00215B20">
          <w:headerReference w:type="even" r:id="rId135"/>
          <w:headerReference w:type="default" r:id="rId136"/>
          <w:footerReference w:type="even" r:id="rId137"/>
          <w:footerReference w:type="default" r:id="rId138"/>
          <w:type w:val="continuous"/>
          <w:pgSz w:w="11900" w:h="16840"/>
          <w:pgMar w:top="1981" w:right="809" w:bottom="1367" w:left="795" w:header="0" w:footer="3" w:gutter="0"/>
          <w:cols w:space="720"/>
          <w:noEndnote/>
          <w:docGrid w:linePitch="360"/>
        </w:sectPr>
      </w:pPr>
      <w:r>
        <w:t xml:space="preserve">společnosti T-Mobile </w:t>
      </w:r>
      <w:r w:rsidRPr="00920265">
        <w:rPr>
          <w:lang w:eastAsia="en-US" w:bidi="en-US"/>
        </w:rPr>
        <w:t xml:space="preserve">Czech Republic </w:t>
      </w:r>
      <w:r>
        <w:t>a.s., se sídlem Tomíčkova 2144/1, 148 00 Praha 4, IČO: 649 49681, zapsané do obchodního rejstříku vedeného Městským soudem v Praze, oddíl B, vložka 3787</w:t>
      </w:r>
    </w:p>
    <w:p w:rsidR="00215B20" w:rsidRDefault="00215B20">
      <w:pPr>
        <w:spacing w:line="240" w:lineRule="exact"/>
        <w:rPr>
          <w:sz w:val="19"/>
          <w:szCs w:val="19"/>
        </w:rPr>
      </w:pPr>
    </w:p>
    <w:p w:rsidR="00215B20" w:rsidRDefault="00215B20">
      <w:pPr>
        <w:spacing w:line="240" w:lineRule="exact"/>
        <w:rPr>
          <w:sz w:val="19"/>
          <w:szCs w:val="19"/>
        </w:rPr>
      </w:pPr>
    </w:p>
    <w:p w:rsidR="00215B20" w:rsidRDefault="00215B20">
      <w:pPr>
        <w:spacing w:line="240" w:lineRule="exact"/>
        <w:rPr>
          <w:sz w:val="19"/>
          <w:szCs w:val="19"/>
        </w:rPr>
      </w:pPr>
    </w:p>
    <w:p w:rsidR="00215B20" w:rsidRDefault="00215B20">
      <w:pPr>
        <w:spacing w:before="45" w:after="45" w:line="240" w:lineRule="exact"/>
        <w:rPr>
          <w:sz w:val="19"/>
          <w:szCs w:val="19"/>
        </w:rPr>
      </w:pPr>
    </w:p>
    <w:p w:rsidR="00215B20" w:rsidRDefault="00215B20">
      <w:pPr>
        <w:spacing w:line="1" w:lineRule="exact"/>
        <w:sectPr w:rsidR="00215B20">
          <w:type w:val="continuous"/>
          <w:pgSz w:w="11900" w:h="16840"/>
          <w:pgMar w:top="2002" w:right="0" w:bottom="1364" w:left="0" w:header="0" w:footer="3" w:gutter="0"/>
          <w:cols w:space="720"/>
          <w:noEndnote/>
          <w:docGrid w:linePitch="360"/>
        </w:sectPr>
      </w:pPr>
    </w:p>
    <w:p w:rsidR="00215B20" w:rsidRDefault="00FD0AA3">
      <w:pPr>
        <w:pStyle w:val="Nadpis60"/>
        <w:keepNext/>
        <w:keepLines/>
        <w:shd w:val="clear" w:color="auto" w:fill="auto"/>
        <w:tabs>
          <w:tab w:val="left" w:pos="557"/>
        </w:tabs>
        <w:spacing w:after="0" w:line="334" w:lineRule="auto"/>
      </w:pPr>
      <w:bookmarkStart w:id="225" w:name="bookmark224"/>
      <w:bookmarkStart w:id="226" w:name="bookmark225"/>
      <w:r>
        <w:rPr>
          <w:color w:val="EC018B"/>
        </w:rPr>
        <w:lastRenderedPageBreak/>
        <w:t>1.</w:t>
      </w:r>
      <w:r>
        <w:rPr>
          <w:color w:val="EC018B"/>
        </w:rPr>
        <w:tab/>
        <w:t>Předmět ob</w:t>
      </w:r>
      <w:r>
        <w:rPr>
          <w:color w:val="EC018B"/>
        </w:rPr>
        <w:t>chodních podmínek smlouvy o firemním</w:t>
      </w:r>
      <w:bookmarkEnd w:id="225"/>
      <w:bookmarkEnd w:id="226"/>
    </w:p>
    <w:p w:rsidR="00215B20" w:rsidRDefault="00FD0AA3">
      <w:pPr>
        <w:pStyle w:val="Nadpis60"/>
        <w:keepNext/>
        <w:keepLines/>
        <w:shd w:val="clear" w:color="auto" w:fill="auto"/>
        <w:spacing w:after="0" w:line="334" w:lineRule="auto"/>
        <w:ind w:firstLine="580"/>
      </w:pPr>
      <w:bookmarkStart w:id="227" w:name="bookmark226"/>
      <w:bookmarkStart w:id="228" w:name="bookmark227"/>
      <w:r>
        <w:rPr>
          <w:color w:val="EC018B"/>
        </w:rPr>
        <w:t>řešení</w:t>
      </w:r>
      <w:bookmarkEnd w:id="227"/>
      <w:bookmarkEnd w:id="228"/>
    </w:p>
    <w:p w:rsidR="00215B20" w:rsidRDefault="00FD0AA3">
      <w:pPr>
        <w:pStyle w:val="Zkladntext1"/>
        <w:numPr>
          <w:ilvl w:val="0"/>
          <w:numId w:val="32"/>
        </w:numPr>
        <w:shd w:val="clear" w:color="auto" w:fill="auto"/>
        <w:tabs>
          <w:tab w:val="left" w:pos="557"/>
        </w:tabs>
        <w:spacing w:after="240" w:line="334" w:lineRule="auto"/>
        <w:ind w:left="580" w:hanging="580"/>
        <w:jc w:val="both"/>
      </w:pPr>
      <w:r>
        <w:t>Tyto Obchodní podmínky Smlouvy o Firemním řešení (dále jen „Podmínky Firemního řešení“) upravují další práva a po</w:t>
      </w:r>
      <w:r>
        <w:softHyphen/>
        <w:t>vinnosti Smluvních stran Smlouvy o firemním řešení (dále jen „Smlouva“) a rovněž práva a povinnost</w:t>
      </w:r>
      <w:r>
        <w:t>i Oprávněných osob při poskytování a užívání Služeb. Podmínky Firemního řešení tvoří nedílnou součást Smlouvy. Podmínkami Firemního řešení se řídí rovněž závazky Smluvních stran jiné smlouvy než Smlouvy o Firemním řešení, pokud je tak v takové jiné smlouvě</w:t>
      </w:r>
      <w:r>
        <w:t xml:space="preserve"> stanoveno, přičemž v takovém případě se Smluvním partnerem rozumí příjemce a TMCZ poskytovatel plnění dle takové jiné smlouvy a Službami se rozumí právě plnění poskytované TMCZ.</w:t>
      </w:r>
    </w:p>
    <w:p w:rsidR="00215B20" w:rsidRDefault="00FD0AA3">
      <w:pPr>
        <w:pStyle w:val="Nadpis60"/>
        <w:keepNext/>
        <w:keepLines/>
        <w:numPr>
          <w:ilvl w:val="0"/>
          <w:numId w:val="15"/>
        </w:numPr>
        <w:shd w:val="clear" w:color="auto" w:fill="auto"/>
        <w:tabs>
          <w:tab w:val="left" w:pos="557"/>
        </w:tabs>
        <w:spacing w:after="0" w:line="334" w:lineRule="auto"/>
      </w:pPr>
      <w:bookmarkStart w:id="229" w:name="bookmark228"/>
      <w:bookmarkStart w:id="230" w:name="bookmark229"/>
      <w:r>
        <w:rPr>
          <w:color w:val="EC018B"/>
        </w:rPr>
        <w:t>Definice a zkratky</w:t>
      </w:r>
      <w:bookmarkEnd w:id="229"/>
      <w:bookmarkEnd w:id="230"/>
    </w:p>
    <w:p w:rsidR="00215B20" w:rsidRDefault="00FD0AA3">
      <w:pPr>
        <w:pStyle w:val="Zkladntext1"/>
        <w:numPr>
          <w:ilvl w:val="1"/>
          <w:numId w:val="15"/>
        </w:numPr>
        <w:shd w:val="clear" w:color="auto" w:fill="auto"/>
        <w:tabs>
          <w:tab w:val="left" w:pos="557"/>
        </w:tabs>
        <w:spacing w:after="0" w:line="334" w:lineRule="auto"/>
        <w:ind w:left="580" w:hanging="580"/>
        <w:jc w:val="both"/>
      </w:pPr>
      <w:r>
        <w:t>Definice a zkratky použité ve Smlouvě mají stejný význam i</w:t>
      </w:r>
      <w:r>
        <w:t xml:space="preserve"> pro tyto Podmínky Firemního řešení a pro další Smluvní dokumenty, není-li výslovně stanoveno jinak. Dále se pou</w:t>
      </w:r>
      <w:r>
        <w:softHyphen/>
        <w:t>žijí následující definice:</w:t>
      </w:r>
    </w:p>
    <w:p w:rsidR="00215B20" w:rsidRDefault="00FD0AA3">
      <w:pPr>
        <w:pStyle w:val="Zkladntext1"/>
        <w:numPr>
          <w:ilvl w:val="0"/>
          <w:numId w:val="14"/>
        </w:numPr>
        <w:shd w:val="clear" w:color="auto" w:fill="auto"/>
        <w:tabs>
          <w:tab w:val="left" w:pos="866"/>
        </w:tabs>
        <w:spacing w:after="0" w:line="334" w:lineRule="auto"/>
        <w:ind w:left="840" w:hanging="260"/>
        <w:jc w:val="both"/>
      </w:pPr>
      <w:r>
        <w:t>Ceníkem služeb se rozumí dokument obsahující ceny Služeb, případně další podmínky, uveřejněný ve vzta</w:t>
      </w:r>
      <w:r>
        <w:softHyphen/>
        <w:t>hu k určité Sl</w:t>
      </w:r>
      <w:r>
        <w:t xml:space="preserve">užbě na stránkách </w:t>
      </w:r>
      <w:hyperlink r:id="rId139" w:history="1">
        <w:r>
          <w:t>www.t-mobile.cz</w:t>
        </w:r>
      </w:hyperlink>
      <w:r>
        <w:t xml:space="preserve"> nebo jinde specifikovaný v souladu se Smluvními dokumen</w:t>
      </w:r>
      <w:r>
        <w:softHyphen/>
        <w:t xml:space="preserve">ty. Ceníkem </w:t>
      </w:r>
      <w:r>
        <w:lastRenderedPageBreak/>
        <w:t>služeb je i cenový program.</w:t>
      </w:r>
    </w:p>
    <w:p w:rsidR="00215B20" w:rsidRDefault="00FD0AA3">
      <w:pPr>
        <w:pStyle w:val="Zkladntext1"/>
        <w:numPr>
          <w:ilvl w:val="0"/>
          <w:numId w:val="14"/>
        </w:numPr>
        <w:shd w:val="clear" w:color="auto" w:fill="auto"/>
        <w:tabs>
          <w:tab w:val="left" w:pos="866"/>
        </w:tabs>
        <w:spacing w:after="0" w:line="334" w:lineRule="auto"/>
        <w:ind w:left="840" w:hanging="260"/>
        <w:jc w:val="both"/>
      </w:pPr>
      <w:r>
        <w:t xml:space="preserve">Cenou se rozumí cena za poskytování Služeb. Cena může být určena buď nominální hodnotou, </w:t>
      </w:r>
      <w:r>
        <w:t>nebo pro</w:t>
      </w:r>
      <w:r>
        <w:softHyphen/>
        <w:t>centuální slevou z Ceny uvedené v Ceníku služeb.</w:t>
      </w:r>
    </w:p>
    <w:p w:rsidR="00215B20" w:rsidRDefault="00FD0AA3">
      <w:pPr>
        <w:pStyle w:val="Zkladntext1"/>
        <w:numPr>
          <w:ilvl w:val="0"/>
          <w:numId w:val="14"/>
        </w:numPr>
        <w:shd w:val="clear" w:color="auto" w:fill="auto"/>
        <w:tabs>
          <w:tab w:val="left" w:pos="866"/>
        </w:tabs>
        <w:spacing w:after="0" w:line="334" w:lineRule="auto"/>
        <w:ind w:left="840" w:hanging="260"/>
        <w:jc w:val="both"/>
      </w:pPr>
      <w:r>
        <w:t>Dohodou o cenových podmínkách se rozumí smluvní dokument uzavřený mezi Smluvními stranami, v němž si Smluvní strany sjednávají zejména cenové podmín</w:t>
      </w:r>
      <w:r>
        <w:softHyphen/>
        <w:t xml:space="preserve">ky, ale i další podmínky pro poskytování Služeb, </w:t>
      </w:r>
      <w:r>
        <w:t>které budou následně poskytovány na základě uzavřených Účastnických smluv nebo Specifikací služeb. Dohoda o cenových podmínkách se uzavřením stává nedílnou součástí Smlouvy.</w:t>
      </w:r>
    </w:p>
    <w:p w:rsidR="00215B20" w:rsidRDefault="00FD0AA3">
      <w:pPr>
        <w:pStyle w:val="Zkladntext1"/>
        <w:numPr>
          <w:ilvl w:val="0"/>
          <w:numId w:val="14"/>
        </w:numPr>
        <w:shd w:val="clear" w:color="auto" w:fill="auto"/>
        <w:tabs>
          <w:tab w:val="left" w:pos="866"/>
        </w:tabs>
        <w:spacing w:after="0" w:line="334" w:lineRule="auto"/>
        <w:ind w:left="840" w:hanging="260"/>
        <w:jc w:val="both"/>
      </w:pPr>
      <w:r>
        <w:t>Kontaktní osobou se rozumí osoba uvedená ve Smlouvě, jejíž oprávnění jsou definová</w:t>
      </w:r>
      <w:r>
        <w:t>na tamtéž. Kontaktní osoby mohou být měněny jednostranným oznámením prokazatelně doručeným druhé Smluvní straně, přičemž taková změna je účinná doručením oznámení. Kontaktní osoby uvedené ve Specifikaci či Popisu služby jsou osoby určené pro zajištění fyzi</w:t>
      </w:r>
      <w:r>
        <w:t>c</w:t>
      </w:r>
      <w:r>
        <w:softHyphen/>
        <w:t>kých přístupů pro účely zřízení či změny Služeb a rov</w:t>
      </w:r>
      <w:r>
        <w:softHyphen/>
        <w:t>něž pro fyzické převzetí Služeb, není-li stanoveno jinak.</w:t>
      </w:r>
    </w:p>
    <w:p w:rsidR="00215B20" w:rsidRDefault="00FD0AA3">
      <w:pPr>
        <w:pStyle w:val="Zkladntext1"/>
        <w:numPr>
          <w:ilvl w:val="0"/>
          <w:numId w:val="14"/>
        </w:numPr>
        <w:shd w:val="clear" w:color="auto" w:fill="auto"/>
        <w:tabs>
          <w:tab w:val="left" w:pos="866"/>
        </w:tabs>
        <w:spacing w:after="0" w:line="334" w:lineRule="auto"/>
        <w:ind w:left="840" w:hanging="260"/>
        <w:jc w:val="both"/>
      </w:pPr>
      <w:r>
        <w:lastRenderedPageBreak/>
        <w:t>Lokalitou Smluvního partnera se rozumí místo sjednané ve Specifikaci služby či jiném Smluvním dokumentu, kde budou Služby poskytovány TMCZ a u</w:t>
      </w:r>
      <w:r>
        <w:t>žívány Smluvním partnerem.</w:t>
      </w:r>
    </w:p>
    <w:p w:rsidR="00215B20" w:rsidRDefault="00FD0AA3">
      <w:pPr>
        <w:pStyle w:val="Zkladntext1"/>
        <w:numPr>
          <w:ilvl w:val="0"/>
          <w:numId w:val="14"/>
        </w:numPr>
        <w:shd w:val="clear" w:color="auto" w:fill="auto"/>
        <w:tabs>
          <w:tab w:val="left" w:pos="290"/>
        </w:tabs>
        <w:spacing w:after="0" w:line="334" w:lineRule="auto"/>
        <w:ind w:left="280" w:hanging="280"/>
        <w:jc w:val="both"/>
      </w:pPr>
      <w:r>
        <w:t>Popisem služby se rozumí smluvní dokument obsahu</w:t>
      </w:r>
      <w:r>
        <w:softHyphen/>
        <w:t>jící popis Služby poskytované Smluvnímu partnerovi na základě Specifikace služby nebo Účastnické smlou</w:t>
      </w:r>
      <w:r>
        <w:softHyphen/>
        <w:t>vy. Popisem služby se bez ohledu na označení rozumí i obchodní podmínky obsah</w:t>
      </w:r>
      <w:r>
        <w:t xml:space="preserve">ující popis a podmínky poskytování určité Služby. Popis služby je umístěn na stránkách </w:t>
      </w:r>
      <w:hyperlink r:id="rId140" w:history="1">
        <w:r>
          <w:t>www.t-mobile.cz</w:t>
        </w:r>
      </w:hyperlink>
      <w:r>
        <w:t xml:space="preserve">. Uzavřením Specifikace služby se příslušný Popis služby, kterého se Specifikace služby týká, stává součástí dané </w:t>
      </w:r>
      <w:r>
        <w:t>Specifikace služby.</w:t>
      </w:r>
    </w:p>
    <w:p w:rsidR="00215B20" w:rsidRDefault="00FD0AA3">
      <w:pPr>
        <w:pStyle w:val="Zkladntext1"/>
        <w:numPr>
          <w:ilvl w:val="0"/>
          <w:numId w:val="14"/>
        </w:numPr>
        <w:shd w:val="clear" w:color="auto" w:fill="auto"/>
        <w:tabs>
          <w:tab w:val="left" w:pos="290"/>
        </w:tabs>
        <w:spacing w:after="0" w:line="334" w:lineRule="auto"/>
        <w:ind w:left="280" w:hanging="280"/>
        <w:jc w:val="both"/>
      </w:pPr>
      <w:r>
        <w:t>Poruchou se rozumí stav, který neumožňuje užívání Služby obvyklým způsobem v důsledku nedodržení sjednaných parametrů Služby ze strany TMCZ.</w:t>
      </w:r>
    </w:p>
    <w:p w:rsidR="00215B20" w:rsidRDefault="00FD0AA3">
      <w:pPr>
        <w:pStyle w:val="Zkladntext1"/>
        <w:numPr>
          <w:ilvl w:val="0"/>
          <w:numId w:val="14"/>
        </w:numPr>
        <w:shd w:val="clear" w:color="auto" w:fill="auto"/>
        <w:tabs>
          <w:tab w:val="left" w:pos="290"/>
        </w:tabs>
        <w:spacing w:after="0" w:line="334" w:lineRule="auto"/>
        <w:ind w:left="280" w:hanging="280"/>
        <w:jc w:val="both"/>
      </w:pPr>
      <w:r>
        <w:t>Připojením se rozumí přímé připojení příslušného Zařízení Smluvního partnera k síti TMCZ.</w:t>
      </w:r>
    </w:p>
    <w:p w:rsidR="00215B20" w:rsidRDefault="00FD0AA3">
      <w:pPr>
        <w:pStyle w:val="Zkladntext1"/>
        <w:numPr>
          <w:ilvl w:val="0"/>
          <w:numId w:val="14"/>
        </w:numPr>
        <w:shd w:val="clear" w:color="auto" w:fill="auto"/>
        <w:tabs>
          <w:tab w:val="left" w:pos="290"/>
        </w:tabs>
        <w:spacing w:after="0" w:line="334" w:lineRule="auto"/>
        <w:ind w:left="280" w:hanging="280"/>
        <w:jc w:val="both"/>
      </w:pPr>
      <w:r>
        <w:t>Servi</w:t>
      </w:r>
      <w:r>
        <w:t>sním požadavkem se rozumí požadavek na od</w:t>
      </w:r>
      <w:r>
        <w:softHyphen/>
        <w:t>stranění Poruchy Služby. Pokud není sjednáno jinak, Servisní požadavek musí vždy obsahovat přesnou a jednoznačnou identifikaci Smluvního partnera, typ a označení Služby, které se Porucha týká, popis Poruchy, identi</w:t>
      </w:r>
      <w:r>
        <w:t>fikační a kontaktní údaje osoby, která Poruchu oznamuje, a další informace nezbytné k od</w:t>
      </w:r>
      <w:r>
        <w:softHyphen/>
        <w:t>stranění Poruchy, které má Smluvní partner k dispozici. Není-li výslovně stanoveno jinak, předává se Servisní požadavek mezi Kontaktními osobami definovanými ve Smlouv</w:t>
      </w:r>
      <w:r>
        <w:t>ě.</w:t>
      </w:r>
    </w:p>
    <w:p w:rsidR="00215B20" w:rsidRDefault="00FD0AA3">
      <w:pPr>
        <w:pStyle w:val="Zkladntext1"/>
        <w:numPr>
          <w:ilvl w:val="0"/>
          <w:numId w:val="14"/>
        </w:numPr>
        <w:shd w:val="clear" w:color="auto" w:fill="auto"/>
        <w:tabs>
          <w:tab w:val="left" w:pos="290"/>
        </w:tabs>
        <w:spacing w:after="0" w:line="334" w:lineRule="auto"/>
        <w:ind w:left="280" w:hanging="280"/>
        <w:jc w:val="both"/>
      </w:pPr>
      <w:r>
        <w:t>SLA se rozumí doplňková služba ke Službám, jejíž poskytování si mohou Smluvní strany dohodnout ve Specifikaci služby, případně v jiném dokumentu. SLA zahrnuje ujednání o kvalitě, úrovni a dostupnosti po</w:t>
      </w:r>
      <w:r>
        <w:softHyphen/>
        <w:t>skytovaných Služeb a o následcích nedodržení takov</w:t>
      </w:r>
      <w:r>
        <w:t>é kvality, úrovně či dostupnosti Služeb.</w:t>
      </w:r>
    </w:p>
    <w:p w:rsidR="00215B20" w:rsidRDefault="00FD0AA3">
      <w:pPr>
        <w:pStyle w:val="Zkladntext1"/>
        <w:numPr>
          <w:ilvl w:val="0"/>
          <w:numId w:val="14"/>
        </w:numPr>
        <w:shd w:val="clear" w:color="auto" w:fill="auto"/>
        <w:tabs>
          <w:tab w:val="left" w:pos="290"/>
        </w:tabs>
        <w:spacing w:after="0" w:line="334" w:lineRule="auto"/>
        <w:ind w:left="280" w:hanging="280"/>
        <w:jc w:val="both"/>
      </w:pPr>
      <w:r>
        <w:t>Smluvním partnerem se rozumí Smluvní strana Smlouvy v souladu s definicí ve Smlouvě. Smluvní partner může být ve Smluvních dokumentech rovněž označen jako Účastník nebo Zájemce.</w:t>
      </w:r>
    </w:p>
    <w:p w:rsidR="00215B20" w:rsidRDefault="00FD0AA3">
      <w:pPr>
        <w:pStyle w:val="Zkladntext1"/>
        <w:numPr>
          <w:ilvl w:val="0"/>
          <w:numId w:val="14"/>
        </w:numPr>
        <w:shd w:val="clear" w:color="auto" w:fill="auto"/>
        <w:tabs>
          <w:tab w:val="left" w:pos="290"/>
        </w:tabs>
        <w:spacing w:after="0" w:line="334" w:lineRule="auto"/>
        <w:ind w:left="280" w:hanging="280"/>
        <w:jc w:val="both"/>
        <w:sectPr w:rsidR="00215B20">
          <w:type w:val="continuous"/>
          <w:pgSz w:w="11900" w:h="16840"/>
          <w:pgMar w:top="2002" w:right="809" w:bottom="1364" w:left="809" w:header="0" w:footer="3" w:gutter="0"/>
          <w:cols w:num="2" w:space="720" w:equalWidth="0">
            <w:col w:w="4925" w:space="998"/>
            <w:col w:w="4358"/>
          </w:cols>
          <w:noEndnote/>
          <w:docGrid w:linePitch="360"/>
        </w:sectPr>
      </w:pPr>
      <w:r>
        <w:t>Sp</w:t>
      </w:r>
      <w:r>
        <w:t>ecifikací služby se rozumí smluvní dokument uzavře</w:t>
      </w:r>
      <w:r>
        <w:softHyphen/>
        <w:t>ný mezi Smluvními stranami, na jehož základě dochází ke zřízení Služeb a který obsahuje konkrétní specifika</w:t>
      </w:r>
      <w:r>
        <w:softHyphen/>
        <w:t xml:space="preserve">ci Služby, která má být poskytována ze strany TMCZ vůči Smluvnímu partnerovi. Specifikace služby </w:t>
      </w:r>
      <w:r>
        <w:t>se uza</w:t>
      </w:r>
      <w:r>
        <w:softHyphen/>
        <w:t>vřením stává nedílnou součástí Smlouvy. Specifikace služby zpravidla obsahuje parametry Služby, cenu Služby, Minimální dobu užívání služby, termín zřízení Služby aj. Jedna Specifikace služby může být uzavřena jak pro jednu Službu, tak pro více Služe</w:t>
      </w:r>
      <w:r>
        <w:t>b, přičemž je-li</w:t>
      </w:r>
    </w:p>
    <w:p w:rsidR="00215B20" w:rsidRDefault="00FD0AA3">
      <w:pPr>
        <w:pStyle w:val="Zkladntext1"/>
        <w:shd w:val="clear" w:color="auto" w:fill="auto"/>
        <w:spacing w:after="0" w:line="334" w:lineRule="auto"/>
        <w:ind w:left="840" w:firstLine="20"/>
        <w:jc w:val="both"/>
      </w:pPr>
      <w:r w:rsidRPr="00920265">
        <w:rPr>
          <w:lang w:eastAsia="en-US" w:bidi="en-US"/>
        </w:rPr>
        <w:lastRenderedPageBreak/>
        <w:t xml:space="preserve">Specifikace </w:t>
      </w:r>
      <w:r>
        <w:t xml:space="preserve">služby uzavřena </w:t>
      </w:r>
      <w:r w:rsidRPr="00920265">
        <w:rPr>
          <w:lang w:eastAsia="en-US" w:bidi="en-US"/>
        </w:rPr>
        <w:t xml:space="preserve">pro </w:t>
      </w:r>
      <w:r>
        <w:t xml:space="preserve">více Služeb, </w:t>
      </w:r>
      <w:r w:rsidRPr="00920265">
        <w:rPr>
          <w:lang w:eastAsia="en-US" w:bidi="en-US"/>
        </w:rPr>
        <w:t xml:space="preserve">pak nelze takovou Specifikaci </w:t>
      </w:r>
      <w:r>
        <w:t>služeb ukončit částečnou výpově</w:t>
      </w:r>
      <w:r>
        <w:softHyphen/>
        <w:t xml:space="preserve">dí </w:t>
      </w:r>
      <w:r w:rsidRPr="00920265">
        <w:rPr>
          <w:lang w:eastAsia="en-US" w:bidi="en-US"/>
        </w:rPr>
        <w:t xml:space="preserve">pouze ve vztahu k </w:t>
      </w:r>
      <w:r>
        <w:t xml:space="preserve">jedné Službě. </w:t>
      </w:r>
      <w:r w:rsidRPr="00920265">
        <w:rPr>
          <w:lang w:eastAsia="en-US" w:bidi="en-US"/>
        </w:rPr>
        <w:t xml:space="preserve">V </w:t>
      </w:r>
      <w:r>
        <w:t xml:space="preserve">rámci </w:t>
      </w:r>
      <w:r w:rsidRPr="00920265">
        <w:rPr>
          <w:lang w:eastAsia="en-US" w:bidi="en-US"/>
        </w:rPr>
        <w:t xml:space="preserve">jednoho </w:t>
      </w:r>
      <w:r>
        <w:t>do</w:t>
      </w:r>
      <w:r>
        <w:softHyphen/>
        <w:t>kumentu</w:t>
      </w:r>
      <w:r w:rsidRPr="00920265">
        <w:rPr>
          <w:lang w:eastAsia="en-US" w:bidi="en-US"/>
        </w:rPr>
        <w:t xml:space="preserve"> </w:t>
      </w:r>
      <w:r>
        <w:t xml:space="preserve">označeného </w:t>
      </w:r>
      <w:r w:rsidRPr="00920265">
        <w:rPr>
          <w:lang w:eastAsia="en-US" w:bidi="en-US"/>
        </w:rPr>
        <w:t xml:space="preserve">jako „Specifikace </w:t>
      </w:r>
      <w:r>
        <w:t xml:space="preserve">služby“ </w:t>
      </w:r>
      <w:r w:rsidRPr="00920265">
        <w:rPr>
          <w:lang w:eastAsia="en-US" w:bidi="en-US"/>
        </w:rPr>
        <w:t xml:space="preserve">mohou </w:t>
      </w:r>
      <w:r>
        <w:t xml:space="preserve">Smluvní </w:t>
      </w:r>
      <w:r w:rsidRPr="00920265">
        <w:rPr>
          <w:lang w:eastAsia="en-US" w:bidi="en-US"/>
        </w:rPr>
        <w:t xml:space="preserve">strany </w:t>
      </w:r>
      <w:r>
        <w:t xml:space="preserve">uzavřít </w:t>
      </w:r>
      <w:r w:rsidRPr="00920265">
        <w:rPr>
          <w:lang w:eastAsia="en-US" w:bidi="en-US"/>
        </w:rPr>
        <w:t xml:space="preserve">i </w:t>
      </w:r>
      <w:r>
        <w:t>ví</w:t>
      </w:r>
      <w:r>
        <w:t xml:space="preserve">ce samostatných Specifikací služby (dále také „Hromadná </w:t>
      </w:r>
      <w:r w:rsidRPr="00920265">
        <w:rPr>
          <w:lang w:eastAsia="en-US" w:bidi="en-US"/>
        </w:rPr>
        <w:t xml:space="preserve">specifikace </w:t>
      </w:r>
      <w:r>
        <w:t xml:space="preserve">služeb“), přičemž </w:t>
      </w:r>
      <w:r w:rsidRPr="00920265">
        <w:rPr>
          <w:lang w:eastAsia="en-US" w:bidi="en-US"/>
        </w:rPr>
        <w:t xml:space="preserve">v </w:t>
      </w:r>
      <w:r>
        <w:t xml:space="preserve">takovém případě </w:t>
      </w:r>
      <w:r w:rsidRPr="00920265">
        <w:rPr>
          <w:lang w:eastAsia="en-US" w:bidi="en-US"/>
        </w:rPr>
        <w:t xml:space="preserve">je v </w:t>
      </w:r>
      <w:r>
        <w:t>Hromadné specifika</w:t>
      </w:r>
      <w:r>
        <w:softHyphen/>
        <w:t>ci</w:t>
      </w:r>
      <w:r w:rsidRPr="00920265">
        <w:rPr>
          <w:lang w:eastAsia="en-US" w:bidi="en-US"/>
        </w:rPr>
        <w:t xml:space="preserve"> </w:t>
      </w:r>
      <w:r>
        <w:t xml:space="preserve">služeb definována každá </w:t>
      </w:r>
      <w:r w:rsidRPr="00920265">
        <w:rPr>
          <w:lang w:eastAsia="en-US" w:bidi="en-US"/>
        </w:rPr>
        <w:t xml:space="preserve">Specifikace </w:t>
      </w:r>
      <w:r>
        <w:t>služby samo</w:t>
      </w:r>
      <w:r>
        <w:softHyphen/>
        <w:t xml:space="preserve">statným číslem </w:t>
      </w:r>
      <w:r w:rsidRPr="00920265">
        <w:rPr>
          <w:lang w:eastAsia="en-US" w:bidi="en-US"/>
        </w:rPr>
        <w:t xml:space="preserve">a </w:t>
      </w:r>
      <w:r>
        <w:t xml:space="preserve">verzí </w:t>
      </w:r>
      <w:r w:rsidRPr="00920265">
        <w:rPr>
          <w:lang w:eastAsia="en-US" w:bidi="en-US"/>
        </w:rPr>
        <w:t xml:space="preserve">(a zpravidla k </w:t>
      </w:r>
      <w:r>
        <w:t xml:space="preserve">jedné Lokalitě poskytování Služby) </w:t>
      </w:r>
      <w:r w:rsidRPr="00920265">
        <w:rPr>
          <w:lang w:eastAsia="en-US" w:bidi="en-US"/>
        </w:rPr>
        <w:t xml:space="preserve">a </w:t>
      </w:r>
      <w:r>
        <w:t>ka</w:t>
      </w:r>
      <w:r>
        <w:t xml:space="preserve">ždá </w:t>
      </w:r>
      <w:r w:rsidRPr="00920265">
        <w:rPr>
          <w:lang w:eastAsia="en-US" w:bidi="en-US"/>
        </w:rPr>
        <w:t xml:space="preserve">Specifikace </w:t>
      </w:r>
      <w:r>
        <w:t xml:space="preserve">služby </w:t>
      </w:r>
      <w:r w:rsidRPr="00920265">
        <w:rPr>
          <w:lang w:eastAsia="en-US" w:bidi="en-US"/>
        </w:rPr>
        <w:t xml:space="preserve">takto </w:t>
      </w:r>
      <w:r>
        <w:t xml:space="preserve">uzavřená </w:t>
      </w:r>
      <w:r w:rsidRPr="00920265">
        <w:rPr>
          <w:lang w:eastAsia="en-US" w:bidi="en-US"/>
        </w:rPr>
        <w:t xml:space="preserve">v </w:t>
      </w:r>
      <w:r>
        <w:t xml:space="preserve">rámci Hromadné </w:t>
      </w:r>
      <w:r w:rsidRPr="00920265">
        <w:rPr>
          <w:lang w:eastAsia="en-US" w:bidi="en-US"/>
        </w:rPr>
        <w:t xml:space="preserve">specifikace </w:t>
      </w:r>
      <w:r>
        <w:t xml:space="preserve">služeb </w:t>
      </w:r>
      <w:r w:rsidRPr="00920265">
        <w:rPr>
          <w:lang w:eastAsia="en-US" w:bidi="en-US"/>
        </w:rPr>
        <w:t xml:space="preserve">se </w:t>
      </w:r>
      <w:r>
        <w:t>po</w:t>
      </w:r>
      <w:r>
        <w:softHyphen/>
        <w:t xml:space="preserve">važuje </w:t>
      </w:r>
      <w:r w:rsidRPr="00920265">
        <w:rPr>
          <w:lang w:eastAsia="en-US" w:bidi="en-US"/>
        </w:rPr>
        <w:t xml:space="preserve">za samostatnou Specifikaci </w:t>
      </w:r>
      <w:r>
        <w:t>služby jakožto sa</w:t>
      </w:r>
      <w:r>
        <w:softHyphen/>
        <w:t xml:space="preserve">mostatný Smluvní </w:t>
      </w:r>
      <w:r w:rsidRPr="00920265">
        <w:rPr>
          <w:lang w:eastAsia="en-US" w:bidi="en-US"/>
        </w:rPr>
        <w:t xml:space="preserve">dokument. </w:t>
      </w:r>
      <w:r>
        <w:t xml:space="preserve">Jednotlivé </w:t>
      </w:r>
      <w:r w:rsidRPr="00920265">
        <w:rPr>
          <w:lang w:eastAsia="en-US" w:bidi="en-US"/>
        </w:rPr>
        <w:t xml:space="preserve">Specifikace </w:t>
      </w:r>
      <w:r>
        <w:t xml:space="preserve">služby definované </w:t>
      </w:r>
      <w:r w:rsidRPr="00920265">
        <w:rPr>
          <w:lang w:eastAsia="en-US" w:bidi="en-US"/>
        </w:rPr>
        <w:t xml:space="preserve">v </w:t>
      </w:r>
      <w:r>
        <w:t xml:space="preserve">Hromadné </w:t>
      </w:r>
      <w:r w:rsidRPr="00920265">
        <w:rPr>
          <w:lang w:eastAsia="en-US" w:bidi="en-US"/>
        </w:rPr>
        <w:t xml:space="preserve">specifikaci </w:t>
      </w:r>
      <w:r>
        <w:t>služeb mo</w:t>
      </w:r>
      <w:r>
        <w:softHyphen/>
        <w:t>hou</w:t>
      </w:r>
      <w:r w:rsidRPr="00920265">
        <w:rPr>
          <w:lang w:eastAsia="en-US" w:bidi="en-US"/>
        </w:rPr>
        <w:t xml:space="preserve"> </w:t>
      </w:r>
      <w:r>
        <w:t>být následně měněny</w:t>
      </w:r>
      <w:r>
        <w:t xml:space="preserve"> či ukončovány samostatně (např. písemnou výpovědí konkrétní </w:t>
      </w:r>
      <w:r w:rsidRPr="00920265">
        <w:rPr>
          <w:lang w:eastAsia="en-US" w:bidi="en-US"/>
        </w:rPr>
        <w:t xml:space="preserve">Specifikace </w:t>
      </w:r>
      <w:r>
        <w:t>služ</w:t>
      </w:r>
      <w:r>
        <w:softHyphen/>
        <w:t>by,</w:t>
      </w:r>
      <w:r w:rsidRPr="00920265">
        <w:rPr>
          <w:lang w:eastAsia="en-US" w:bidi="en-US"/>
        </w:rPr>
        <w:t xml:space="preserve"> </w:t>
      </w:r>
      <w:r>
        <w:t xml:space="preserve">písemným odstoupením </w:t>
      </w:r>
      <w:r w:rsidRPr="00920265">
        <w:rPr>
          <w:lang w:eastAsia="en-US" w:bidi="en-US"/>
        </w:rPr>
        <w:t xml:space="preserve">od </w:t>
      </w:r>
      <w:r>
        <w:t xml:space="preserve">konkrétní </w:t>
      </w:r>
      <w:r w:rsidRPr="00920265">
        <w:rPr>
          <w:lang w:eastAsia="en-US" w:bidi="en-US"/>
        </w:rPr>
        <w:t xml:space="preserve">Specifikace </w:t>
      </w:r>
      <w:r>
        <w:t xml:space="preserve">služby, </w:t>
      </w:r>
      <w:r w:rsidRPr="00920265">
        <w:rPr>
          <w:lang w:eastAsia="en-US" w:bidi="en-US"/>
        </w:rPr>
        <w:t xml:space="preserve">samostatnou </w:t>
      </w:r>
      <w:r>
        <w:t xml:space="preserve">Změnovou Specifikací služby či písemnou </w:t>
      </w:r>
      <w:r w:rsidRPr="00920265">
        <w:rPr>
          <w:lang w:eastAsia="en-US" w:bidi="en-US"/>
        </w:rPr>
        <w:t xml:space="preserve">dohodou </w:t>
      </w:r>
      <w:r>
        <w:t xml:space="preserve">smluvních </w:t>
      </w:r>
      <w:r w:rsidRPr="00920265">
        <w:rPr>
          <w:lang w:eastAsia="en-US" w:bidi="en-US"/>
        </w:rPr>
        <w:t xml:space="preserve">stran). V </w:t>
      </w:r>
      <w:r>
        <w:t>případě ukon</w:t>
      </w:r>
      <w:r>
        <w:softHyphen/>
        <w:t xml:space="preserve">čení celé Hromadné </w:t>
      </w:r>
      <w:r w:rsidRPr="00920265">
        <w:rPr>
          <w:lang w:eastAsia="en-US" w:bidi="en-US"/>
        </w:rPr>
        <w:t xml:space="preserve">specifikace </w:t>
      </w:r>
      <w:r>
        <w:t xml:space="preserve">služeb </w:t>
      </w:r>
      <w:r w:rsidRPr="00920265">
        <w:rPr>
          <w:lang w:eastAsia="en-US" w:bidi="en-US"/>
        </w:rPr>
        <w:t xml:space="preserve">dojde k </w:t>
      </w:r>
      <w:r>
        <w:t>ukon</w:t>
      </w:r>
      <w:r>
        <w:softHyphen/>
        <w:t>čení všech samostatných Specifikací služby definova</w:t>
      </w:r>
      <w:r>
        <w:softHyphen/>
        <w:t xml:space="preserve">ných </w:t>
      </w:r>
      <w:r w:rsidRPr="00920265">
        <w:rPr>
          <w:lang w:eastAsia="en-US" w:bidi="en-US"/>
        </w:rPr>
        <w:t xml:space="preserve">v </w:t>
      </w:r>
      <w:r>
        <w:t xml:space="preserve">příslušné Hromadné </w:t>
      </w:r>
      <w:r w:rsidRPr="00920265">
        <w:rPr>
          <w:lang w:eastAsia="en-US" w:bidi="en-US"/>
        </w:rPr>
        <w:t xml:space="preserve">specifikaci </w:t>
      </w:r>
      <w:r>
        <w:t>služeb.</w:t>
      </w:r>
    </w:p>
    <w:p w:rsidR="00215B20" w:rsidRDefault="00FD0AA3">
      <w:pPr>
        <w:pStyle w:val="Zkladntext1"/>
        <w:numPr>
          <w:ilvl w:val="0"/>
          <w:numId w:val="14"/>
        </w:numPr>
        <w:shd w:val="clear" w:color="auto" w:fill="auto"/>
        <w:tabs>
          <w:tab w:val="left" w:pos="860"/>
        </w:tabs>
        <w:spacing w:after="0" w:line="334" w:lineRule="auto"/>
        <w:ind w:left="840" w:hanging="260"/>
        <w:jc w:val="both"/>
      </w:pPr>
      <w:r>
        <w:t>Systémem se rozumí funkční propojení jednotlivých Zařízení; pokud není uvedeno jinak, uplatní se ustano</w:t>
      </w:r>
      <w:r>
        <w:softHyphen/>
        <w:t xml:space="preserve">vení těchto Podmínek </w:t>
      </w:r>
      <w:r>
        <w:t>Firemního řešení vztahující se na Zařízení rovněž na celý Systém.</w:t>
      </w:r>
    </w:p>
    <w:p w:rsidR="00215B20" w:rsidRDefault="00FD0AA3">
      <w:pPr>
        <w:pStyle w:val="Zkladntext1"/>
        <w:numPr>
          <w:ilvl w:val="0"/>
          <w:numId w:val="14"/>
        </w:numPr>
        <w:shd w:val="clear" w:color="auto" w:fill="auto"/>
        <w:tabs>
          <w:tab w:val="left" w:pos="860"/>
        </w:tabs>
        <w:spacing w:after="0" w:line="334" w:lineRule="auto"/>
        <w:ind w:left="840" w:hanging="260"/>
        <w:jc w:val="both"/>
      </w:pPr>
      <w:r>
        <w:t xml:space="preserve">TMCZ se rozumí </w:t>
      </w:r>
      <w:proofErr w:type="gramStart"/>
      <w:r>
        <w:t>T-Mobile</w:t>
      </w:r>
      <w:proofErr w:type="gramEnd"/>
      <w:r>
        <w:t xml:space="preserve"> </w:t>
      </w:r>
      <w:r w:rsidRPr="00920265">
        <w:rPr>
          <w:lang w:eastAsia="en-US" w:bidi="en-US"/>
        </w:rPr>
        <w:t xml:space="preserve">Czech Republic </w:t>
      </w:r>
      <w:r>
        <w:t>a.s., ve Smluvních dokumentech rovněž označen jako Poskytovatel nebo Operátor.</w:t>
      </w:r>
    </w:p>
    <w:p w:rsidR="00215B20" w:rsidRDefault="00FD0AA3">
      <w:pPr>
        <w:pStyle w:val="Zkladntext1"/>
        <w:numPr>
          <w:ilvl w:val="0"/>
          <w:numId w:val="14"/>
        </w:numPr>
        <w:shd w:val="clear" w:color="auto" w:fill="auto"/>
        <w:tabs>
          <w:tab w:val="left" w:pos="860"/>
        </w:tabs>
        <w:spacing w:after="0" w:line="334" w:lineRule="auto"/>
        <w:ind w:left="840" w:hanging="260"/>
        <w:jc w:val="both"/>
      </w:pPr>
      <w:r>
        <w:t xml:space="preserve">Účastnickou smlouvou se rozumí smluvní dokument uzavřený mezi Smluvními </w:t>
      </w:r>
      <w:r>
        <w:t>stranami, na jehož základě jsou poskytovány Účastnické služby.</w:t>
      </w:r>
    </w:p>
    <w:p w:rsidR="00215B20" w:rsidRDefault="00FD0AA3">
      <w:pPr>
        <w:pStyle w:val="Zkladntext1"/>
        <w:numPr>
          <w:ilvl w:val="0"/>
          <w:numId w:val="14"/>
        </w:numPr>
        <w:shd w:val="clear" w:color="auto" w:fill="auto"/>
        <w:tabs>
          <w:tab w:val="left" w:pos="860"/>
        </w:tabs>
        <w:spacing w:after="0" w:line="334" w:lineRule="auto"/>
        <w:ind w:left="840" w:hanging="260"/>
        <w:jc w:val="both"/>
      </w:pPr>
      <w:r>
        <w:t>Zařízením se rozumí jednotlivý kus hardwaru (movi</w:t>
      </w:r>
      <w:r>
        <w:softHyphen/>
        <w:t>té věci), jehož součástí může být i software nezbytný k užívání Zařízení.</w:t>
      </w:r>
    </w:p>
    <w:p w:rsidR="00215B20" w:rsidRDefault="00FD0AA3">
      <w:pPr>
        <w:pStyle w:val="Zkladntext1"/>
        <w:numPr>
          <w:ilvl w:val="0"/>
          <w:numId w:val="14"/>
        </w:numPr>
        <w:shd w:val="clear" w:color="auto" w:fill="auto"/>
        <w:tabs>
          <w:tab w:val="left" w:pos="860"/>
        </w:tabs>
        <w:spacing w:after="0" w:line="334" w:lineRule="auto"/>
        <w:ind w:left="840" w:hanging="260"/>
        <w:jc w:val="both"/>
      </w:pPr>
      <w:r>
        <w:t>Změnovou Specifikací služby se rozumí Specifikace služby, na jejímž z</w:t>
      </w:r>
      <w:r>
        <w:t>ákladě dochází ke změně Služby.</w:t>
      </w:r>
    </w:p>
    <w:p w:rsidR="00215B20" w:rsidRDefault="00FD0AA3">
      <w:pPr>
        <w:pStyle w:val="Zkladntext1"/>
        <w:numPr>
          <w:ilvl w:val="0"/>
          <w:numId w:val="14"/>
        </w:numPr>
        <w:shd w:val="clear" w:color="auto" w:fill="auto"/>
        <w:tabs>
          <w:tab w:val="left" w:pos="860"/>
        </w:tabs>
        <w:spacing w:after="220" w:line="334" w:lineRule="auto"/>
        <w:ind w:left="840" w:hanging="260"/>
        <w:jc w:val="both"/>
      </w:pPr>
      <w:r>
        <w:t>Změnovým požadavkem se rozumí požadavek na změ</w:t>
      </w:r>
      <w:r>
        <w:softHyphen/>
        <w:t>nu Služby. Pokud není sjednáno jinak, Změnový poža</w:t>
      </w:r>
      <w:r>
        <w:softHyphen/>
        <w:t xml:space="preserve">davek musí vždy obsahovat přesnou a jednoznačnou identifikaci Smluvního partnera, typ a označení Služby, které se změna týká, </w:t>
      </w:r>
      <w:r>
        <w:t>popis změny, identifikační a kon</w:t>
      </w:r>
      <w:r>
        <w:softHyphen/>
        <w:t>taktní údaje osoby, která změnu požaduje, a další infor</w:t>
      </w:r>
      <w:r>
        <w:softHyphen/>
        <w:t>mace nezbytné k provedení změny, které má Smluvní partner k dispozici. Není-li výslovně stanoveno jinak, předává se Změnový požadavek mezi Kontaktními osobami definova</w:t>
      </w:r>
      <w:r>
        <w:t>nými ve Smlouvě.</w:t>
      </w:r>
    </w:p>
    <w:p w:rsidR="00215B20" w:rsidRDefault="00FD0AA3">
      <w:pPr>
        <w:pStyle w:val="Nadpis60"/>
        <w:keepNext/>
        <w:keepLines/>
        <w:numPr>
          <w:ilvl w:val="0"/>
          <w:numId w:val="15"/>
        </w:numPr>
        <w:shd w:val="clear" w:color="auto" w:fill="auto"/>
        <w:tabs>
          <w:tab w:val="left" w:pos="516"/>
        </w:tabs>
        <w:spacing w:after="0" w:line="334" w:lineRule="auto"/>
      </w:pPr>
      <w:bookmarkStart w:id="231" w:name="bookmark230"/>
      <w:bookmarkStart w:id="232" w:name="bookmark231"/>
      <w:r>
        <w:rPr>
          <w:color w:val="EC018B"/>
        </w:rPr>
        <w:t>Zákaz přeprodeje</w:t>
      </w:r>
      <w:bookmarkEnd w:id="231"/>
      <w:bookmarkEnd w:id="232"/>
    </w:p>
    <w:p w:rsidR="00215B20" w:rsidRDefault="00FD0AA3">
      <w:pPr>
        <w:pStyle w:val="Zkladntext1"/>
        <w:numPr>
          <w:ilvl w:val="1"/>
          <w:numId w:val="15"/>
        </w:numPr>
        <w:shd w:val="clear" w:color="auto" w:fill="auto"/>
        <w:tabs>
          <w:tab w:val="left" w:pos="516"/>
        </w:tabs>
        <w:spacing w:after="0" w:line="334" w:lineRule="auto"/>
        <w:jc w:val="both"/>
      </w:pPr>
      <w:r>
        <w:t>Smlouva není smlouvou upravující a umožňující propojení</w:t>
      </w:r>
    </w:p>
    <w:p w:rsidR="00215B20" w:rsidRDefault="00FD0AA3">
      <w:pPr>
        <w:pStyle w:val="Zkladntext1"/>
        <w:shd w:val="clear" w:color="auto" w:fill="auto"/>
        <w:spacing w:after="200" w:line="334" w:lineRule="auto"/>
        <w:ind w:left="580"/>
        <w:jc w:val="both"/>
      </w:pPr>
      <w:r>
        <w:t>ve smyslu § 80 a násl. zákona č. 127/2005 Sb., o elektronic</w:t>
      </w:r>
      <w:r>
        <w:softHyphen/>
        <w:t>kých komunikacích, v platném znění, a proto Smluvní part</w:t>
      </w:r>
      <w:r>
        <w:softHyphen/>
        <w:t>ner, ani Oprávněná osoba, není oprávněn veřejně n</w:t>
      </w:r>
      <w:r>
        <w:t>abízet nebo umožňovat třetím osobám prostřednictvím Připojení nebo Služeb propojení dvou veřejných sítí elektronických komunikací za účelem vzájemné komunikace ani nabízet nebo umožňovat třetím osobám užívání Služeb. Výjimku z uvedeného tvoří zaměstnanci S</w:t>
      </w:r>
      <w:r>
        <w:t>mluvního partnera či Oprávněné osoby nebo takové třetí osoby, které dle do</w:t>
      </w:r>
      <w:r>
        <w:softHyphen/>
        <w:t xml:space="preserve">hod se Smluvním partnerem zajišťují příslušné </w:t>
      </w:r>
      <w:r>
        <w:lastRenderedPageBreak/>
        <w:t>doplňko</w:t>
      </w:r>
      <w:r>
        <w:softHyphen/>
        <w:t>vé služby v objektech (nemovitostech), ve kterých má Smluvní partner své sídlo (např. stravovací služby, ostra</w:t>
      </w:r>
      <w:r>
        <w:softHyphen/>
        <w:t xml:space="preserve">hu apod.), nebo </w:t>
      </w:r>
      <w:r>
        <w:t>tyto osoby využívají odpovídající prostory v daném objektu (nemovitosti) a z uvedeného důvodu jsou tedy připojeny k Zařízení Smluvního partnera (dále též jen „Uživatelé“). Smluvní partner je oprávněn umožnit odběr Služeb pouze těmto Uživatelům, a to za ste</w:t>
      </w:r>
      <w:r>
        <w:t>jných podmí</w:t>
      </w:r>
      <w:r>
        <w:softHyphen/>
        <w:t>nek, jako má Smluvní partner dle Smlouvy, tedy bez další přidané hodnoty.</w:t>
      </w:r>
    </w:p>
    <w:p w:rsidR="00215B20" w:rsidRDefault="00FD0AA3">
      <w:pPr>
        <w:pStyle w:val="Zkladntext1"/>
        <w:numPr>
          <w:ilvl w:val="0"/>
          <w:numId w:val="15"/>
        </w:numPr>
        <w:shd w:val="clear" w:color="auto" w:fill="auto"/>
        <w:tabs>
          <w:tab w:val="left" w:pos="558"/>
        </w:tabs>
        <w:spacing w:after="0" w:line="334" w:lineRule="auto"/>
        <w:jc w:val="both"/>
      </w:pPr>
      <w:r>
        <w:rPr>
          <w:b/>
          <w:bCs/>
          <w:color w:val="EC018B"/>
        </w:rPr>
        <w:t>Uzavírání a změny specifikace služby a dohody</w:t>
      </w:r>
    </w:p>
    <w:p w:rsidR="00215B20" w:rsidRDefault="00FD0AA3">
      <w:pPr>
        <w:pStyle w:val="Zkladntext1"/>
        <w:shd w:val="clear" w:color="auto" w:fill="auto"/>
        <w:spacing w:after="0" w:line="334" w:lineRule="auto"/>
        <w:ind w:firstLine="580"/>
        <w:jc w:val="both"/>
      </w:pPr>
      <w:r>
        <w:rPr>
          <w:b/>
          <w:bCs/>
          <w:color w:val="EC018B"/>
        </w:rPr>
        <w:t>o cenových podmínkách</w:t>
      </w:r>
    </w:p>
    <w:p w:rsidR="00215B20" w:rsidRDefault="00FD0AA3">
      <w:pPr>
        <w:pStyle w:val="Zkladntext1"/>
        <w:numPr>
          <w:ilvl w:val="1"/>
          <w:numId w:val="15"/>
        </w:numPr>
        <w:shd w:val="clear" w:color="auto" w:fill="auto"/>
        <w:tabs>
          <w:tab w:val="left" w:pos="558"/>
        </w:tabs>
        <w:spacing w:after="200" w:line="334" w:lineRule="auto"/>
        <w:ind w:left="580" w:hanging="580"/>
        <w:jc w:val="both"/>
      </w:pPr>
      <w:r>
        <w:t>K uzavření či změně Specifikace služby nebo Dohody o ce</w:t>
      </w:r>
      <w:r>
        <w:softHyphen/>
        <w:t xml:space="preserve">nových podmínkách dochází v písemné formě </w:t>
      </w:r>
      <w:r>
        <w:t>podpisem příslušného dokumentu oběma Smluvními stranami.</w:t>
      </w:r>
    </w:p>
    <w:p w:rsidR="00215B20" w:rsidRDefault="00FD0AA3">
      <w:pPr>
        <w:pStyle w:val="Zkladntext1"/>
        <w:numPr>
          <w:ilvl w:val="1"/>
          <w:numId w:val="15"/>
        </w:numPr>
        <w:shd w:val="clear" w:color="auto" w:fill="auto"/>
        <w:tabs>
          <w:tab w:val="left" w:pos="558"/>
        </w:tabs>
        <w:spacing w:after="200" w:line="334" w:lineRule="auto"/>
        <w:ind w:left="580" w:hanging="580"/>
        <w:jc w:val="both"/>
      </w:pPr>
      <w:r>
        <w:t>Uzavření či změna Specifikace služby nebo Dohody o cenových podmínkách může být provedena rovněž prostřednictvím telefonické komunikace či prostřednic</w:t>
      </w:r>
      <w:r>
        <w:softHyphen/>
        <w:t>tvím webového portálu TMCZ, vždy ale pouze v tak</w:t>
      </w:r>
      <w:r>
        <w:t>ovém rozsahu, v jakém to aktuálně TMCZ pomocí telefonické komunikace či webového portálu umožňuje, a pouze pro</w:t>
      </w:r>
      <w:r>
        <w:softHyphen/>
        <w:t>střednictvím Kontaktních osob dle Smlouvy. Na uzavírání Smluvních dokumentů či jejich změnu prostřednictvím te</w:t>
      </w:r>
      <w:r>
        <w:softHyphen/>
        <w:t>lefonické komunikace či webového p</w:t>
      </w:r>
      <w:r>
        <w:t>ortálu není ze strany Smluvního partnera právní nárok.</w:t>
      </w:r>
    </w:p>
    <w:p w:rsidR="00215B20" w:rsidRDefault="00FD0AA3">
      <w:pPr>
        <w:pStyle w:val="Zkladntext1"/>
        <w:numPr>
          <w:ilvl w:val="1"/>
          <w:numId w:val="15"/>
        </w:numPr>
        <w:shd w:val="clear" w:color="auto" w:fill="auto"/>
        <w:tabs>
          <w:tab w:val="left" w:pos="558"/>
        </w:tabs>
        <w:spacing w:after="200" w:line="334" w:lineRule="auto"/>
        <w:ind w:left="580" w:hanging="580"/>
        <w:jc w:val="both"/>
      </w:pPr>
      <w:r>
        <w:t>Změna Specifikace služby nebo změna jiného nastavení Služeb může být provedena rovněž prostřednictvím změ</w:t>
      </w:r>
      <w:r>
        <w:softHyphen/>
        <w:t xml:space="preserve">nového formuláře umístěného na webových stránkách </w:t>
      </w:r>
      <w:hyperlink r:id="rId141" w:history="1">
        <w:r>
          <w:t>www.t-mobil</w:t>
        </w:r>
        <w:r>
          <w:t>e.cz</w:t>
        </w:r>
      </w:hyperlink>
      <w:r>
        <w:t xml:space="preserve"> (dále jen „Změnový formulář“), a to po</w:t>
      </w:r>
      <w:r>
        <w:softHyphen/>
        <w:t>stupem dle tohoto odstavce. Smluvní partner je opráv</w:t>
      </w:r>
      <w:r>
        <w:softHyphen/>
        <w:t xml:space="preserve">něn požádat o provedení změny Služeb prostřednictvím řádně vyplněného a podepsaného Změnového formuláře, který následně doručí TMCZ buď ve formě podepsané- </w:t>
      </w:r>
      <w:r>
        <w:t>ho skenu Změnového formuláře elektronickou poštou, nebo v listinném vyhotovení, a to pomocí Kontaktních osob dle Smlouvy. O změnu Služeb dle tohoto odstavce může Smluvní partner požádat pouze v rozsahu, v jakém ji Změnový formulář v aktuálním znění umožňuj</w:t>
      </w:r>
      <w:r>
        <w:t>e. Na prove</w:t>
      </w:r>
      <w:r>
        <w:softHyphen/>
        <w:t>dení změny Služeb prostřednictvím Změnového formuláře není právní nárok, TMCZ není povinen požadavku na změnu vyhovět. Pakliže je změna Služeb požadovaná Smluvním partnerem prostřednictvím Změnového formuláře pro</w:t>
      </w:r>
      <w:r>
        <w:softHyphen/>
        <w:t>veditelná a TMCZ se rozhodne, ž</w:t>
      </w:r>
      <w:r>
        <w:t>e požadavku na takovou změnu vyhoví, tak změnu Služeb požadovanou Smluvním partnerem prostřednictvím Změnového formuláře prove</w:t>
      </w:r>
      <w:r>
        <w:softHyphen/>
        <w:t>de, přičemž okamžik provedení takové změny Služeb se považuje za okamžik akceptace požadavku na dotčenou změnu Služeb ze strany T</w:t>
      </w:r>
      <w:r>
        <w:t xml:space="preserve">MCZ. O provedené změně Služeb není TMCZ povinen informovat Smluvního partnera. </w:t>
      </w:r>
      <w:r w:rsidRPr="00920265">
        <w:rPr>
          <w:lang w:eastAsia="en-US" w:bidi="en-US"/>
        </w:rPr>
        <w:t>Bude</w:t>
      </w:r>
      <w:r w:rsidRPr="00920265">
        <w:rPr>
          <w:lang w:eastAsia="en-US" w:bidi="en-US"/>
        </w:rPr>
        <w:softHyphen/>
        <w:t>-li</w:t>
      </w:r>
      <w:r>
        <w:t xml:space="preserve"> mít změna Služeb požadovaná Smluvním partnerem prostřednictvím Změnového formuláře </w:t>
      </w:r>
      <w:r w:rsidRPr="00920265">
        <w:rPr>
          <w:lang w:eastAsia="en-US" w:bidi="en-US"/>
        </w:rPr>
        <w:t xml:space="preserve">dopad na </w:t>
      </w:r>
      <w:r>
        <w:t>navý</w:t>
      </w:r>
      <w:r>
        <w:softHyphen/>
        <w:t xml:space="preserve">šení </w:t>
      </w:r>
      <w:r w:rsidRPr="00920265">
        <w:rPr>
          <w:lang w:eastAsia="en-US" w:bidi="en-US"/>
        </w:rPr>
        <w:t xml:space="preserve">ceny </w:t>
      </w:r>
      <w:r>
        <w:t xml:space="preserve">dotčené Služby </w:t>
      </w:r>
      <w:r w:rsidRPr="00920265">
        <w:rPr>
          <w:lang w:eastAsia="en-US" w:bidi="en-US"/>
        </w:rPr>
        <w:t xml:space="preserve">nebo bude-li </w:t>
      </w:r>
      <w:r>
        <w:t xml:space="preserve">provedená změna </w:t>
      </w:r>
      <w:r w:rsidRPr="00920265">
        <w:rPr>
          <w:lang w:eastAsia="en-US" w:bidi="en-US"/>
        </w:rPr>
        <w:t xml:space="preserve">spojena s </w:t>
      </w:r>
      <w:r>
        <w:t>úhradou</w:t>
      </w:r>
      <w:r>
        <w:t xml:space="preserve"> jednorázové </w:t>
      </w:r>
      <w:r w:rsidRPr="00920265">
        <w:rPr>
          <w:lang w:eastAsia="en-US" w:bidi="en-US"/>
        </w:rPr>
        <w:t xml:space="preserve">ceny, je TMCZ </w:t>
      </w:r>
      <w:r>
        <w:t xml:space="preserve">oprávněn vyúčtovat </w:t>
      </w:r>
      <w:r w:rsidRPr="00920265">
        <w:rPr>
          <w:lang w:eastAsia="en-US" w:bidi="en-US"/>
        </w:rPr>
        <w:t xml:space="preserve">takovou cenu </w:t>
      </w:r>
      <w:r>
        <w:t xml:space="preserve">Smluvnímu </w:t>
      </w:r>
      <w:r w:rsidRPr="00920265">
        <w:rPr>
          <w:lang w:eastAsia="en-US" w:bidi="en-US"/>
        </w:rPr>
        <w:t xml:space="preserve">partnerovi v </w:t>
      </w:r>
      <w:r>
        <w:t xml:space="preserve">rámci vyúčtování následujících </w:t>
      </w:r>
      <w:r w:rsidRPr="00920265">
        <w:rPr>
          <w:lang w:eastAsia="en-US" w:bidi="en-US"/>
        </w:rPr>
        <w:t xml:space="preserve">po </w:t>
      </w:r>
      <w:r>
        <w:t xml:space="preserve">provedení změny Služeb </w:t>
      </w:r>
      <w:r w:rsidRPr="00920265">
        <w:rPr>
          <w:lang w:eastAsia="en-US" w:bidi="en-US"/>
        </w:rPr>
        <w:t xml:space="preserve">dle </w:t>
      </w:r>
      <w:r>
        <w:t>platného Ceníku.</w:t>
      </w:r>
    </w:p>
    <w:p w:rsidR="00215B20" w:rsidRDefault="00FD0AA3">
      <w:pPr>
        <w:pStyle w:val="Zkladntext1"/>
        <w:numPr>
          <w:ilvl w:val="1"/>
          <w:numId w:val="15"/>
        </w:numPr>
        <w:shd w:val="clear" w:color="auto" w:fill="auto"/>
        <w:tabs>
          <w:tab w:val="left" w:pos="568"/>
        </w:tabs>
        <w:spacing w:after="0" w:line="334" w:lineRule="auto"/>
        <w:ind w:left="580" w:hanging="580"/>
        <w:jc w:val="both"/>
      </w:pPr>
      <w:r w:rsidRPr="00920265">
        <w:rPr>
          <w:lang w:eastAsia="en-US" w:bidi="en-US"/>
        </w:rPr>
        <w:t xml:space="preserve">V </w:t>
      </w:r>
      <w:r>
        <w:t xml:space="preserve">případě uzavření či změny </w:t>
      </w:r>
      <w:r w:rsidRPr="00920265">
        <w:rPr>
          <w:lang w:eastAsia="en-US" w:bidi="en-US"/>
        </w:rPr>
        <w:t xml:space="preserve">Specifikace </w:t>
      </w:r>
      <w:r>
        <w:t xml:space="preserve">služby </w:t>
      </w:r>
      <w:r w:rsidRPr="00920265">
        <w:rPr>
          <w:lang w:eastAsia="en-US" w:bidi="en-US"/>
        </w:rPr>
        <w:t xml:space="preserve">nebo Dohody o </w:t>
      </w:r>
      <w:r>
        <w:t xml:space="preserve">cenových podmínkách prostřednictvím </w:t>
      </w:r>
      <w:r w:rsidRPr="00920265">
        <w:rPr>
          <w:lang w:eastAsia="en-US" w:bidi="en-US"/>
        </w:rPr>
        <w:t xml:space="preserve">webo- </w:t>
      </w:r>
      <w:r>
        <w:t xml:space="preserve">vého (zákaznického) portálu </w:t>
      </w:r>
      <w:r w:rsidRPr="00920265">
        <w:rPr>
          <w:lang w:eastAsia="en-US" w:bidi="en-US"/>
        </w:rPr>
        <w:t xml:space="preserve">se </w:t>
      </w:r>
      <w:r>
        <w:t xml:space="preserve">použijí následující </w:t>
      </w:r>
      <w:r w:rsidRPr="00920265">
        <w:rPr>
          <w:lang w:eastAsia="en-US" w:bidi="en-US"/>
        </w:rPr>
        <w:t>pravidla:</w:t>
      </w:r>
    </w:p>
    <w:p w:rsidR="00215B20" w:rsidRDefault="00FD0AA3">
      <w:pPr>
        <w:pStyle w:val="Zkladntext1"/>
        <w:numPr>
          <w:ilvl w:val="0"/>
          <w:numId w:val="36"/>
        </w:numPr>
        <w:shd w:val="clear" w:color="auto" w:fill="auto"/>
        <w:tabs>
          <w:tab w:val="left" w:pos="869"/>
        </w:tabs>
        <w:spacing w:after="0" w:line="334" w:lineRule="auto"/>
        <w:ind w:left="860" w:hanging="280"/>
        <w:jc w:val="both"/>
      </w:pPr>
      <w:r w:rsidRPr="00920265">
        <w:rPr>
          <w:lang w:eastAsia="en-US" w:bidi="en-US"/>
        </w:rPr>
        <w:lastRenderedPageBreak/>
        <w:t xml:space="preserve">TMCZ poskytne </w:t>
      </w:r>
      <w:r>
        <w:t xml:space="preserve">Smluvnímu </w:t>
      </w:r>
      <w:r w:rsidRPr="00920265">
        <w:rPr>
          <w:lang w:eastAsia="en-US" w:bidi="en-US"/>
        </w:rPr>
        <w:t xml:space="preserve">partnerovi </w:t>
      </w:r>
      <w:r>
        <w:t xml:space="preserve">přihlašovací jméno </w:t>
      </w:r>
      <w:r w:rsidRPr="00920265">
        <w:rPr>
          <w:lang w:eastAsia="en-US" w:bidi="en-US"/>
        </w:rPr>
        <w:t xml:space="preserve">a heslo k </w:t>
      </w:r>
      <w:r>
        <w:t>webovému portálu.</w:t>
      </w:r>
    </w:p>
    <w:p w:rsidR="00215B20" w:rsidRDefault="00FD0AA3">
      <w:pPr>
        <w:pStyle w:val="Zkladntext1"/>
        <w:numPr>
          <w:ilvl w:val="0"/>
          <w:numId w:val="36"/>
        </w:numPr>
        <w:shd w:val="clear" w:color="auto" w:fill="auto"/>
        <w:tabs>
          <w:tab w:val="left" w:pos="874"/>
        </w:tabs>
        <w:spacing w:after="0" w:line="334" w:lineRule="auto"/>
        <w:ind w:left="860" w:hanging="280"/>
        <w:jc w:val="both"/>
      </w:pPr>
      <w:r>
        <w:t xml:space="preserve">Smluvní </w:t>
      </w:r>
      <w:r w:rsidRPr="00920265">
        <w:rPr>
          <w:lang w:eastAsia="en-US" w:bidi="en-US"/>
        </w:rPr>
        <w:t xml:space="preserve">partner </w:t>
      </w:r>
      <w:r>
        <w:t xml:space="preserve">plně odpovídá </w:t>
      </w:r>
      <w:r w:rsidRPr="00920265">
        <w:rPr>
          <w:lang w:eastAsia="en-US" w:bidi="en-US"/>
        </w:rPr>
        <w:t xml:space="preserve">za to, </w:t>
      </w:r>
      <w:r>
        <w:t xml:space="preserve">že </w:t>
      </w:r>
      <w:r w:rsidRPr="00920265">
        <w:rPr>
          <w:lang w:eastAsia="en-US" w:bidi="en-US"/>
        </w:rPr>
        <w:t xml:space="preserve">s </w:t>
      </w:r>
      <w:r>
        <w:t>přístupový</w:t>
      </w:r>
      <w:r>
        <w:softHyphen/>
        <w:t>mi</w:t>
      </w:r>
      <w:r w:rsidRPr="00920265">
        <w:rPr>
          <w:lang w:eastAsia="en-US" w:bidi="en-US"/>
        </w:rPr>
        <w:t xml:space="preserve"> </w:t>
      </w:r>
      <w:r>
        <w:t xml:space="preserve">údaji </w:t>
      </w:r>
      <w:r w:rsidRPr="00920265">
        <w:rPr>
          <w:lang w:eastAsia="en-US" w:bidi="en-US"/>
        </w:rPr>
        <w:t xml:space="preserve">k </w:t>
      </w:r>
      <w:r>
        <w:t>webovém</w:t>
      </w:r>
      <w:r>
        <w:t xml:space="preserve">u portálu </w:t>
      </w:r>
      <w:r w:rsidRPr="00920265">
        <w:rPr>
          <w:lang w:eastAsia="en-US" w:bidi="en-US"/>
        </w:rPr>
        <w:t xml:space="preserve">budou disponovat pouze osoby </w:t>
      </w:r>
      <w:r>
        <w:t xml:space="preserve">oprávněné </w:t>
      </w:r>
      <w:r w:rsidRPr="00920265">
        <w:rPr>
          <w:lang w:eastAsia="en-US" w:bidi="en-US"/>
        </w:rPr>
        <w:t xml:space="preserve">k </w:t>
      </w:r>
      <w:r>
        <w:t xml:space="preserve">uzavírání či </w:t>
      </w:r>
      <w:r w:rsidRPr="00920265">
        <w:rPr>
          <w:lang w:eastAsia="en-US" w:bidi="en-US"/>
        </w:rPr>
        <w:t xml:space="preserve">k </w:t>
      </w:r>
      <w:r>
        <w:t xml:space="preserve">změnám Specifikací služeb </w:t>
      </w:r>
      <w:r w:rsidRPr="00920265">
        <w:rPr>
          <w:lang w:eastAsia="en-US" w:bidi="en-US"/>
        </w:rPr>
        <w:t xml:space="preserve">nebo Dohod o </w:t>
      </w:r>
      <w:r>
        <w:t xml:space="preserve">cenových podmínkách </w:t>
      </w:r>
      <w:r w:rsidRPr="00920265">
        <w:rPr>
          <w:lang w:eastAsia="en-US" w:bidi="en-US"/>
        </w:rPr>
        <w:t xml:space="preserve">nebo </w:t>
      </w:r>
      <w:r>
        <w:t>ji</w:t>
      </w:r>
      <w:r>
        <w:softHyphen/>
        <w:t>ných podmínek Služby.</w:t>
      </w:r>
    </w:p>
    <w:p w:rsidR="00215B20" w:rsidRDefault="00FD0AA3">
      <w:pPr>
        <w:pStyle w:val="Zkladntext1"/>
        <w:numPr>
          <w:ilvl w:val="0"/>
          <w:numId w:val="36"/>
        </w:numPr>
        <w:shd w:val="clear" w:color="auto" w:fill="auto"/>
        <w:tabs>
          <w:tab w:val="left" w:pos="864"/>
        </w:tabs>
        <w:spacing w:after="0" w:line="334" w:lineRule="auto"/>
        <w:ind w:left="860" w:hanging="280"/>
        <w:jc w:val="both"/>
      </w:pPr>
      <w:r>
        <w:t xml:space="preserve">Smluvní </w:t>
      </w:r>
      <w:r w:rsidRPr="00920265">
        <w:rPr>
          <w:lang w:eastAsia="en-US" w:bidi="en-US"/>
        </w:rPr>
        <w:t xml:space="preserve">partner </w:t>
      </w:r>
      <w:r>
        <w:t xml:space="preserve">plně odpovídá </w:t>
      </w:r>
      <w:r w:rsidRPr="00920265">
        <w:rPr>
          <w:lang w:eastAsia="en-US" w:bidi="en-US"/>
        </w:rPr>
        <w:t xml:space="preserve">za to, </w:t>
      </w:r>
      <w:r>
        <w:t xml:space="preserve">že </w:t>
      </w:r>
      <w:r w:rsidRPr="00920265">
        <w:rPr>
          <w:lang w:eastAsia="en-US" w:bidi="en-US"/>
        </w:rPr>
        <w:t xml:space="preserve">s </w:t>
      </w:r>
      <w:r>
        <w:t>přístupový</w:t>
      </w:r>
      <w:r>
        <w:softHyphen/>
        <w:t>mi</w:t>
      </w:r>
      <w:r w:rsidRPr="00920265">
        <w:rPr>
          <w:lang w:eastAsia="en-US" w:bidi="en-US"/>
        </w:rPr>
        <w:t xml:space="preserve"> </w:t>
      </w:r>
      <w:r>
        <w:t xml:space="preserve">údaji </w:t>
      </w:r>
      <w:r w:rsidRPr="00920265">
        <w:rPr>
          <w:lang w:eastAsia="en-US" w:bidi="en-US"/>
        </w:rPr>
        <w:t xml:space="preserve">k </w:t>
      </w:r>
      <w:r>
        <w:t xml:space="preserve">webovému portálu </w:t>
      </w:r>
      <w:r w:rsidRPr="00920265">
        <w:rPr>
          <w:lang w:eastAsia="en-US" w:bidi="en-US"/>
        </w:rPr>
        <w:t xml:space="preserve">budou disponovat pouze osoby </w:t>
      </w:r>
      <w:r>
        <w:t xml:space="preserve">oprávněné </w:t>
      </w:r>
      <w:r w:rsidRPr="00920265">
        <w:rPr>
          <w:lang w:eastAsia="en-US" w:bidi="en-US"/>
        </w:rPr>
        <w:t xml:space="preserve">k </w:t>
      </w:r>
      <w:r>
        <w:t xml:space="preserve">uzavírání či </w:t>
      </w:r>
      <w:r w:rsidRPr="00920265">
        <w:rPr>
          <w:lang w:eastAsia="en-US" w:bidi="en-US"/>
        </w:rPr>
        <w:t xml:space="preserve">k </w:t>
      </w:r>
      <w:r>
        <w:t xml:space="preserve">změnám Specifikací služeb </w:t>
      </w:r>
      <w:r w:rsidRPr="00920265">
        <w:rPr>
          <w:lang w:eastAsia="en-US" w:bidi="en-US"/>
        </w:rPr>
        <w:t xml:space="preserve">nebo Dohod o </w:t>
      </w:r>
      <w:r>
        <w:t xml:space="preserve">cenových podmínkách </w:t>
      </w:r>
      <w:r w:rsidRPr="00920265">
        <w:rPr>
          <w:lang w:eastAsia="en-US" w:bidi="en-US"/>
        </w:rPr>
        <w:t xml:space="preserve">nebo </w:t>
      </w:r>
      <w:r>
        <w:t>ji</w:t>
      </w:r>
      <w:r>
        <w:softHyphen/>
        <w:t>ných podmínek Služby.</w:t>
      </w:r>
    </w:p>
    <w:p w:rsidR="00215B20" w:rsidRDefault="00FD0AA3">
      <w:pPr>
        <w:pStyle w:val="Zkladntext1"/>
        <w:numPr>
          <w:ilvl w:val="0"/>
          <w:numId w:val="36"/>
        </w:numPr>
        <w:shd w:val="clear" w:color="auto" w:fill="auto"/>
        <w:tabs>
          <w:tab w:val="left" w:pos="878"/>
        </w:tabs>
        <w:spacing w:after="0" w:line="334" w:lineRule="auto"/>
        <w:ind w:left="860" w:hanging="280"/>
        <w:jc w:val="both"/>
      </w:pPr>
      <w:r w:rsidRPr="00920265">
        <w:rPr>
          <w:lang w:eastAsia="en-US" w:bidi="en-US"/>
        </w:rPr>
        <w:t xml:space="preserve">V </w:t>
      </w:r>
      <w:r>
        <w:t xml:space="preserve">případě podezření </w:t>
      </w:r>
      <w:r w:rsidRPr="00920265">
        <w:rPr>
          <w:lang w:eastAsia="en-US" w:bidi="en-US"/>
        </w:rPr>
        <w:t xml:space="preserve">ze </w:t>
      </w:r>
      <w:r>
        <w:t xml:space="preserve">zneužití přístupových údajů </w:t>
      </w:r>
      <w:r w:rsidRPr="00920265">
        <w:rPr>
          <w:lang w:eastAsia="en-US" w:bidi="en-US"/>
        </w:rPr>
        <w:t xml:space="preserve">je </w:t>
      </w:r>
      <w:r>
        <w:t xml:space="preserve">Smluvní </w:t>
      </w:r>
      <w:r w:rsidRPr="00920265">
        <w:rPr>
          <w:lang w:eastAsia="en-US" w:bidi="en-US"/>
        </w:rPr>
        <w:t xml:space="preserve">partner povinen </w:t>
      </w:r>
      <w:r>
        <w:t>neprodleně takové pode</w:t>
      </w:r>
      <w:r>
        <w:softHyphen/>
        <w:t>zření ozná</w:t>
      </w:r>
      <w:r>
        <w:t xml:space="preserve">mit </w:t>
      </w:r>
      <w:r w:rsidRPr="00920265">
        <w:rPr>
          <w:lang w:eastAsia="en-US" w:bidi="en-US"/>
        </w:rPr>
        <w:t xml:space="preserve">TMCZ, </w:t>
      </w:r>
      <w:r>
        <w:t xml:space="preserve">přičemž </w:t>
      </w:r>
      <w:r w:rsidRPr="00920265">
        <w:rPr>
          <w:lang w:eastAsia="en-US" w:bidi="en-US"/>
        </w:rPr>
        <w:t xml:space="preserve">po </w:t>
      </w:r>
      <w:r>
        <w:t>takovém oznáme</w:t>
      </w:r>
      <w:r>
        <w:softHyphen/>
        <w:t xml:space="preserve">ní </w:t>
      </w:r>
      <w:r w:rsidRPr="00920265">
        <w:rPr>
          <w:lang w:eastAsia="en-US" w:bidi="en-US"/>
        </w:rPr>
        <w:t xml:space="preserve">provede TMCZ </w:t>
      </w:r>
      <w:r>
        <w:t xml:space="preserve">změnu přístupových údajů </w:t>
      </w:r>
      <w:r w:rsidRPr="00920265">
        <w:rPr>
          <w:lang w:eastAsia="en-US" w:bidi="en-US"/>
        </w:rPr>
        <w:t xml:space="preserve">a tyto </w:t>
      </w:r>
      <w:r>
        <w:t xml:space="preserve">zašle Smluvnímu </w:t>
      </w:r>
      <w:r w:rsidRPr="00920265">
        <w:rPr>
          <w:lang w:eastAsia="en-US" w:bidi="en-US"/>
        </w:rPr>
        <w:t xml:space="preserve">partnerovi na </w:t>
      </w:r>
      <w:r>
        <w:t xml:space="preserve">jím </w:t>
      </w:r>
      <w:r w:rsidRPr="00920265">
        <w:rPr>
          <w:lang w:eastAsia="en-US" w:bidi="en-US"/>
        </w:rPr>
        <w:t xml:space="preserve">specifikovanou </w:t>
      </w:r>
      <w:r>
        <w:t xml:space="preserve">Kontaktní </w:t>
      </w:r>
      <w:r w:rsidRPr="00920265">
        <w:rPr>
          <w:lang w:eastAsia="en-US" w:bidi="en-US"/>
        </w:rPr>
        <w:t xml:space="preserve">osobu. Do </w:t>
      </w:r>
      <w:r>
        <w:t xml:space="preserve">okamžiku oznámení </w:t>
      </w:r>
      <w:r w:rsidRPr="00920265">
        <w:rPr>
          <w:lang w:eastAsia="en-US" w:bidi="en-US"/>
        </w:rPr>
        <w:t xml:space="preserve">o </w:t>
      </w:r>
      <w:r>
        <w:t xml:space="preserve">podezření </w:t>
      </w:r>
      <w:r w:rsidRPr="00920265">
        <w:rPr>
          <w:lang w:eastAsia="en-US" w:bidi="en-US"/>
        </w:rPr>
        <w:t xml:space="preserve">ze </w:t>
      </w:r>
      <w:r>
        <w:t xml:space="preserve">zneužití neodpovídá </w:t>
      </w:r>
      <w:r w:rsidRPr="00920265">
        <w:rPr>
          <w:lang w:eastAsia="en-US" w:bidi="en-US"/>
        </w:rPr>
        <w:t xml:space="preserve">TMCZ za </w:t>
      </w:r>
      <w:r>
        <w:t xml:space="preserve">případné následky zneužití přístupových </w:t>
      </w:r>
      <w:r>
        <w:t>údajů.</w:t>
      </w:r>
    </w:p>
    <w:p w:rsidR="00215B20" w:rsidRDefault="00FD0AA3">
      <w:pPr>
        <w:pStyle w:val="Zkladntext1"/>
        <w:numPr>
          <w:ilvl w:val="0"/>
          <w:numId w:val="36"/>
        </w:numPr>
        <w:shd w:val="clear" w:color="auto" w:fill="auto"/>
        <w:tabs>
          <w:tab w:val="left" w:pos="864"/>
        </w:tabs>
        <w:spacing w:after="0" w:line="334" w:lineRule="auto"/>
        <w:ind w:left="860" w:hanging="280"/>
        <w:jc w:val="both"/>
      </w:pPr>
      <w:r>
        <w:t xml:space="preserve">Smluvní </w:t>
      </w:r>
      <w:r w:rsidRPr="00920265">
        <w:rPr>
          <w:lang w:eastAsia="en-US" w:bidi="en-US"/>
        </w:rPr>
        <w:t xml:space="preserve">partner bude </w:t>
      </w:r>
      <w:r>
        <w:t xml:space="preserve">chránit své přístupové údaje, které obdržel </w:t>
      </w:r>
      <w:r w:rsidRPr="00920265">
        <w:rPr>
          <w:lang w:eastAsia="en-US" w:bidi="en-US"/>
        </w:rPr>
        <w:t xml:space="preserve">od TMCZ. </w:t>
      </w:r>
      <w:r>
        <w:t xml:space="preserve">Činnosti prováděné </w:t>
      </w:r>
      <w:r w:rsidRPr="00920265">
        <w:rPr>
          <w:lang w:eastAsia="en-US" w:bidi="en-US"/>
        </w:rPr>
        <w:t xml:space="preserve">s </w:t>
      </w:r>
      <w:r>
        <w:t xml:space="preserve">využitím přístupových údajů Smluvního </w:t>
      </w:r>
      <w:r w:rsidRPr="00920265">
        <w:rPr>
          <w:lang w:eastAsia="en-US" w:bidi="en-US"/>
        </w:rPr>
        <w:t xml:space="preserve">partnera budou </w:t>
      </w:r>
      <w:r>
        <w:t>pova</w:t>
      </w:r>
      <w:r>
        <w:softHyphen/>
        <w:t xml:space="preserve">žovány </w:t>
      </w:r>
      <w:r w:rsidRPr="00920265">
        <w:rPr>
          <w:lang w:eastAsia="en-US" w:bidi="en-US"/>
        </w:rPr>
        <w:t xml:space="preserve">za </w:t>
      </w:r>
      <w:r>
        <w:t xml:space="preserve">činnosti prováděné Smluvním </w:t>
      </w:r>
      <w:r w:rsidRPr="00920265">
        <w:rPr>
          <w:lang w:eastAsia="en-US" w:bidi="en-US"/>
        </w:rPr>
        <w:t xml:space="preserve">partnerem nebo jeho </w:t>
      </w:r>
      <w:r>
        <w:t xml:space="preserve">pověřeným správcem, </w:t>
      </w:r>
      <w:r w:rsidRPr="00920265">
        <w:rPr>
          <w:lang w:eastAsia="en-US" w:bidi="en-US"/>
        </w:rPr>
        <w:t xml:space="preserve">za </w:t>
      </w:r>
      <w:r>
        <w:t xml:space="preserve">které </w:t>
      </w:r>
      <w:r w:rsidRPr="00920265">
        <w:rPr>
          <w:lang w:eastAsia="en-US" w:bidi="en-US"/>
        </w:rPr>
        <w:t xml:space="preserve">je </w:t>
      </w:r>
      <w:r>
        <w:t>rovněž</w:t>
      </w:r>
      <w:r>
        <w:t xml:space="preserve"> Smluvní </w:t>
      </w:r>
      <w:r w:rsidRPr="00920265">
        <w:rPr>
          <w:lang w:eastAsia="en-US" w:bidi="en-US"/>
        </w:rPr>
        <w:t xml:space="preserve">partner </w:t>
      </w:r>
      <w:r>
        <w:t>plně odpovědný.</w:t>
      </w:r>
    </w:p>
    <w:p w:rsidR="00215B20" w:rsidRDefault="00FD0AA3">
      <w:pPr>
        <w:pStyle w:val="Zkladntext1"/>
        <w:shd w:val="clear" w:color="auto" w:fill="auto"/>
        <w:spacing w:after="200" w:line="334" w:lineRule="auto"/>
        <w:ind w:left="580"/>
        <w:jc w:val="both"/>
      </w:pPr>
      <w:r>
        <w:t xml:space="preserve">Další podmínky užívání webového portálu </w:t>
      </w:r>
      <w:r w:rsidRPr="00920265">
        <w:rPr>
          <w:lang w:eastAsia="en-US" w:bidi="en-US"/>
        </w:rPr>
        <w:t xml:space="preserve">mohou </w:t>
      </w:r>
      <w:r>
        <w:t>být sta</w:t>
      </w:r>
      <w:r>
        <w:softHyphen/>
        <w:t>noveny</w:t>
      </w:r>
      <w:r w:rsidRPr="00920265">
        <w:rPr>
          <w:lang w:eastAsia="en-US" w:bidi="en-US"/>
        </w:rPr>
        <w:t xml:space="preserve"> na </w:t>
      </w:r>
      <w:r>
        <w:t xml:space="preserve">dotčeném webovém portálu, přičemž Smluvní </w:t>
      </w:r>
      <w:r w:rsidRPr="00920265">
        <w:rPr>
          <w:lang w:eastAsia="en-US" w:bidi="en-US"/>
        </w:rPr>
        <w:t xml:space="preserve">partner se zavazuje se s </w:t>
      </w:r>
      <w:r>
        <w:t xml:space="preserve">takovými podmínkami seznámit </w:t>
      </w:r>
      <w:r w:rsidRPr="00920265">
        <w:rPr>
          <w:lang w:eastAsia="en-US" w:bidi="en-US"/>
        </w:rPr>
        <w:t xml:space="preserve">a </w:t>
      </w:r>
      <w:r>
        <w:t xml:space="preserve">dodržovat </w:t>
      </w:r>
      <w:r w:rsidRPr="00920265">
        <w:rPr>
          <w:lang w:eastAsia="en-US" w:bidi="en-US"/>
        </w:rPr>
        <w:t>je.</w:t>
      </w:r>
    </w:p>
    <w:p w:rsidR="00215B20" w:rsidRDefault="00FD0AA3">
      <w:pPr>
        <w:pStyle w:val="Nadpis60"/>
        <w:keepNext/>
        <w:keepLines/>
        <w:numPr>
          <w:ilvl w:val="0"/>
          <w:numId w:val="15"/>
        </w:numPr>
        <w:shd w:val="clear" w:color="auto" w:fill="auto"/>
        <w:tabs>
          <w:tab w:val="left" w:pos="568"/>
        </w:tabs>
        <w:spacing w:after="0" w:line="334" w:lineRule="auto"/>
      </w:pPr>
      <w:bookmarkStart w:id="233" w:name="bookmark232"/>
      <w:bookmarkStart w:id="234" w:name="bookmark233"/>
      <w:r>
        <w:rPr>
          <w:color w:val="EC018B"/>
        </w:rPr>
        <w:t>Zřízení či změna služeb</w:t>
      </w:r>
      <w:bookmarkEnd w:id="233"/>
      <w:bookmarkEnd w:id="234"/>
    </w:p>
    <w:p w:rsidR="00215B20" w:rsidRDefault="00FD0AA3">
      <w:pPr>
        <w:pStyle w:val="Zkladntext1"/>
        <w:numPr>
          <w:ilvl w:val="1"/>
          <w:numId w:val="15"/>
        </w:numPr>
        <w:shd w:val="clear" w:color="auto" w:fill="auto"/>
        <w:tabs>
          <w:tab w:val="left" w:pos="568"/>
        </w:tabs>
        <w:spacing w:after="200" w:line="334" w:lineRule="auto"/>
        <w:ind w:left="580" w:hanging="580"/>
        <w:jc w:val="both"/>
      </w:pPr>
      <w:r>
        <w:t>Ke zřízení či změně Slu</w:t>
      </w:r>
      <w:r>
        <w:t>žeb dochází na základě a v ter</w:t>
      </w:r>
      <w:r>
        <w:softHyphen/>
        <w:t>mínech dle příslušné Specifikace služby či Změnové Specifikace služby.</w:t>
      </w:r>
    </w:p>
    <w:p w:rsidR="00215B20" w:rsidRDefault="00FD0AA3">
      <w:pPr>
        <w:pStyle w:val="Zkladntext1"/>
        <w:numPr>
          <w:ilvl w:val="1"/>
          <w:numId w:val="15"/>
        </w:numPr>
        <w:shd w:val="clear" w:color="auto" w:fill="auto"/>
        <w:tabs>
          <w:tab w:val="left" w:pos="568"/>
        </w:tabs>
        <w:spacing w:after="200" w:line="334" w:lineRule="auto"/>
        <w:ind w:left="580" w:hanging="580"/>
        <w:jc w:val="both"/>
      </w:pPr>
      <w:r>
        <w:t>TMCZ oznámí Smluvnímu partnerovi připravenost Služby k testování, zřízení nebo změně, resp. k jejímu protokolár</w:t>
      </w:r>
      <w:r>
        <w:softHyphen/>
        <w:t xml:space="preserve">nímu převzetí, přičemž Smluvní partner je </w:t>
      </w:r>
      <w:r>
        <w:t>povinen poskyt</w:t>
      </w:r>
      <w:r>
        <w:softHyphen/>
        <w:t xml:space="preserve">nout TMCZ bez prodlení veškerou potřebnou součinnost k řádnému testování, zřízení nebo změně Služby, resp. protokolárnímu převzetí Služby. V rámci svojí součinnosti si Smluvní partner zajišťuje rovněž přeprogramování PBX. Není-li výslovně v </w:t>
      </w:r>
      <w:r>
        <w:t>rámci Služby sjednána povinnost TMCZ zabezpečit PBX a související komunikační infrastruk</w:t>
      </w:r>
      <w:r>
        <w:softHyphen/>
        <w:t>turu, odpovídá za řádné zabezpečení PBX a související komunikační infrastruktury před jejím zneužitím (např. na</w:t>
      </w:r>
      <w:r>
        <w:softHyphen/>
        <w:t>padením) Smluvní partner.</w:t>
      </w:r>
    </w:p>
    <w:p w:rsidR="00215B20" w:rsidRDefault="00FD0AA3">
      <w:pPr>
        <w:pStyle w:val="Zkladntext1"/>
        <w:numPr>
          <w:ilvl w:val="1"/>
          <w:numId w:val="15"/>
        </w:numPr>
        <w:shd w:val="clear" w:color="auto" w:fill="auto"/>
        <w:tabs>
          <w:tab w:val="left" w:pos="553"/>
        </w:tabs>
        <w:spacing w:after="0" w:line="334" w:lineRule="auto"/>
        <w:jc w:val="both"/>
      </w:pPr>
      <w:r>
        <w:t>Po zprovoznění Služby prověří</w:t>
      </w:r>
      <w:r>
        <w:t xml:space="preserve"> kontaktní osoby Smluvního</w:t>
      </w:r>
    </w:p>
    <w:p w:rsidR="00215B20" w:rsidRDefault="00FD0AA3">
      <w:pPr>
        <w:pStyle w:val="Zkladntext1"/>
        <w:shd w:val="clear" w:color="auto" w:fill="auto"/>
        <w:spacing w:after="200" w:line="334" w:lineRule="auto"/>
        <w:ind w:left="580"/>
        <w:jc w:val="both"/>
      </w:pPr>
      <w:r>
        <w:t xml:space="preserve">partnera a TMCZ funkčnost Služby a podepíší akceptač- ní (předávací) protokol Služby (pokud není v příslušném Popisu </w:t>
      </w:r>
      <w:r>
        <w:lastRenderedPageBreak/>
        <w:t>služby stanoven výslovně jiný postup). Služba je zřízena či změněna dnem uvedeným v podepsaném ak- ceptačním (př</w:t>
      </w:r>
      <w:r>
        <w:t>edávacím) protokolu Služby nebo dnem pí</w:t>
      </w:r>
      <w:r>
        <w:softHyphen/>
        <w:t>semného oznámení TMCZ o zřízení či změně Služby nebo dnem prvního využití Služby, podle toho, která skutečnost nastane dříve.</w:t>
      </w:r>
    </w:p>
    <w:p w:rsidR="00215B20" w:rsidRDefault="00FD0AA3">
      <w:pPr>
        <w:pStyle w:val="Zkladntext1"/>
        <w:numPr>
          <w:ilvl w:val="1"/>
          <w:numId w:val="15"/>
        </w:numPr>
        <w:shd w:val="clear" w:color="auto" w:fill="auto"/>
        <w:tabs>
          <w:tab w:val="left" w:pos="553"/>
        </w:tabs>
        <w:spacing w:after="200" w:line="334" w:lineRule="auto"/>
        <w:ind w:left="580" w:hanging="580"/>
        <w:jc w:val="both"/>
      </w:pPr>
      <w:r>
        <w:t>Smluvní partner je povinen uhradit TMCZ veškeré nákla</w:t>
      </w:r>
      <w:r>
        <w:softHyphen/>
        <w:t xml:space="preserve">dy spojené se zřízením nebo změnou </w:t>
      </w:r>
      <w:r>
        <w:t>Služby, které musel TMCZ vynaložit, protože Smluvní partner nesplnil podmín</w:t>
      </w:r>
      <w:r>
        <w:softHyphen/>
        <w:t>ky stanovené pro zřízení nebo změnu Služby.</w:t>
      </w:r>
    </w:p>
    <w:p w:rsidR="00215B20" w:rsidRDefault="00FD0AA3">
      <w:pPr>
        <w:pStyle w:val="Zkladntext1"/>
        <w:numPr>
          <w:ilvl w:val="1"/>
          <w:numId w:val="15"/>
        </w:numPr>
        <w:shd w:val="clear" w:color="auto" w:fill="auto"/>
        <w:tabs>
          <w:tab w:val="left" w:pos="553"/>
        </w:tabs>
        <w:spacing w:after="200" w:line="334" w:lineRule="auto"/>
        <w:ind w:left="580" w:hanging="580"/>
        <w:jc w:val="both"/>
      </w:pPr>
      <w:r>
        <w:t xml:space="preserve">TMCZ je oprávněn nezřídit Službu nebo nerealizovat změnu Služby zejména v případech, kdy Smluvní partner úmyslně uvedl nesprávné osobní </w:t>
      </w:r>
      <w:r>
        <w:t>nebo identifikační údaje nebo soustavně opožděně platí/platil nebo soustavně ne- platil/neplatí vyúčtovanou cenu za Služby, nebo v případě, že zřízení či provedení změny Služby není technicky mož</w:t>
      </w:r>
      <w:r>
        <w:softHyphen/>
        <w:t>né, nebo v případě, že se Smluvní partner takovou změ</w:t>
      </w:r>
      <w:r>
        <w:softHyphen/>
        <w:t>nou či</w:t>
      </w:r>
      <w:r>
        <w:t xml:space="preserve"> zřízením snaží obejít některá ustanovení Smlouvy, např. pokud by požadovaná změna obcházela následky spojené s předčasným ukončením Služby.</w:t>
      </w:r>
    </w:p>
    <w:p w:rsidR="00215B20" w:rsidRDefault="00FD0AA3">
      <w:pPr>
        <w:pStyle w:val="Zkladntext1"/>
        <w:numPr>
          <w:ilvl w:val="1"/>
          <w:numId w:val="15"/>
        </w:numPr>
        <w:shd w:val="clear" w:color="auto" w:fill="auto"/>
        <w:tabs>
          <w:tab w:val="left" w:pos="553"/>
        </w:tabs>
        <w:spacing w:after="0" w:line="334" w:lineRule="auto"/>
        <w:jc w:val="both"/>
      </w:pPr>
      <w:r>
        <w:t>V případě, že zřízení, změnu, opravu Služeb či jinou obdob</w:t>
      </w:r>
      <w:r>
        <w:softHyphen/>
      </w:r>
    </w:p>
    <w:p w:rsidR="00215B20" w:rsidRDefault="00FD0AA3">
      <w:pPr>
        <w:pStyle w:val="Zkladntext1"/>
        <w:shd w:val="clear" w:color="auto" w:fill="auto"/>
        <w:spacing w:after="200" w:line="334" w:lineRule="auto"/>
        <w:ind w:left="580"/>
        <w:jc w:val="both"/>
      </w:pPr>
      <w:r>
        <w:t xml:space="preserve">nou činnost lze ze strany TMCZ provést prostřednictvím </w:t>
      </w:r>
      <w:r>
        <w:t>vzdáleného přístupu, Smluvní partner se zavazuje zajistit pro TMCZ na vlastní náklady ve sjednaném čase takový vzdálený přístup.</w:t>
      </w:r>
    </w:p>
    <w:p w:rsidR="00215B20" w:rsidRDefault="00FD0AA3">
      <w:pPr>
        <w:pStyle w:val="Nadpis60"/>
        <w:keepNext/>
        <w:keepLines/>
        <w:numPr>
          <w:ilvl w:val="0"/>
          <w:numId w:val="15"/>
        </w:numPr>
        <w:shd w:val="clear" w:color="auto" w:fill="auto"/>
        <w:tabs>
          <w:tab w:val="left" w:pos="553"/>
        </w:tabs>
        <w:spacing w:after="0" w:line="334" w:lineRule="auto"/>
        <w:jc w:val="both"/>
      </w:pPr>
      <w:bookmarkStart w:id="235" w:name="bookmark234"/>
      <w:bookmarkStart w:id="236" w:name="bookmark235"/>
      <w:r>
        <w:rPr>
          <w:color w:val="EC018B"/>
        </w:rPr>
        <w:t>Práva a povinnosti smluvních stran</w:t>
      </w:r>
      <w:bookmarkEnd w:id="235"/>
      <w:bookmarkEnd w:id="236"/>
    </w:p>
    <w:p w:rsidR="00215B20" w:rsidRDefault="00FD0AA3">
      <w:pPr>
        <w:pStyle w:val="Zkladntext1"/>
        <w:numPr>
          <w:ilvl w:val="1"/>
          <w:numId w:val="15"/>
        </w:numPr>
        <w:shd w:val="clear" w:color="auto" w:fill="auto"/>
        <w:tabs>
          <w:tab w:val="left" w:pos="553"/>
        </w:tabs>
        <w:spacing w:after="200" w:line="334" w:lineRule="auto"/>
        <w:ind w:left="580" w:hanging="580"/>
        <w:jc w:val="both"/>
      </w:pPr>
      <w:r>
        <w:t>TMCZ je povinen poskytovat Služby v souladu se Smluvními dokumenty, zejména s těmito Podmínk</w:t>
      </w:r>
      <w:r>
        <w:t>ami Firemního řešení, Smlouvou, Specifikací služeb, Popisem služeb, Dohodou o cenových podmínkách a případ</w:t>
      </w:r>
      <w:r>
        <w:softHyphen/>
        <w:t>ně Účastnickou smlouvou ve vztahu k Účastnickým službám.</w:t>
      </w:r>
    </w:p>
    <w:p w:rsidR="00215B20" w:rsidRDefault="00FD0AA3">
      <w:pPr>
        <w:pStyle w:val="Zkladntext1"/>
        <w:numPr>
          <w:ilvl w:val="1"/>
          <w:numId w:val="15"/>
        </w:numPr>
        <w:shd w:val="clear" w:color="auto" w:fill="auto"/>
        <w:tabs>
          <w:tab w:val="left" w:pos="553"/>
        </w:tabs>
        <w:spacing w:after="200" w:line="334" w:lineRule="auto"/>
        <w:ind w:left="580" w:hanging="580"/>
        <w:jc w:val="both"/>
      </w:pPr>
      <w:r>
        <w:t>Smluvní partner souhlasí s tím, aby TMCZ prováděl kont</w:t>
      </w:r>
      <w:r>
        <w:softHyphen/>
        <w:t xml:space="preserve">rolu jeho platební schopnosti, např. </w:t>
      </w:r>
      <w:r>
        <w:t>prostřednictvím regis</w:t>
      </w:r>
      <w:r>
        <w:softHyphen/>
        <w:t>tru dlužníků sdružení SOLUS.</w:t>
      </w:r>
    </w:p>
    <w:p w:rsidR="00215B20" w:rsidRDefault="00FD0AA3">
      <w:pPr>
        <w:pStyle w:val="Zkladntext1"/>
        <w:numPr>
          <w:ilvl w:val="1"/>
          <w:numId w:val="15"/>
        </w:numPr>
        <w:shd w:val="clear" w:color="auto" w:fill="auto"/>
        <w:tabs>
          <w:tab w:val="left" w:pos="553"/>
        </w:tabs>
        <w:spacing w:after="200" w:line="334" w:lineRule="auto"/>
        <w:ind w:left="580" w:hanging="580"/>
        <w:jc w:val="both"/>
        <w:sectPr w:rsidR="00215B20">
          <w:pgSz w:w="11900" w:h="16840"/>
          <w:pgMar w:top="1974" w:right="809" w:bottom="1364" w:left="809" w:header="0" w:footer="3" w:gutter="0"/>
          <w:cols w:num="2" w:space="427"/>
          <w:noEndnote/>
          <w:docGrid w:linePitch="360"/>
        </w:sectPr>
      </w:pPr>
      <w:r>
        <w:t>Smluvní strany se dohodly, že každá ze Smluvních stran je oprávněna jednostranně změnit své údaje v hlavičce Smlouvy doporučeným dopisem zaslaným Kontaktní oso</w:t>
      </w:r>
      <w:r>
        <w:softHyphen/>
        <w:t>bě druhé Smluvní str</w:t>
      </w:r>
      <w:r>
        <w:t>any, přičemž taková změna nabývá účinnosti první pracovní den následující po doručení ozná</w:t>
      </w:r>
      <w:r>
        <w:softHyphen/>
        <w:t>mení druhé Smluvní straně. Výše uvedeným postupem je TMCZ oprávněn změnit rovněž číslo Smlouvy. Takto pro</w:t>
      </w:r>
      <w:r>
        <w:softHyphen/>
        <w:t xml:space="preserve">vedené změny Smlouvy nevyžadují uzavření písemného dodatku </w:t>
      </w:r>
      <w:r>
        <w:t>ke Smlouvě.</w:t>
      </w:r>
    </w:p>
    <w:p w:rsidR="00215B20" w:rsidRDefault="00FD0AA3">
      <w:pPr>
        <w:pStyle w:val="Zkladntext1"/>
        <w:numPr>
          <w:ilvl w:val="1"/>
          <w:numId w:val="15"/>
        </w:numPr>
        <w:shd w:val="clear" w:color="auto" w:fill="auto"/>
        <w:tabs>
          <w:tab w:val="left" w:pos="576"/>
        </w:tabs>
        <w:spacing w:after="200" w:line="334" w:lineRule="auto"/>
        <w:ind w:left="580" w:hanging="580"/>
        <w:jc w:val="both"/>
      </w:pPr>
      <w:r>
        <w:lastRenderedPageBreak/>
        <w:t xml:space="preserve">Smluvní </w:t>
      </w:r>
      <w:r w:rsidRPr="00920265">
        <w:rPr>
          <w:lang w:eastAsia="en-US" w:bidi="en-US"/>
        </w:rPr>
        <w:t xml:space="preserve">partner je povinen </w:t>
      </w:r>
      <w:r>
        <w:t xml:space="preserve">užívat Služby </w:t>
      </w:r>
      <w:r w:rsidRPr="00920265">
        <w:rPr>
          <w:lang w:eastAsia="en-US" w:bidi="en-US"/>
        </w:rPr>
        <w:t xml:space="preserve">pouze </w:t>
      </w:r>
      <w:r>
        <w:t>způso</w:t>
      </w:r>
      <w:r>
        <w:softHyphen/>
        <w:t>bem,</w:t>
      </w:r>
      <w:r w:rsidRPr="00920265">
        <w:rPr>
          <w:lang w:eastAsia="en-US" w:bidi="en-US"/>
        </w:rPr>
        <w:t xml:space="preserve"> </w:t>
      </w:r>
      <w:r>
        <w:t xml:space="preserve">který </w:t>
      </w:r>
      <w:r w:rsidRPr="00920265">
        <w:rPr>
          <w:lang w:eastAsia="en-US" w:bidi="en-US"/>
        </w:rPr>
        <w:t xml:space="preserve">je v souladu s </w:t>
      </w:r>
      <w:r>
        <w:t xml:space="preserve">příslušnými právními předpisy </w:t>
      </w:r>
      <w:r w:rsidRPr="00920265">
        <w:rPr>
          <w:lang w:eastAsia="en-US" w:bidi="en-US"/>
        </w:rPr>
        <w:t xml:space="preserve">a </w:t>
      </w:r>
      <w:r>
        <w:t xml:space="preserve">Smluvními </w:t>
      </w:r>
      <w:r w:rsidRPr="00920265">
        <w:rPr>
          <w:lang w:eastAsia="en-US" w:bidi="en-US"/>
        </w:rPr>
        <w:t xml:space="preserve">dokumenty, </w:t>
      </w:r>
      <w:r>
        <w:t xml:space="preserve">zejména </w:t>
      </w:r>
      <w:r w:rsidRPr="00920265">
        <w:rPr>
          <w:lang w:eastAsia="en-US" w:bidi="en-US"/>
        </w:rPr>
        <w:t xml:space="preserve">s </w:t>
      </w:r>
      <w:r>
        <w:t xml:space="preserve">příslušnou </w:t>
      </w:r>
      <w:r w:rsidRPr="00920265">
        <w:rPr>
          <w:lang w:eastAsia="en-US" w:bidi="en-US"/>
        </w:rPr>
        <w:t xml:space="preserve">Smlouvou, </w:t>
      </w:r>
      <w:r>
        <w:t xml:space="preserve">Specifikací služby, těmito Podmínkami Firemního řešení, provozními řády, </w:t>
      </w:r>
      <w:r w:rsidRPr="00920265">
        <w:rPr>
          <w:lang w:eastAsia="en-US" w:bidi="en-US"/>
        </w:rPr>
        <w:t xml:space="preserve">Popisem </w:t>
      </w:r>
      <w:r>
        <w:t xml:space="preserve">služby, Ceníky </w:t>
      </w:r>
      <w:r w:rsidRPr="00920265">
        <w:rPr>
          <w:lang w:eastAsia="en-US" w:bidi="en-US"/>
        </w:rPr>
        <w:t xml:space="preserve">a </w:t>
      </w:r>
      <w:r>
        <w:t>písemnými ná</w:t>
      </w:r>
      <w:r>
        <w:softHyphen/>
        <w:t>vody</w:t>
      </w:r>
      <w:r w:rsidRPr="00920265">
        <w:rPr>
          <w:lang w:eastAsia="en-US" w:bidi="en-US"/>
        </w:rPr>
        <w:t xml:space="preserve"> a pokyny TMCZ. </w:t>
      </w:r>
      <w:r>
        <w:t xml:space="preserve">Smluvní </w:t>
      </w:r>
      <w:r w:rsidRPr="00920265">
        <w:rPr>
          <w:lang w:eastAsia="en-US" w:bidi="en-US"/>
        </w:rPr>
        <w:t xml:space="preserve">partner </w:t>
      </w:r>
      <w:r>
        <w:t xml:space="preserve">odpovídá </w:t>
      </w:r>
      <w:r w:rsidRPr="00920265">
        <w:rPr>
          <w:lang w:eastAsia="en-US" w:bidi="en-US"/>
        </w:rPr>
        <w:t xml:space="preserve">za </w:t>
      </w:r>
      <w:r>
        <w:t>veške</w:t>
      </w:r>
      <w:r>
        <w:softHyphen/>
        <w:t xml:space="preserve">ré činnosti, které prostřednictvím Služeb či </w:t>
      </w:r>
      <w:r w:rsidRPr="00920265">
        <w:rPr>
          <w:lang w:eastAsia="en-US" w:bidi="en-US"/>
        </w:rPr>
        <w:t xml:space="preserve">v </w:t>
      </w:r>
      <w:r>
        <w:t>rámci užívání Služeb uskuteční.</w:t>
      </w:r>
    </w:p>
    <w:p w:rsidR="00215B20" w:rsidRDefault="00FD0AA3">
      <w:pPr>
        <w:pStyle w:val="Zkladntext1"/>
        <w:numPr>
          <w:ilvl w:val="1"/>
          <w:numId w:val="15"/>
        </w:numPr>
        <w:shd w:val="clear" w:color="auto" w:fill="auto"/>
        <w:tabs>
          <w:tab w:val="left" w:pos="576"/>
        </w:tabs>
        <w:spacing w:after="0" w:line="334" w:lineRule="auto"/>
        <w:ind w:left="580" w:hanging="580"/>
        <w:jc w:val="both"/>
      </w:pPr>
      <w:r>
        <w:t xml:space="preserve">Smluvní </w:t>
      </w:r>
      <w:r w:rsidRPr="00920265">
        <w:rPr>
          <w:lang w:eastAsia="en-US" w:bidi="en-US"/>
        </w:rPr>
        <w:t xml:space="preserve">partner se zavazuje </w:t>
      </w:r>
      <w:r>
        <w:t xml:space="preserve">neužívat Službu </w:t>
      </w:r>
      <w:r w:rsidRPr="00920265">
        <w:rPr>
          <w:lang w:eastAsia="en-US" w:bidi="en-US"/>
        </w:rPr>
        <w:t xml:space="preserve">v rozporu se </w:t>
      </w:r>
      <w:r>
        <w:t xml:space="preserve">závaznými právními předpisy </w:t>
      </w:r>
      <w:r w:rsidRPr="00920265">
        <w:rPr>
          <w:lang w:eastAsia="en-US" w:bidi="en-US"/>
        </w:rPr>
        <w:t xml:space="preserve">nebo v rozporu s </w:t>
      </w:r>
      <w:r>
        <w:t xml:space="preserve">dobrými </w:t>
      </w:r>
      <w:r w:rsidRPr="00920265">
        <w:rPr>
          <w:lang w:eastAsia="en-US" w:bidi="en-US"/>
        </w:rPr>
        <w:t xml:space="preserve">mravy a </w:t>
      </w:r>
      <w:r>
        <w:lastRenderedPageBreak/>
        <w:t xml:space="preserve">nezneužívat připojení </w:t>
      </w:r>
      <w:r w:rsidRPr="00920265">
        <w:rPr>
          <w:lang w:eastAsia="en-US" w:bidi="en-US"/>
        </w:rPr>
        <w:t xml:space="preserve">ke </w:t>
      </w:r>
      <w:r>
        <w:t xml:space="preserve">komunikační síti. Smluvní </w:t>
      </w:r>
      <w:r>
        <w:rPr>
          <w:lang w:val="en-US" w:eastAsia="en-US" w:bidi="en-US"/>
        </w:rPr>
        <w:t xml:space="preserve">partner se zavazuje </w:t>
      </w:r>
      <w:r>
        <w:t xml:space="preserve">zdržet </w:t>
      </w:r>
      <w:r>
        <w:rPr>
          <w:lang w:val="en-US" w:eastAsia="en-US" w:bidi="en-US"/>
        </w:rPr>
        <w:t xml:space="preserve">se </w:t>
      </w:r>
      <w:r>
        <w:t>zejména:</w:t>
      </w:r>
    </w:p>
    <w:p w:rsidR="00215B20" w:rsidRDefault="00FD0AA3">
      <w:pPr>
        <w:pStyle w:val="Zkladntext1"/>
        <w:numPr>
          <w:ilvl w:val="0"/>
          <w:numId w:val="37"/>
        </w:numPr>
        <w:shd w:val="clear" w:color="auto" w:fill="auto"/>
        <w:tabs>
          <w:tab w:val="left" w:pos="883"/>
        </w:tabs>
        <w:spacing w:after="0" w:line="334" w:lineRule="auto"/>
        <w:ind w:left="860" w:hanging="260"/>
        <w:jc w:val="both"/>
      </w:pPr>
      <w:r w:rsidRPr="00920265">
        <w:rPr>
          <w:lang w:eastAsia="en-US" w:bidi="en-US"/>
        </w:rPr>
        <w:t xml:space="preserve">podpory </w:t>
      </w:r>
      <w:r>
        <w:t xml:space="preserve">či umožnění jakékoli nelegální činnosti </w:t>
      </w:r>
      <w:r w:rsidRPr="00920265">
        <w:rPr>
          <w:lang w:eastAsia="en-US" w:bidi="en-US"/>
        </w:rPr>
        <w:t xml:space="preserve">nebo </w:t>
      </w:r>
      <w:r>
        <w:t xml:space="preserve">zapojení </w:t>
      </w:r>
      <w:r w:rsidRPr="00920265">
        <w:rPr>
          <w:lang w:eastAsia="en-US" w:bidi="en-US"/>
        </w:rPr>
        <w:t xml:space="preserve">se do </w:t>
      </w:r>
      <w:r>
        <w:t>takových činností, včetně umožnění je</w:t>
      </w:r>
      <w:r>
        <w:softHyphen/>
        <w:t>jich</w:t>
      </w:r>
      <w:r w:rsidRPr="00920265">
        <w:rPr>
          <w:lang w:eastAsia="en-US" w:bidi="en-US"/>
        </w:rPr>
        <w:t xml:space="preserve"> </w:t>
      </w:r>
      <w:r>
        <w:t>přenosu;</w:t>
      </w:r>
    </w:p>
    <w:p w:rsidR="00215B20" w:rsidRDefault="00FD0AA3">
      <w:pPr>
        <w:pStyle w:val="Zkladntext1"/>
        <w:numPr>
          <w:ilvl w:val="0"/>
          <w:numId w:val="37"/>
        </w:numPr>
        <w:shd w:val="clear" w:color="auto" w:fill="auto"/>
        <w:tabs>
          <w:tab w:val="left" w:pos="883"/>
        </w:tabs>
        <w:spacing w:after="0" w:line="334" w:lineRule="auto"/>
        <w:ind w:left="860" w:hanging="260"/>
        <w:jc w:val="both"/>
      </w:pPr>
      <w:r w:rsidRPr="00920265">
        <w:rPr>
          <w:lang w:eastAsia="en-US" w:bidi="en-US"/>
        </w:rPr>
        <w:t xml:space="preserve">komunikace </w:t>
      </w:r>
      <w:r>
        <w:t>po</w:t>
      </w:r>
      <w:r>
        <w:t xml:space="preserve">rušující práva </w:t>
      </w:r>
      <w:r w:rsidRPr="00920265">
        <w:rPr>
          <w:lang w:eastAsia="en-US" w:bidi="en-US"/>
        </w:rPr>
        <w:t xml:space="preserve">na ochranu osobnosti, </w:t>
      </w:r>
      <w:r>
        <w:t xml:space="preserve">šíření </w:t>
      </w:r>
      <w:r w:rsidRPr="00920265">
        <w:rPr>
          <w:lang w:eastAsia="en-US" w:bidi="en-US"/>
        </w:rPr>
        <w:t xml:space="preserve">pomluv, </w:t>
      </w:r>
      <w:r>
        <w:t xml:space="preserve">šíření počítačových virů, porušování vlastnických </w:t>
      </w:r>
      <w:r w:rsidRPr="00920265">
        <w:rPr>
          <w:lang w:eastAsia="en-US" w:bidi="en-US"/>
        </w:rPr>
        <w:t xml:space="preserve">nebo </w:t>
      </w:r>
      <w:r>
        <w:t>autorských práv;</w:t>
      </w:r>
    </w:p>
    <w:p w:rsidR="00215B20" w:rsidRDefault="00FD0AA3">
      <w:pPr>
        <w:pStyle w:val="Zkladntext1"/>
        <w:numPr>
          <w:ilvl w:val="0"/>
          <w:numId w:val="37"/>
        </w:numPr>
        <w:shd w:val="clear" w:color="auto" w:fill="auto"/>
        <w:tabs>
          <w:tab w:val="left" w:pos="883"/>
        </w:tabs>
        <w:spacing w:after="0" w:line="334" w:lineRule="auto"/>
        <w:ind w:left="860" w:hanging="260"/>
        <w:jc w:val="both"/>
      </w:pPr>
      <w:r>
        <w:t xml:space="preserve">narušení bezpečnosti Systému </w:t>
      </w:r>
      <w:r w:rsidRPr="00920265">
        <w:rPr>
          <w:lang w:eastAsia="en-US" w:bidi="en-US"/>
        </w:rPr>
        <w:t xml:space="preserve">nebo </w:t>
      </w:r>
      <w:r>
        <w:t xml:space="preserve">sítě </w:t>
      </w:r>
      <w:r w:rsidRPr="00920265">
        <w:rPr>
          <w:lang w:eastAsia="en-US" w:bidi="en-US"/>
        </w:rPr>
        <w:t xml:space="preserve">ve snaze </w:t>
      </w:r>
      <w:r>
        <w:t>zís</w:t>
      </w:r>
      <w:r>
        <w:softHyphen/>
        <w:t>kat</w:t>
      </w:r>
      <w:r w:rsidRPr="00920265">
        <w:rPr>
          <w:lang w:eastAsia="en-US" w:bidi="en-US"/>
        </w:rPr>
        <w:t xml:space="preserve"> </w:t>
      </w:r>
      <w:r>
        <w:t>neoprávněný přístup;</w:t>
      </w:r>
    </w:p>
    <w:p w:rsidR="00215B20" w:rsidRDefault="00FD0AA3">
      <w:pPr>
        <w:pStyle w:val="Zkladntext1"/>
        <w:numPr>
          <w:ilvl w:val="0"/>
          <w:numId w:val="37"/>
        </w:numPr>
        <w:shd w:val="clear" w:color="auto" w:fill="auto"/>
        <w:tabs>
          <w:tab w:val="left" w:pos="889"/>
        </w:tabs>
        <w:spacing w:after="0" w:line="334" w:lineRule="auto"/>
        <w:ind w:left="860" w:hanging="260"/>
        <w:jc w:val="both"/>
      </w:pPr>
      <w:r>
        <w:t xml:space="preserve">neoprávněného užívání </w:t>
      </w:r>
      <w:r w:rsidRPr="00920265">
        <w:rPr>
          <w:lang w:eastAsia="en-US" w:bidi="en-US"/>
        </w:rPr>
        <w:t xml:space="preserve">dat, </w:t>
      </w:r>
      <w:r>
        <w:t xml:space="preserve">Systémů </w:t>
      </w:r>
      <w:r w:rsidRPr="00920265">
        <w:rPr>
          <w:lang w:eastAsia="en-US" w:bidi="en-US"/>
        </w:rPr>
        <w:t xml:space="preserve">a </w:t>
      </w:r>
      <w:r>
        <w:t xml:space="preserve">sítě </w:t>
      </w:r>
      <w:r w:rsidRPr="00920265">
        <w:rPr>
          <w:lang w:eastAsia="en-US" w:bidi="en-US"/>
        </w:rPr>
        <w:t xml:space="preserve">nebo </w:t>
      </w:r>
      <w:r>
        <w:lastRenderedPageBreak/>
        <w:t>neoprávn</w:t>
      </w:r>
      <w:r>
        <w:t>ěného zkoušení, zkoumání či testování zrani</w:t>
      </w:r>
      <w:r>
        <w:softHyphen/>
        <w:t>telnosti</w:t>
      </w:r>
      <w:r w:rsidRPr="00920265">
        <w:rPr>
          <w:lang w:eastAsia="en-US" w:bidi="en-US"/>
        </w:rPr>
        <w:t xml:space="preserve"> </w:t>
      </w:r>
      <w:r>
        <w:t xml:space="preserve">Systémů </w:t>
      </w:r>
      <w:r w:rsidRPr="00920265">
        <w:rPr>
          <w:lang w:eastAsia="en-US" w:bidi="en-US"/>
        </w:rPr>
        <w:t xml:space="preserve">nebo </w:t>
      </w:r>
      <w:r>
        <w:t>sítí;</w:t>
      </w:r>
    </w:p>
    <w:p w:rsidR="00215B20" w:rsidRDefault="00FD0AA3">
      <w:pPr>
        <w:pStyle w:val="Zkladntext1"/>
        <w:numPr>
          <w:ilvl w:val="0"/>
          <w:numId w:val="37"/>
        </w:numPr>
        <w:shd w:val="clear" w:color="auto" w:fill="auto"/>
        <w:tabs>
          <w:tab w:val="left" w:pos="889"/>
        </w:tabs>
        <w:spacing w:after="0" w:line="334" w:lineRule="auto"/>
        <w:ind w:left="860" w:hanging="260"/>
        <w:jc w:val="both"/>
      </w:pPr>
      <w:r>
        <w:t xml:space="preserve">porušování bezpečnostní </w:t>
      </w:r>
      <w:r w:rsidRPr="00920265">
        <w:rPr>
          <w:lang w:eastAsia="en-US" w:bidi="en-US"/>
        </w:rPr>
        <w:t xml:space="preserve">a </w:t>
      </w:r>
      <w:r>
        <w:t xml:space="preserve">ověřovací </w:t>
      </w:r>
      <w:r w:rsidRPr="00920265">
        <w:rPr>
          <w:lang w:eastAsia="en-US" w:bidi="en-US"/>
        </w:rPr>
        <w:t xml:space="preserve">procedury bez </w:t>
      </w:r>
      <w:r>
        <w:t xml:space="preserve">výslovného </w:t>
      </w:r>
      <w:r w:rsidRPr="00920265">
        <w:rPr>
          <w:lang w:eastAsia="en-US" w:bidi="en-US"/>
        </w:rPr>
        <w:t xml:space="preserve">souhlasu </w:t>
      </w:r>
      <w:r>
        <w:t xml:space="preserve">vlastníka Systému </w:t>
      </w:r>
      <w:r w:rsidRPr="00920265">
        <w:rPr>
          <w:lang w:eastAsia="en-US" w:bidi="en-US"/>
        </w:rPr>
        <w:t xml:space="preserve">nebo </w:t>
      </w:r>
      <w:r>
        <w:t>sítě;</w:t>
      </w:r>
    </w:p>
    <w:p w:rsidR="00215B20" w:rsidRDefault="00FD0AA3">
      <w:pPr>
        <w:pStyle w:val="Zkladntext1"/>
        <w:numPr>
          <w:ilvl w:val="0"/>
          <w:numId w:val="37"/>
        </w:numPr>
        <w:shd w:val="clear" w:color="auto" w:fill="auto"/>
        <w:tabs>
          <w:tab w:val="left" w:pos="889"/>
        </w:tabs>
        <w:spacing w:after="0" w:line="334" w:lineRule="auto"/>
        <w:ind w:left="860" w:hanging="260"/>
        <w:jc w:val="both"/>
      </w:pPr>
      <w:r>
        <w:t xml:space="preserve">zasahování </w:t>
      </w:r>
      <w:r w:rsidRPr="00920265">
        <w:rPr>
          <w:lang w:eastAsia="en-US" w:bidi="en-US"/>
        </w:rPr>
        <w:t xml:space="preserve">do </w:t>
      </w:r>
      <w:r>
        <w:t xml:space="preserve">služeb poskytovaných jiným Smluvním partnerům, zasahování </w:t>
      </w:r>
      <w:r w:rsidRPr="00920265">
        <w:rPr>
          <w:lang w:eastAsia="en-US" w:bidi="en-US"/>
        </w:rPr>
        <w:t xml:space="preserve">do </w:t>
      </w:r>
      <w:r>
        <w:t xml:space="preserve">hostitelských Systémů nebo sítí (např. formou přetížení nebo zahlcení daty - </w:t>
      </w:r>
      <w:r w:rsidRPr="00920265">
        <w:rPr>
          <w:lang w:eastAsia="en-US" w:bidi="en-US"/>
        </w:rPr>
        <w:t xml:space="preserve">mailbombing </w:t>
      </w:r>
      <w:r>
        <w:t>- či formou svévolných pokusů přetížit systém) a jiného zasahování s nekalým úmyslem;</w:t>
      </w:r>
    </w:p>
    <w:p w:rsidR="00215B20" w:rsidRDefault="00FD0AA3">
      <w:pPr>
        <w:pStyle w:val="Zkladntext1"/>
        <w:numPr>
          <w:ilvl w:val="0"/>
          <w:numId w:val="37"/>
        </w:numPr>
        <w:shd w:val="clear" w:color="auto" w:fill="auto"/>
        <w:tabs>
          <w:tab w:val="left" w:pos="889"/>
        </w:tabs>
        <w:spacing w:after="0" w:line="334" w:lineRule="auto"/>
        <w:ind w:left="860" w:hanging="260"/>
        <w:jc w:val="both"/>
      </w:pPr>
      <w:r>
        <w:t>rozesílání nevyžádané elektronické pošty a přispívá</w:t>
      </w:r>
      <w:r>
        <w:softHyphen/>
        <w:t>ní do diskusních skupin v roz</w:t>
      </w:r>
      <w:r>
        <w:t>poru s pravidly diskusní skupiny; porušování zásad občanského soužití nebo generování umělého provozu za použití generátorů provozu, automatického vytáčení nebo podobného zařízení, jakož i jiného nadměrného zvyšování provozu či koncentrace provozu prostřed</w:t>
      </w:r>
      <w:r>
        <w:t>nictvím Zařízení typu pobočková ústředna nebo GSM brána;</w:t>
      </w:r>
    </w:p>
    <w:p w:rsidR="00215B20" w:rsidRDefault="00FD0AA3">
      <w:pPr>
        <w:pStyle w:val="Zkladntext1"/>
        <w:numPr>
          <w:ilvl w:val="0"/>
          <w:numId w:val="37"/>
        </w:numPr>
        <w:shd w:val="clear" w:color="auto" w:fill="auto"/>
        <w:tabs>
          <w:tab w:val="left" w:pos="883"/>
        </w:tabs>
        <w:spacing w:after="0" w:line="334" w:lineRule="auto"/>
        <w:ind w:firstLine="580"/>
        <w:jc w:val="both"/>
      </w:pPr>
      <w:r>
        <w:t>uskutečňování zlomyslných nebo obtěžujících volání;</w:t>
      </w:r>
    </w:p>
    <w:p w:rsidR="00215B20" w:rsidRDefault="00FD0AA3">
      <w:pPr>
        <w:pStyle w:val="Zkladntext1"/>
        <w:numPr>
          <w:ilvl w:val="0"/>
          <w:numId w:val="37"/>
        </w:numPr>
        <w:shd w:val="clear" w:color="auto" w:fill="auto"/>
        <w:tabs>
          <w:tab w:val="left" w:pos="889"/>
        </w:tabs>
        <w:spacing w:after="0" w:line="334" w:lineRule="auto"/>
        <w:ind w:left="860" w:hanging="260"/>
        <w:jc w:val="both"/>
      </w:pPr>
      <w:r>
        <w:t>umístnění dat na hardware a software v rámci Služby, které by ohrožovaly bezpečnost státu či jiný veřejný zájem nebo by byly v rozporu s dobrými mr</w:t>
      </w:r>
      <w:r>
        <w:t>avy, zvyk</w:t>
      </w:r>
      <w:r>
        <w:softHyphen/>
        <w:t>lostmi, zásadami poctivého obchodního styku nebo by byly jinak v rozporu s obecně závaznými právními předpisy, normami Evropských společenství či mezi</w:t>
      </w:r>
      <w:r>
        <w:softHyphen/>
        <w:t>národními smlouvami, jimiž je Česká republika vázána, resp. byly v rozporu s podmínkami Smlouvy</w:t>
      </w:r>
      <w:r>
        <w:t>;</w:t>
      </w:r>
    </w:p>
    <w:p w:rsidR="00215B20" w:rsidRDefault="00FD0AA3">
      <w:pPr>
        <w:pStyle w:val="Zkladntext1"/>
        <w:numPr>
          <w:ilvl w:val="0"/>
          <w:numId w:val="37"/>
        </w:numPr>
        <w:shd w:val="clear" w:color="auto" w:fill="auto"/>
        <w:tabs>
          <w:tab w:val="left" w:pos="889"/>
        </w:tabs>
        <w:spacing w:after="0" w:line="334" w:lineRule="auto"/>
        <w:ind w:left="860" w:hanging="260"/>
        <w:jc w:val="both"/>
      </w:pPr>
      <w:r>
        <w:t>šíření nelegálního obsahu, zejména informací obsahu</w:t>
      </w:r>
      <w:r>
        <w:softHyphen/>
        <w:t>jících násilí v jakékoli podobě a jiných informací v roz</w:t>
      </w:r>
      <w:r>
        <w:softHyphen/>
        <w:t>poru s dobrými mravy;</w:t>
      </w:r>
    </w:p>
    <w:p w:rsidR="00215B20" w:rsidRDefault="00FD0AA3">
      <w:pPr>
        <w:pStyle w:val="Zkladntext1"/>
        <w:numPr>
          <w:ilvl w:val="0"/>
          <w:numId w:val="37"/>
        </w:numPr>
        <w:shd w:val="clear" w:color="auto" w:fill="auto"/>
        <w:tabs>
          <w:tab w:val="left" w:pos="889"/>
        </w:tabs>
        <w:spacing w:after="0" w:line="334" w:lineRule="auto"/>
        <w:ind w:left="860" w:hanging="260"/>
        <w:jc w:val="both"/>
      </w:pPr>
      <w:r>
        <w:t>užívání nezákonně pořízeného či licencovaného softwaru;</w:t>
      </w:r>
    </w:p>
    <w:p w:rsidR="00215B20" w:rsidRDefault="00FD0AA3">
      <w:pPr>
        <w:pStyle w:val="Zkladntext1"/>
        <w:numPr>
          <w:ilvl w:val="0"/>
          <w:numId w:val="37"/>
        </w:numPr>
        <w:shd w:val="clear" w:color="auto" w:fill="auto"/>
        <w:tabs>
          <w:tab w:val="left" w:pos="883"/>
        </w:tabs>
        <w:spacing w:after="0" w:line="334" w:lineRule="auto"/>
        <w:ind w:firstLine="580"/>
        <w:jc w:val="both"/>
      </w:pPr>
      <w:r>
        <w:t>zasílání nevyžádaných informací (SPAM);</w:t>
      </w:r>
    </w:p>
    <w:p w:rsidR="00215B20" w:rsidRDefault="00FD0AA3">
      <w:pPr>
        <w:pStyle w:val="Zkladntext1"/>
        <w:numPr>
          <w:ilvl w:val="0"/>
          <w:numId w:val="37"/>
        </w:numPr>
        <w:shd w:val="clear" w:color="auto" w:fill="auto"/>
        <w:tabs>
          <w:tab w:val="left" w:pos="932"/>
        </w:tabs>
        <w:spacing w:after="0" w:line="334" w:lineRule="auto"/>
        <w:ind w:left="860" w:hanging="260"/>
        <w:jc w:val="both"/>
      </w:pPr>
      <w:r>
        <w:t>užívání Služby způsobem ohrožujícím, omezujícím či napadajícím jiný server/službu, kterým by třetí strany jinak obtěžoval a narušoval nebo mohl narušit jejich práva, např. útokem na jiné servery/služby a další za</w:t>
      </w:r>
      <w:r>
        <w:softHyphen/>
        <w:t>řízení (DoS);</w:t>
      </w:r>
    </w:p>
    <w:p w:rsidR="00215B20" w:rsidRDefault="00FD0AA3">
      <w:pPr>
        <w:pStyle w:val="Zkladntext1"/>
        <w:numPr>
          <w:ilvl w:val="0"/>
          <w:numId w:val="37"/>
        </w:numPr>
        <w:shd w:val="clear" w:color="auto" w:fill="auto"/>
        <w:tabs>
          <w:tab w:val="left" w:pos="892"/>
        </w:tabs>
        <w:spacing w:after="0" w:line="334" w:lineRule="auto"/>
        <w:ind w:left="860" w:hanging="280"/>
        <w:jc w:val="both"/>
      </w:pPr>
      <w:r>
        <w:t>šíření virů, wormů, trojanů a</w:t>
      </w:r>
      <w:r>
        <w:t xml:space="preserve"> provádění činnosti obec</w:t>
      </w:r>
      <w:r>
        <w:softHyphen/>
        <w:t>ně známé jako spoofing IP či ARP adres;</w:t>
      </w:r>
    </w:p>
    <w:p w:rsidR="00215B20" w:rsidRDefault="00FD0AA3">
      <w:pPr>
        <w:pStyle w:val="Zkladntext1"/>
        <w:numPr>
          <w:ilvl w:val="0"/>
          <w:numId w:val="37"/>
        </w:numPr>
        <w:shd w:val="clear" w:color="auto" w:fill="auto"/>
        <w:tabs>
          <w:tab w:val="left" w:pos="892"/>
        </w:tabs>
        <w:spacing w:after="200" w:line="334" w:lineRule="auto"/>
        <w:ind w:left="940" w:hanging="360"/>
        <w:jc w:val="both"/>
      </w:pPr>
      <w:r>
        <w:t>provozování veřejného softwaru pro sdílení dat typu P2P nebo sdílení dat v rámci P2P sítí.</w:t>
      </w:r>
    </w:p>
    <w:p w:rsidR="00215B20" w:rsidRDefault="00FD0AA3">
      <w:pPr>
        <w:pStyle w:val="Zkladntext1"/>
        <w:numPr>
          <w:ilvl w:val="1"/>
          <w:numId w:val="15"/>
        </w:numPr>
        <w:shd w:val="clear" w:color="auto" w:fill="auto"/>
        <w:tabs>
          <w:tab w:val="left" w:pos="574"/>
        </w:tabs>
        <w:spacing w:after="200" w:line="334" w:lineRule="auto"/>
        <w:ind w:left="580" w:hanging="580"/>
        <w:jc w:val="both"/>
      </w:pPr>
      <w:r>
        <w:t>Smluvní partner je povinen využívat Služby jen způso</w:t>
      </w:r>
      <w:r>
        <w:softHyphen/>
        <w:t>bem dohodnutým ve Smlouvě a pouze prostřednictv</w:t>
      </w:r>
      <w:r>
        <w:t>ím Zařízení schváleným a homologovaným pro provoz v loka</w:t>
      </w:r>
      <w:r>
        <w:softHyphen/>
        <w:t>litě poskytování Služby a dbát na to, aby na Zařízení TMCZ nevznikla škoda. Smluvní partner odpovídá za újmu, kte</w:t>
      </w:r>
      <w:r>
        <w:softHyphen/>
        <w:t>rá vznikne TMCZ nebo třetím osobám v důsledku použití Zařízení, která Smluvní partner</w:t>
      </w:r>
      <w:r>
        <w:t xml:space="preserve"> připojil k Zařízením TMCZ.</w:t>
      </w:r>
    </w:p>
    <w:p w:rsidR="00215B20" w:rsidRDefault="00FD0AA3">
      <w:pPr>
        <w:pStyle w:val="Zkladntext1"/>
        <w:numPr>
          <w:ilvl w:val="1"/>
          <w:numId w:val="15"/>
        </w:numPr>
        <w:shd w:val="clear" w:color="auto" w:fill="auto"/>
        <w:tabs>
          <w:tab w:val="left" w:pos="574"/>
        </w:tabs>
        <w:spacing w:after="200" w:line="334" w:lineRule="auto"/>
        <w:ind w:left="580" w:hanging="580"/>
        <w:jc w:val="both"/>
      </w:pPr>
      <w:r>
        <w:t>Smluvní partner bude chránit své autentizační klíče a bezpečností přístupové kódy, které obdržel od TMCZ. Činnosti prováděné s využitím kódů Smluvního partnera budou považovány za činnosti prováděné Smluvním part</w:t>
      </w:r>
      <w:r>
        <w:softHyphen/>
        <w:t>nerem nebo jeho</w:t>
      </w:r>
      <w:r>
        <w:t xml:space="preserve"> pověřeným správcem, za které je rovněž Smluvní partner plně odpovědný.</w:t>
      </w:r>
    </w:p>
    <w:p w:rsidR="00215B20" w:rsidRDefault="00FD0AA3">
      <w:pPr>
        <w:pStyle w:val="Zkladntext1"/>
        <w:numPr>
          <w:ilvl w:val="1"/>
          <w:numId w:val="15"/>
        </w:numPr>
        <w:shd w:val="clear" w:color="auto" w:fill="auto"/>
        <w:tabs>
          <w:tab w:val="left" w:pos="574"/>
        </w:tabs>
        <w:spacing w:after="200" w:line="334" w:lineRule="auto"/>
        <w:ind w:left="580" w:hanging="580"/>
        <w:jc w:val="both"/>
      </w:pPr>
      <w:r>
        <w:t>Smluvní partner je povinen oznamovat s předstihem TMCZ změny identifikačních a fakturačních údajů.</w:t>
      </w:r>
    </w:p>
    <w:p w:rsidR="00215B20" w:rsidRDefault="00FD0AA3">
      <w:pPr>
        <w:pStyle w:val="Zkladntext1"/>
        <w:numPr>
          <w:ilvl w:val="1"/>
          <w:numId w:val="15"/>
        </w:numPr>
        <w:shd w:val="clear" w:color="auto" w:fill="auto"/>
        <w:tabs>
          <w:tab w:val="left" w:pos="574"/>
        </w:tabs>
        <w:spacing w:after="200" w:line="334" w:lineRule="auto"/>
        <w:ind w:left="580" w:hanging="580"/>
        <w:jc w:val="both"/>
      </w:pPr>
      <w:r>
        <w:lastRenderedPageBreak/>
        <w:t xml:space="preserve">Smluvní partner je povinen nerušit po dobu trvání Služby účastnictví, dle kterého je </w:t>
      </w:r>
      <w:r>
        <w:t>Smluvnímu partnerovi poskyto</w:t>
      </w:r>
      <w:r>
        <w:softHyphen/>
        <w:t>vána jiným poskytovatelem telefonní služba, která je ne</w:t>
      </w:r>
      <w:r>
        <w:softHyphen/>
        <w:t>zbytná pro poskytování konkrétní Služby ze strany TMCZ. Smluvní partner je dále povinen neměnit po dobu trvání Služby bez souhlasu TMCZ podmínky účastnictví, za kte</w:t>
      </w:r>
      <w:r>
        <w:softHyphen/>
        <w:t>rých j</w:t>
      </w:r>
      <w:r>
        <w:t>e Smluvnímu partnerovi poskytována jiným posky</w:t>
      </w:r>
      <w:r>
        <w:softHyphen/>
        <w:t>tovatelem telefonní služba, která je nezbytná pro posky</w:t>
      </w:r>
      <w:r>
        <w:softHyphen/>
        <w:t>tování Služby ze strany TMCZ. Souhlas TMCZ se změnou podmínek účastnictví může být Smluvnímu partnerovi poskytnut pouze v případě, že bude prokazatelně T</w:t>
      </w:r>
      <w:r>
        <w:t>MCZ doloženo, že Služby poskytované TMCZ dle Smlouvy bu</w:t>
      </w:r>
      <w:r>
        <w:softHyphen/>
        <w:t>dou i po takové změně podmínek účastnictví moci být na</w:t>
      </w:r>
      <w:r>
        <w:softHyphen/>
        <w:t>dále poskytovány Smluvnímu partnerovi ze strany TMCZ za stejných dohodnutých parametrů (tzn., že nedojde ke zrušení Služby nebo změně parametrů S</w:t>
      </w:r>
      <w:r>
        <w:t>lužby).</w:t>
      </w:r>
    </w:p>
    <w:p w:rsidR="00215B20" w:rsidRDefault="00FD0AA3">
      <w:pPr>
        <w:pStyle w:val="Zkladntext1"/>
        <w:numPr>
          <w:ilvl w:val="1"/>
          <w:numId w:val="15"/>
        </w:numPr>
        <w:shd w:val="clear" w:color="auto" w:fill="auto"/>
        <w:tabs>
          <w:tab w:val="left" w:pos="574"/>
        </w:tabs>
        <w:spacing w:after="200" w:line="334" w:lineRule="auto"/>
        <w:ind w:left="580" w:hanging="580"/>
        <w:jc w:val="both"/>
      </w:pPr>
      <w:r>
        <w:t>Smluvní partner je povinen před zřízením Služby ve vztahu ke všem Zařízením, která dostává v rámci Služby do užívání od TMCZ (resp. jeho subdodavatele), mít uzavřenu tako</w:t>
      </w:r>
      <w:r>
        <w:softHyphen/>
        <w:t>vou smlouvu o pojištění, která v případě vzniku škody na Zařízení bude takové</w:t>
      </w:r>
      <w:r>
        <w:t xml:space="preserve"> škody krýt vůči TMCZ, a udržovat ta</w:t>
      </w:r>
      <w:r>
        <w:softHyphen/>
        <w:t>kovou smlouvu v účinnosti po celou dobu užívání Zařízení Smluvním partnerem.</w:t>
      </w:r>
    </w:p>
    <w:p w:rsidR="00215B20" w:rsidRDefault="00FD0AA3">
      <w:pPr>
        <w:pStyle w:val="Zkladntext1"/>
        <w:numPr>
          <w:ilvl w:val="1"/>
          <w:numId w:val="15"/>
        </w:numPr>
        <w:shd w:val="clear" w:color="auto" w:fill="auto"/>
        <w:tabs>
          <w:tab w:val="left" w:pos="574"/>
        </w:tabs>
        <w:spacing w:after="200" w:line="334" w:lineRule="auto"/>
        <w:ind w:left="580" w:hanging="580"/>
        <w:jc w:val="both"/>
      </w:pPr>
      <w:r>
        <w:t>TMCZ je oprávněn v případě podezření týkajícího se po</w:t>
      </w:r>
      <w:r>
        <w:softHyphen/>
        <w:t>rušení jakékoliv povinnosti Smluvního partnera stanove</w:t>
      </w:r>
      <w:r>
        <w:softHyphen/>
        <w:t>né ve Smluvních dokumentech, prov</w:t>
      </w:r>
      <w:r>
        <w:t xml:space="preserve">ozních řádech nebo v právních předpisech provést kontrolu dat na serveru, kontrolu softwaru, resp. kontrolu užívání Služby ze strany Smluvního </w:t>
      </w:r>
      <w:r w:rsidRPr="00920265">
        <w:rPr>
          <w:lang w:eastAsia="en-US" w:bidi="en-US"/>
        </w:rPr>
        <w:t xml:space="preserve">partnera, </w:t>
      </w:r>
      <w:r>
        <w:t xml:space="preserve">přičemž Smluvní </w:t>
      </w:r>
      <w:r w:rsidRPr="00920265">
        <w:rPr>
          <w:lang w:eastAsia="en-US" w:bidi="en-US"/>
        </w:rPr>
        <w:t xml:space="preserve">partner je povinen </w:t>
      </w:r>
      <w:r>
        <w:t xml:space="preserve">takové </w:t>
      </w:r>
      <w:r w:rsidRPr="00920265">
        <w:rPr>
          <w:lang w:eastAsia="en-US" w:bidi="en-US"/>
        </w:rPr>
        <w:t xml:space="preserve">kontroly </w:t>
      </w:r>
      <w:r>
        <w:t xml:space="preserve">strpět </w:t>
      </w:r>
      <w:r w:rsidRPr="00920265">
        <w:rPr>
          <w:lang w:eastAsia="en-US" w:bidi="en-US"/>
        </w:rPr>
        <w:t xml:space="preserve">a poskytnout </w:t>
      </w:r>
      <w:r>
        <w:t xml:space="preserve">veškerou </w:t>
      </w:r>
      <w:r w:rsidRPr="00920265">
        <w:rPr>
          <w:lang w:eastAsia="en-US" w:bidi="en-US"/>
        </w:rPr>
        <w:t xml:space="preserve">nezbytnou </w:t>
      </w:r>
      <w:r>
        <w:t xml:space="preserve">součinnost. </w:t>
      </w:r>
      <w:r w:rsidRPr="00920265">
        <w:rPr>
          <w:lang w:eastAsia="en-US" w:bidi="en-US"/>
        </w:rPr>
        <w:t>T</w:t>
      </w:r>
      <w:r w:rsidRPr="00920265">
        <w:rPr>
          <w:lang w:eastAsia="en-US" w:bidi="en-US"/>
        </w:rPr>
        <w:t xml:space="preserve">MCZ je </w:t>
      </w:r>
      <w:r>
        <w:t xml:space="preserve">dále zejména oprávněn </w:t>
      </w:r>
      <w:r w:rsidRPr="00920265">
        <w:rPr>
          <w:lang w:eastAsia="en-US" w:bidi="en-US"/>
        </w:rPr>
        <w:t xml:space="preserve">kdykoliv </w:t>
      </w:r>
      <w:r>
        <w:t>pře</w:t>
      </w:r>
      <w:r>
        <w:softHyphen/>
        <w:t xml:space="preserve">rušit či </w:t>
      </w:r>
      <w:r w:rsidRPr="00920265">
        <w:rPr>
          <w:lang w:eastAsia="en-US" w:bidi="en-US"/>
        </w:rPr>
        <w:t xml:space="preserve">omezit provoz serveru, resp. </w:t>
      </w:r>
      <w:r>
        <w:t xml:space="preserve">poskytování Služby, </w:t>
      </w:r>
      <w:r w:rsidRPr="00920265">
        <w:rPr>
          <w:lang w:eastAsia="en-US" w:bidi="en-US"/>
        </w:rPr>
        <w:t xml:space="preserve">a to bez </w:t>
      </w:r>
      <w:r>
        <w:t xml:space="preserve">jakéhokoliv předchozího upozornění Smluvního </w:t>
      </w:r>
      <w:r w:rsidRPr="00920265">
        <w:rPr>
          <w:lang w:eastAsia="en-US" w:bidi="en-US"/>
        </w:rPr>
        <w:t xml:space="preserve">partnera, </w:t>
      </w:r>
      <w:r>
        <w:t xml:space="preserve">zjistí-li, že došlo </w:t>
      </w:r>
      <w:r w:rsidRPr="00920265">
        <w:rPr>
          <w:lang w:eastAsia="en-US" w:bidi="en-US"/>
        </w:rPr>
        <w:t xml:space="preserve">k </w:t>
      </w:r>
      <w:r>
        <w:t>porušení právních předpi</w:t>
      </w:r>
      <w:r>
        <w:softHyphen/>
        <w:t xml:space="preserve">sů </w:t>
      </w:r>
      <w:r w:rsidRPr="00920265">
        <w:rPr>
          <w:lang w:eastAsia="en-US" w:bidi="en-US"/>
        </w:rPr>
        <w:t xml:space="preserve">nebo </w:t>
      </w:r>
      <w:r>
        <w:t>porušení povinností stanovených Smluv</w:t>
      </w:r>
      <w:r>
        <w:t xml:space="preserve">ními </w:t>
      </w:r>
      <w:r w:rsidRPr="00920265">
        <w:rPr>
          <w:lang w:eastAsia="en-US" w:bidi="en-US"/>
        </w:rPr>
        <w:t xml:space="preserve">dokumenty ze strany </w:t>
      </w:r>
      <w:r>
        <w:t xml:space="preserve">Smluvního </w:t>
      </w:r>
      <w:r w:rsidRPr="00920265">
        <w:rPr>
          <w:lang w:eastAsia="en-US" w:bidi="en-US"/>
        </w:rPr>
        <w:t xml:space="preserve">partnera. O </w:t>
      </w:r>
      <w:r>
        <w:t xml:space="preserve">takovém omezení </w:t>
      </w:r>
      <w:r w:rsidRPr="00920265">
        <w:rPr>
          <w:lang w:eastAsia="en-US" w:bidi="en-US"/>
        </w:rPr>
        <w:t xml:space="preserve">provozu serveru, resp. </w:t>
      </w:r>
      <w:r>
        <w:t xml:space="preserve">pozastavení poskytování Služby, </w:t>
      </w:r>
      <w:r w:rsidRPr="00920265">
        <w:rPr>
          <w:lang w:eastAsia="en-US" w:bidi="en-US"/>
        </w:rPr>
        <w:t xml:space="preserve">je TMCZ povinen </w:t>
      </w:r>
      <w:r>
        <w:t xml:space="preserve">Smluvního </w:t>
      </w:r>
      <w:r w:rsidRPr="00920265">
        <w:rPr>
          <w:lang w:eastAsia="en-US" w:bidi="en-US"/>
        </w:rPr>
        <w:t xml:space="preserve">partnera bez </w:t>
      </w:r>
      <w:r>
        <w:t xml:space="preserve">prodlení </w:t>
      </w:r>
      <w:r w:rsidRPr="00920265">
        <w:rPr>
          <w:lang w:eastAsia="en-US" w:bidi="en-US"/>
        </w:rPr>
        <w:t>informovat.</w:t>
      </w:r>
    </w:p>
    <w:p w:rsidR="00215B20" w:rsidRDefault="00FD0AA3">
      <w:pPr>
        <w:pStyle w:val="Zkladntext1"/>
        <w:numPr>
          <w:ilvl w:val="1"/>
          <w:numId w:val="15"/>
        </w:numPr>
        <w:shd w:val="clear" w:color="auto" w:fill="auto"/>
        <w:tabs>
          <w:tab w:val="left" w:pos="572"/>
        </w:tabs>
        <w:spacing w:after="200" w:line="334" w:lineRule="auto"/>
        <w:ind w:left="580" w:hanging="580"/>
        <w:jc w:val="both"/>
      </w:pPr>
      <w:r w:rsidRPr="00920265">
        <w:rPr>
          <w:lang w:eastAsia="en-US" w:bidi="en-US"/>
        </w:rPr>
        <w:t xml:space="preserve">TMCZ je </w:t>
      </w:r>
      <w:r>
        <w:t xml:space="preserve">rovněž oprávněn </w:t>
      </w:r>
      <w:r w:rsidRPr="00920265">
        <w:rPr>
          <w:lang w:eastAsia="en-US" w:bidi="en-US"/>
        </w:rPr>
        <w:t xml:space="preserve">za </w:t>
      </w:r>
      <w:r>
        <w:t xml:space="preserve">účelem zajištění </w:t>
      </w:r>
      <w:r w:rsidRPr="00920265">
        <w:rPr>
          <w:lang w:eastAsia="en-US" w:bidi="en-US"/>
        </w:rPr>
        <w:t xml:space="preserve">ochrany </w:t>
      </w:r>
      <w:r>
        <w:t xml:space="preserve">prostředků komunikační sítě </w:t>
      </w:r>
      <w:r w:rsidRPr="00920265">
        <w:rPr>
          <w:lang w:eastAsia="en-US" w:bidi="en-US"/>
        </w:rPr>
        <w:t xml:space="preserve">nebo ochrany TMCZ, </w:t>
      </w:r>
      <w:r>
        <w:t>tře</w:t>
      </w:r>
      <w:r>
        <w:softHyphen/>
        <w:t xml:space="preserve">tích </w:t>
      </w:r>
      <w:r w:rsidRPr="00920265">
        <w:rPr>
          <w:lang w:eastAsia="en-US" w:bidi="en-US"/>
        </w:rPr>
        <w:t xml:space="preserve">stran, </w:t>
      </w:r>
      <w:r>
        <w:t xml:space="preserve">ostatních Smluvních partnerů </w:t>
      </w:r>
      <w:r w:rsidRPr="00920265">
        <w:rPr>
          <w:lang w:eastAsia="en-US" w:bidi="en-US"/>
        </w:rPr>
        <w:t xml:space="preserve">nebo </w:t>
      </w:r>
      <w:r>
        <w:t xml:space="preserve">uživatelů Služeb provádět </w:t>
      </w:r>
      <w:r w:rsidRPr="00920265">
        <w:rPr>
          <w:lang w:eastAsia="en-US" w:bidi="en-US"/>
        </w:rPr>
        <w:t xml:space="preserve">antispamovou a antivirovou kontrolu na </w:t>
      </w:r>
      <w:r>
        <w:t xml:space="preserve">poštovních, </w:t>
      </w:r>
      <w:r w:rsidRPr="00920265">
        <w:rPr>
          <w:lang w:eastAsia="en-US" w:bidi="en-US"/>
        </w:rPr>
        <w:t xml:space="preserve">SMS a MMS serverech TMCZ, a to v ICT </w:t>
      </w:r>
      <w:r>
        <w:t>ob</w:t>
      </w:r>
      <w:r>
        <w:softHyphen/>
        <w:t>lasti</w:t>
      </w:r>
      <w:r w:rsidRPr="00920265">
        <w:rPr>
          <w:lang w:eastAsia="en-US" w:bidi="en-US"/>
        </w:rPr>
        <w:t xml:space="preserve"> </w:t>
      </w:r>
      <w:r>
        <w:t>obvyklým způsobem při dodržení veške</w:t>
      </w:r>
      <w:r>
        <w:t>rých obecně závazných právních předpisů, zejména při dodržení důvěr</w:t>
      </w:r>
      <w:r>
        <w:softHyphen/>
        <w:t>nosti</w:t>
      </w:r>
      <w:r w:rsidRPr="00920265">
        <w:rPr>
          <w:lang w:eastAsia="en-US" w:bidi="en-US"/>
        </w:rPr>
        <w:t xml:space="preserve"> </w:t>
      </w:r>
      <w:r>
        <w:t xml:space="preserve">komunikací. </w:t>
      </w:r>
      <w:r w:rsidRPr="00920265">
        <w:rPr>
          <w:lang w:eastAsia="en-US" w:bidi="en-US"/>
        </w:rPr>
        <w:t xml:space="preserve">Pokud TMCZ </w:t>
      </w:r>
      <w:r>
        <w:t>vyhodnotí konkrétní elek</w:t>
      </w:r>
      <w:r>
        <w:softHyphen/>
        <w:t>tronickou</w:t>
      </w:r>
      <w:r w:rsidRPr="00920265">
        <w:rPr>
          <w:lang w:eastAsia="en-US" w:bidi="en-US"/>
        </w:rPr>
        <w:t xml:space="preserve"> </w:t>
      </w:r>
      <w:r>
        <w:t xml:space="preserve">zprávu </w:t>
      </w:r>
      <w:r w:rsidRPr="00920265">
        <w:rPr>
          <w:lang w:eastAsia="en-US" w:bidi="en-US"/>
        </w:rPr>
        <w:t xml:space="preserve">nebo skupinu </w:t>
      </w:r>
      <w:r>
        <w:t xml:space="preserve">elektronických zpráv </w:t>
      </w:r>
      <w:r w:rsidRPr="00920265">
        <w:rPr>
          <w:lang w:eastAsia="en-US" w:bidi="en-US"/>
        </w:rPr>
        <w:t xml:space="preserve">jako spam nebo </w:t>
      </w:r>
      <w:r>
        <w:t xml:space="preserve">obsahující </w:t>
      </w:r>
      <w:r w:rsidRPr="00920265">
        <w:rPr>
          <w:lang w:eastAsia="en-US" w:bidi="en-US"/>
        </w:rPr>
        <w:t xml:space="preserve">vir, tak je TMCZ </w:t>
      </w:r>
      <w:r>
        <w:t xml:space="preserve">oprávněn </w:t>
      </w:r>
      <w:r w:rsidRPr="00920265">
        <w:rPr>
          <w:lang w:eastAsia="en-US" w:bidi="en-US"/>
        </w:rPr>
        <w:t xml:space="preserve">takovou elektronickou </w:t>
      </w:r>
      <w:r>
        <w:t>zprávu ne</w:t>
      </w:r>
      <w:r>
        <w:t xml:space="preserve">přijmout </w:t>
      </w:r>
      <w:r w:rsidRPr="00920265">
        <w:rPr>
          <w:lang w:eastAsia="en-US" w:bidi="en-US"/>
        </w:rPr>
        <w:t xml:space="preserve">k </w:t>
      </w:r>
      <w:r>
        <w:t xml:space="preserve">dalšímu zpracování, </w:t>
      </w:r>
      <w:r w:rsidRPr="00920265">
        <w:rPr>
          <w:lang w:eastAsia="en-US" w:bidi="en-US"/>
        </w:rPr>
        <w:t xml:space="preserve">resp. neodeslat </w:t>
      </w:r>
      <w:r>
        <w:t xml:space="preserve">dále </w:t>
      </w:r>
      <w:r w:rsidRPr="00920265">
        <w:rPr>
          <w:lang w:eastAsia="en-US" w:bidi="en-US"/>
        </w:rPr>
        <w:t xml:space="preserve">nebo </w:t>
      </w:r>
      <w:r>
        <w:t>nedoručit určenému příjemci.</w:t>
      </w:r>
    </w:p>
    <w:p w:rsidR="00215B20" w:rsidRDefault="00FD0AA3">
      <w:pPr>
        <w:pStyle w:val="Zkladntext1"/>
        <w:numPr>
          <w:ilvl w:val="1"/>
          <w:numId w:val="15"/>
        </w:numPr>
        <w:shd w:val="clear" w:color="auto" w:fill="auto"/>
        <w:tabs>
          <w:tab w:val="left" w:pos="572"/>
        </w:tabs>
        <w:spacing w:after="200" w:line="334" w:lineRule="auto"/>
        <w:ind w:left="580" w:hanging="580"/>
        <w:jc w:val="both"/>
      </w:pPr>
      <w:r w:rsidRPr="00920265">
        <w:rPr>
          <w:lang w:eastAsia="en-US" w:bidi="en-US"/>
        </w:rPr>
        <w:t xml:space="preserve">TMCZ je </w:t>
      </w:r>
      <w:r>
        <w:t xml:space="preserve">oprávněn ukončit poskytování Služby písemnou výpovědí relevantních Smluvních dokumentů, </w:t>
      </w:r>
      <w:r w:rsidRPr="00920265">
        <w:rPr>
          <w:lang w:eastAsia="en-US" w:bidi="en-US"/>
        </w:rPr>
        <w:t xml:space="preserve">a to i jen </w:t>
      </w:r>
      <w:r>
        <w:t xml:space="preserve">částečně, </w:t>
      </w:r>
      <w:r w:rsidRPr="00920265">
        <w:rPr>
          <w:lang w:eastAsia="en-US" w:bidi="en-US"/>
        </w:rPr>
        <w:t xml:space="preserve">z </w:t>
      </w:r>
      <w:r>
        <w:t>důvodů zavedení nových služeb, změny pod</w:t>
      </w:r>
      <w:r>
        <w:softHyphen/>
        <w:t xml:space="preserve">mínek </w:t>
      </w:r>
      <w:r w:rsidRPr="00920265">
        <w:rPr>
          <w:lang w:eastAsia="en-US" w:bidi="en-US"/>
        </w:rPr>
        <w:t>na t</w:t>
      </w:r>
      <w:r w:rsidRPr="00920265">
        <w:rPr>
          <w:lang w:eastAsia="en-US" w:bidi="en-US"/>
        </w:rPr>
        <w:t xml:space="preserve">rhu ICT, </w:t>
      </w:r>
      <w:r>
        <w:t>zkvalitnění sítě, vývoje nových techno</w:t>
      </w:r>
      <w:r>
        <w:softHyphen/>
        <w:t xml:space="preserve">logií </w:t>
      </w:r>
      <w:r w:rsidRPr="00920265">
        <w:rPr>
          <w:lang w:eastAsia="en-US" w:bidi="en-US"/>
        </w:rPr>
        <w:t xml:space="preserve">apod. </w:t>
      </w:r>
      <w:r>
        <w:t xml:space="preserve">Služby, jejichž poskytování má být ukončeno, </w:t>
      </w:r>
      <w:r w:rsidRPr="00920265">
        <w:rPr>
          <w:lang w:eastAsia="en-US" w:bidi="en-US"/>
        </w:rPr>
        <w:t xml:space="preserve">se TMCZ zavazuje nahradit </w:t>
      </w:r>
      <w:r>
        <w:t xml:space="preserve">jinými obdobnými službami, </w:t>
      </w:r>
      <w:r w:rsidRPr="00920265">
        <w:rPr>
          <w:lang w:eastAsia="en-US" w:bidi="en-US"/>
        </w:rPr>
        <w:t xml:space="preserve">je-li to technicky a ekonomicky </w:t>
      </w:r>
      <w:r>
        <w:t xml:space="preserve">přiměřené. </w:t>
      </w:r>
      <w:r>
        <w:lastRenderedPageBreak/>
        <w:t xml:space="preserve">Výpovědní lhůta </w:t>
      </w:r>
      <w:r w:rsidRPr="00920265">
        <w:rPr>
          <w:lang w:eastAsia="en-US" w:bidi="en-US"/>
        </w:rPr>
        <w:t xml:space="preserve">v </w:t>
      </w:r>
      <w:r>
        <w:t xml:space="preserve">takovém případě činí </w:t>
      </w:r>
      <w:r w:rsidRPr="00920265">
        <w:rPr>
          <w:lang w:eastAsia="en-US" w:bidi="en-US"/>
        </w:rPr>
        <w:t xml:space="preserve">3 </w:t>
      </w:r>
      <w:r>
        <w:t xml:space="preserve">měsíce </w:t>
      </w:r>
      <w:r w:rsidRPr="00920265">
        <w:rPr>
          <w:lang w:eastAsia="en-US" w:bidi="en-US"/>
        </w:rPr>
        <w:t xml:space="preserve">a </w:t>
      </w:r>
      <w:r>
        <w:t>počín</w:t>
      </w:r>
      <w:r>
        <w:t>á běžet po</w:t>
      </w:r>
      <w:r>
        <w:softHyphen/>
        <w:t xml:space="preserve">sledním </w:t>
      </w:r>
      <w:r w:rsidRPr="00920265">
        <w:rPr>
          <w:lang w:eastAsia="en-US" w:bidi="en-US"/>
        </w:rPr>
        <w:t xml:space="preserve">dnem </w:t>
      </w:r>
      <w:r>
        <w:t xml:space="preserve">kalendářního měsíce, </w:t>
      </w:r>
      <w:r w:rsidRPr="00920265">
        <w:rPr>
          <w:lang w:eastAsia="en-US" w:bidi="en-US"/>
        </w:rPr>
        <w:t xml:space="preserve">ve </w:t>
      </w:r>
      <w:r>
        <w:t xml:space="preserve">kterém </w:t>
      </w:r>
      <w:r w:rsidRPr="00920265">
        <w:rPr>
          <w:lang w:eastAsia="en-US" w:bidi="en-US"/>
        </w:rPr>
        <w:t xml:space="preserve">byla </w:t>
      </w:r>
      <w:r>
        <w:t>výpo</w:t>
      </w:r>
      <w:r>
        <w:softHyphen/>
        <w:t xml:space="preserve">věď druhé Smluvní straně doručena, </w:t>
      </w:r>
      <w:r w:rsidRPr="00920265">
        <w:rPr>
          <w:lang w:eastAsia="en-US" w:bidi="en-US"/>
        </w:rPr>
        <w:t xml:space="preserve">a uplyne </w:t>
      </w:r>
      <w:r>
        <w:t xml:space="preserve">posledním </w:t>
      </w:r>
      <w:r w:rsidRPr="00920265">
        <w:rPr>
          <w:lang w:eastAsia="en-US" w:bidi="en-US"/>
        </w:rPr>
        <w:t xml:space="preserve">dnem </w:t>
      </w:r>
      <w:r>
        <w:t>posledního měsíce výpovědní lhůty.</w:t>
      </w:r>
    </w:p>
    <w:p w:rsidR="00215B20" w:rsidRDefault="00FD0AA3">
      <w:pPr>
        <w:pStyle w:val="Nadpis60"/>
        <w:keepNext/>
        <w:keepLines/>
        <w:numPr>
          <w:ilvl w:val="0"/>
          <w:numId w:val="15"/>
        </w:numPr>
        <w:shd w:val="clear" w:color="auto" w:fill="auto"/>
        <w:tabs>
          <w:tab w:val="left" w:pos="572"/>
        </w:tabs>
        <w:spacing w:after="0" w:line="334" w:lineRule="auto"/>
      </w:pPr>
      <w:bookmarkStart w:id="237" w:name="bookmark236"/>
      <w:bookmarkStart w:id="238" w:name="bookmark237"/>
      <w:r>
        <w:rPr>
          <w:color w:val="EC018B"/>
        </w:rPr>
        <w:t>Platební podmínky</w:t>
      </w:r>
      <w:bookmarkEnd w:id="237"/>
      <w:bookmarkEnd w:id="238"/>
    </w:p>
    <w:p w:rsidR="00215B20" w:rsidRDefault="00FD0AA3">
      <w:pPr>
        <w:pStyle w:val="Zkladntext1"/>
        <w:numPr>
          <w:ilvl w:val="1"/>
          <w:numId w:val="15"/>
        </w:numPr>
        <w:shd w:val="clear" w:color="auto" w:fill="auto"/>
        <w:tabs>
          <w:tab w:val="left" w:pos="572"/>
        </w:tabs>
        <w:spacing w:after="200" w:line="334" w:lineRule="auto"/>
        <w:ind w:left="580" w:hanging="580"/>
        <w:jc w:val="both"/>
      </w:pPr>
      <w:r>
        <w:t>Smluvní partner se zavazuje za poskytování Služeb a za jiné úkony v souvislosti</w:t>
      </w:r>
      <w:r>
        <w:t xml:space="preserve"> se Službami hradit ceny dohodnuté ve Smlouvě, Dohodě o cenových podmínkách, Specifikaci služeb, příp. Ceníku. Cena může být určena jak nominál</w:t>
      </w:r>
      <w:r>
        <w:softHyphen/>
        <w:t>ní hodnotou, tak slevou z ceníkové ceny. Smluvní partner je povinen se před podpisem Smlouvy nebo Specifikace sl</w:t>
      </w:r>
      <w:r>
        <w:t>užeb či Dohody o cenových podmínkách prokazatelně seznámit s veškerými relevantními Ceníky, které se týkají Služby. Cena za Služby je účtována ode dne zřízení nebo provedení změny Služby.</w:t>
      </w:r>
    </w:p>
    <w:p w:rsidR="00215B20" w:rsidRDefault="00FD0AA3">
      <w:pPr>
        <w:pStyle w:val="Zkladntext1"/>
        <w:numPr>
          <w:ilvl w:val="1"/>
          <w:numId w:val="15"/>
        </w:numPr>
        <w:shd w:val="clear" w:color="auto" w:fill="auto"/>
        <w:tabs>
          <w:tab w:val="left" w:pos="572"/>
        </w:tabs>
        <w:spacing w:after="200" w:line="334" w:lineRule="auto"/>
        <w:ind w:left="580" w:hanging="580"/>
        <w:jc w:val="both"/>
      </w:pPr>
      <w:r>
        <w:t xml:space="preserve">Splatnost cen za Služby činí 18 (osmnáct) dní od vystavení daňového </w:t>
      </w:r>
      <w:r>
        <w:t>dokladu - vyúčtování. Pro Smlouvy uzavřené kdykoliv od 15. 10. 2017 dále činí splatnost cen za Služby 14 (čtrnáct) dní od vystavení daňového dokladu - vyúčto</w:t>
      </w:r>
      <w:r>
        <w:softHyphen/>
        <w:t>vání. V případě prodlení s úhradou ceny má TMCZ právo na úrok z prodlení ve výši 0,05 % z dlužné č</w:t>
      </w:r>
      <w:r>
        <w:t>ástky za kaž</w:t>
      </w:r>
      <w:r>
        <w:softHyphen/>
        <w:t>dý započatý den prodlení. Tím není dotčeno právo TMCZ</w:t>
      </w:r>
    </w:p>
    <w:p w:rsidR="00215B20" w:rsidRDefault="00FD0AA3">
      <w:pPr>
        <w:pStyle w:val="Zkladntext1"/>
        <w:shd w:val="clear" w:color="auto" w:fill="auto"/>
        <w:spacing w:after="200" w:line="334" w:lineRule="auto"/>
        <w:ind w:firstLine="580"/>
        <w:jc w:val="both"/>
      </w:pPr>
      <w:r>
        <w:t>domáhat se nároku na náhradu újmy.</w:t>
      </w:r>
    </w:p>
    <w:p w:rsidR="00215B20" w:rsidRDefault="00FD0AA3">
      <w:pPr>
        <w:pStyle w:val="Zkladntext1"/>
        <w:numPr>
          <w:ilvl w:val="1"/>
          <w:numId w:val="15"/>
        </w:numPr>
        <w:shd w:val="clear" w:color="auto" w:fill="auto"/>
        <w:tabs>
          <w:tab w:val="left" w:pos="574"/>
        </w:tabs>
        <w:spacing w:after="200" w:line="334" w:lineRule="auto"/>
        <w:ind w:left="580" w:hanging="580"/>
        <w:jc w:val="both"/>
      </w:pPr>
      <w:r>
        <w:t>Cena za Služby se považuje za uhrazenou okamžikem její</w:t>
      </w:r>
      <w:r>
        <w:softHyphen/>
        <w:t>ho připsání pod správným variabilním symbolem na účet TMCZ uvedený v příslušném vyúčtování.</w:t>
      </w:r>
    </w:p>
    <w:p w:rsidR="00215B20" w:rsidRDefault="00FD0AA3">
      <w:pPr>
        <w:pStyle w:val="Zkladntext1"/>
        <w:numPr>
          <w:ilvl w:val="1"/>
          <w:numId w:val="15"/>
        </w:numPr>
        <w:shd w:val="clear" w:color="auto" w:fill="auto"/>
        <w:tabs>
          <w:tab w:val="left" w:pos="574"/>
        </w:tabs>
        <w:spacing w:after="0" w:line="334" w:lineRule="auto"/>
        <w:jc w:val="both"/>
      </w:pPr>
      <w:r>
        <w:t xml:space="preserve">TMCZ </w:t>
      </w:r>
      <w:r>
        <w:t>běžně provádí vyúčtování cen tímto způsobem:</w:t>
      </w:r>
    </w:p>
    <w:p w:rsidR="00215B20" w:rsidRDefault="00FD0AA3">
      <w:pPr>
        <w:pStyle w:val="Zkladntext1"/>
        <w:numPr>
          <w:ilvl w:val="0"/>
          <w:numId w:val="38"/>
        </w:numPr>
        <w:shd w:val="clear" w:color="auto" w:fill="auto"/>
        <w:tabs>
          <w:tab w:val="left" w:pos="881"/>
        </w:tabs>
        <w:spacing w:after="0" w:line="334" w:lineRule="auto"/>
        <w:ind w:left="860" w:hanging="260"/>
        <w:jc w:val="both"/>
      </w:pPr>
      <w:r>
        <w:t>jednorázové ceny jsou účtovány po převzetí příslušné</w:t>
      </w:r>
      <w:r>
        <w:softHyphen/>
        <w:t>ho plnění Smluvním partnerem v prvním následném vyúčtování;</w:t>
      </w:r>
    </w:p>
    <w:p w:rsidR="00215B20" w:rsidRDefault="00FD0AA3">
      <w:pPr>
        <w:pStyle w:val="Zkladntext1"/>
        <w:numPr>
          <w:ilvl w:val="0"/>
          <w:numId w:val="38"/>
        </w:numPr>
        <w:shd w:val="clear" w:color="auto" w:fill="auto"/>
        <w:tabs>
          <w:tab w:val="left" w:pos="881"/>
        </w:tabs>
        <w:spacing w:after="0" w:line="334" w:lineRule="auto"/>
        <w:ind w:left="860" w:hanging="260"/>
        <w:jc w:val="both"/>
      </w:pPr>
      <w:r>
        <w:t>pravidelné ceny za úplné zúčtovací období jsou účto</w:t>
      </w:r>
      <w:r>
        <w:softHyphen/>
        <w:t xml:space="preserve">vány zpětně k poslednímu dni zúčtovacího </w:t>
      </w:r>
      <w:r>
        <w:t>období;</w:t>
      </w:r>
    </w:p>
    <w:p w:rsidR="00215B20" w:rsidRDefault="00FD0AA3">
      <w:pPr>
        <w:pStyle w:val="Zkladntext1"/>
        <w:numPr>
          <w:ilvl w:val="0"/>
          <w:numId w:val="38"/>
        </w:numPr>
        <w:shd w:val="clear" w:color="auto" w:fill="auto"/>
        <w:tabs>
          <w:tab w:val="left" w:pos="881"/>
        </w:tabs>
        <w:spacing w:after="0" w:line="334" w:lineRule="auto"/>
        <w:ind w:left="860" w:hanging="260"/>
        <w:jc w:val="both"/>
      </w:pPr>
      <w:r>
        <w:t>ceny za provoz a Minimální ceny za provoz jsou účto</w:t>
      </w:r>
      <w:r>
        <w:softHyphen/>
        <w:t>vány zpětně k poslednímu dni zúčtovacího období;</w:t>
      </w:r>
    </w:p>
    <w:p w:rsidR="00215B20" w:rsidRDefault="00FD0AA3">
      <w:pPr>
        <w:pStyle w:val="Zkladntext1"/>
        <w:numPr>
          <w:ilvl w:val="0"/>
          <w:numId w:val="38"/>
        </w:numPr>
        <w:shd w:val="clear" w:color="auto" w:fill="auto"/>
        <w:tabs>
          <w:tab w:val="left" w:pos="889"/>
        </w:tabs>
        <w:spacing w:after="200" w:line="334" w:lineRule="auto"/>
        <w:ind w:left="860" w:hanging="260"/>
        <w:jc w:val="both"/>
      </w:pPr>
      <w:r>
        <w:t>pravidelné ceny nebo Minimální ceny za provoz za ne</w:t>
      </w:r>
      <w:r>
        <w:softHyphen/>
        <w:t>úplné zúčtovací období jsou vypočteny jako: cena za jeden den zúčtovacího období násobená délko</w:t>
      </w:r>
      <w:r>
        <w:t>u neú</w:t>
      </w:r>
      <w:r>
        <w:softHyphen/>
        <w:t>plného zúčtovacího období v celých dnech, ve kterých byla služba Smluvnímu partnerovi poskytnuta. Cena za jeden den zúčtovacího období je část příslušné výše dohodnuté pravidelné ceny, popř. Minimální ceny za provoz, která se vypočte jako výše pravid</w:t>
      </w:r>
      <w:r>
        <w:t>elné ceny resp. Minimální ceny za provoz / skutečný počet dní v daném zúčtovacím období.</w:t>
      </w:r>
    </w:p>
    <w:p w:rsidR="00215B20" w:rsidRDefault="00FD0AA3">
      <w:pPr>
        <w:pStyle w:val="Zkladntext1"/>
        <w:numPr>
          <w:ilvl w:val="1"/>
          <w:numId w:val="15"/>
        </w:numPr>
        <w:shd w:val="clear" w:color="auto" w:fill="auto"/>
        <w:tabs>
          <w:tab w:val="left" w:pos="574"/>
        </w:tabs>
        <w:spacing w:after="200" w:line="334" w:lineRule="auto"/>
        <w:ind w:left="580" w:hanging="580"/>
        <w:jc w:val="both"/>
      </w:pPr>
      <w:r>
        <w:t>Smluvní partner je oprávněn reklamovat nesprávně vy</w:t>
      </w:r>
      <w:r>
        <w:softHyphen/>
        <w:t>účtovanou cenu za poskytnutou Službu, a to do 2 měsí</w:t>
      </w:r>
      <w:r>
        <w:softHyphen/>
        <w:t>ců od doručení vyúčtování, jinak právo zanikne. Podání reklama</w:t>
      </w:r>
      <w:r>
        <w:t>ce nemá odkladný účinek na povinnost zaplatit za poskytnuté Služby ve lhůtě splatnosti uvedené na vy</w:t>
      </w:r>
      <w:r>
        <w:softHyphen/>
        <w:t>účtování. Reklamace se podává písemně prostřednictvím příslušných Kontaktních osob. Reklamace musí obsahovat jméno a příjmení nebo obchodní firmu, adresu t</w:t>
      </w:r>
      <w:r>
        <w:t>rvalého pobytu, resp. sídla nebo místa podnikání Smluvního part</w:t>
      </w:r>
      <w:r>
        <w:softHyphen/>
        <w:t>nera, označení Služby a Specifikace služby, označení spor</w:t>
      </w:r>
      <w:r>
        <w:softHyphen/>
        <w:t xml:space="preserve">ného období a konkrétních položek vyúčtování, </w:t>
      </w:r>
      <w:r>
        <w:lastRenderedPageBreak/>
        <w:t>kterých se podání týká.</w:t>
      </w:r>
    </w:p>
    <w:p w:rsidR="00215B20" w:rsidRDefault="00FD0AA3">
      <w:pPr>
        <w:pStyle w:val="Zkladntext1"/>
        <w:numPr>
          <w:ilvl w:val="1"/>
          <w:numId w:val="15"/>
        </w:numPr>
        <w:shd w:val="clear" w:color="auto" w:fill="auto"/>
        <w:tabs>
          <w:tab w:val="left" w:pos="574"/>
        </w:tabs>
        <w:spacing w:after="200" w:line="334" w:lineRule="auto"/>
        <w:ind w:left="580" w:hanging="580"/>
        <w:jc w:val="both"/>
      </w:pPr>
      <w:r>
        <w:t>Smluvní partner je povinen uhradit vyúčtované částky i tehdy, je</w:t>
      </w:r>
      <w:r>
        <w:t>stliže došlo k užívání Služby jinými uživateli než Smluvním partnerem. V případě neoprávněného užívání Služby jinými uživateli je Smluvní partner povinen uhradit vyúčtované částky, které jsou účtovány až do doby, než TMCZ omezí aktivní užívání Služby na zá</w:t>
      </w:r>
      <w:r>
        <w:t>kladě písemné</w:t>
      </w:r>
      <w:r>
        <w:softHyphen/>
        <w:t>ho oznámení Smluvního partnera o zneužití Služby. TMCZ omezí aktivní užívání Služby bez zbytečného odkladu, nej</w:t>
      </w:r>
      <w:r>
        <w:softHyphen/>
        <w:t>později však do dvaceti čtyř (24) hodin od doby převzetí tohoto oznámení.</w:t>
      </w:r>
    </w:p>
    <w:p w:rsidR="00215B20" w:rsidRDefault="00FD0AA3">
      <w:pPr>
        <w:pStyle w:val="Zkladntext1"/>
        <w:numPr>
          <w:ilvl w:val="1"/>
          <w:numId w:val="15"/>
        </w:numPr>
        <w:shd w:val="clear" w:color="auto" w:fill="auto"/>
        <w:tabs>
          <w:tab w:val="left" w:pos="574"/>
        </w:tabs>
        <w:spacing w:after="200" w:line="331" w:lineRule="auto"/>
        <w:ind w:left="580" w:hanging="580"/>
        <w:jc w:val="both"/>
      </w:pPr>
      <w:r>
        <w:t xml:space="preserve">Pro účely výše vyúčtování a stejně tak pro účely hodnot </w:t>
      </w:r>
      <w:r>
        <w:t>SLA jsou rozhodující parametry a údaje naměřené či zjiště</w:t>
      </w:r>
      <w:r>
        <w:softHyphen/>
        <w:t>né TMCZ.</w:t>
      </w:r>
    </w:p>
    <w:p w:rsidR="00215B20" w:rsidRDefault="00FD0AA3">
      <w:pPr>
        <w:pStyle w:val="Zkladntext1"/>
        <w:numPr>
          <w:ilvl w:val="1"/>
          <w:numId w:val="15"/>
        </w:numPr>
        <w:shd w:val="clear" w:color="auto" w:fill="auto"/>
        <w:tabs>
          <w:tab w:val="left" w:pos="574"/>
        </w:tabs>
        <w:spacing w:after="220" w:line="334" w:lineRule="auto"/>
        <w:ind w:left="580" w:hanging="580"/>
        <w:jc w:val="both"/>
      </w:pPr>
      <w:r>
        <w:t>TMCZ je oprávněn, pokud není ve Smlouvě výslovně sjednáno jinak (pokud je ve Smlouvě výslovně vylouče</w:t>
      </w:r>
      <w:r>
        <w:softHyphen/>
        <w:t xml:space="preserve">na jednostranná změna ceny Služby, zejména v případě </w:t>
      </w:r>
      <w:r w:rsidRPr="00920265">
        <w:rPr>
          <w:lang w:eastAsia="en-US" w:bidi="en-US"/>
        </w:rPr>
        <w:t xml:space="preserve">Smlouvy </w:t>
      </w:r>
      <w:r>
        <w:t xml:space="preserve">sjednané </w:t>
      </w:r>
      <w:r w:rsidRPr="00920265">
        <w:rPr>
          <w:lang w:eastAsia="en-US" w:bidi="en-US"/>
        </w:rPr>
        <w:t xml:space="preserve">pro </w:t>
      </w:r>
      <w:r>
        <w:t>plnění veřejn</w:t>
      </w:r>
      <w:r>
        <w:t xml:space="preserve">é zakázky), </w:t>
      </w:r>
      <w:r w:rsidRPr="00920265">
        <w:rPr>
          <w:lang w:eastAsia="en-US" w:bidi="en-US"/>
        </w:rPr>
        <w:t xml:space="preserve">z </w:t>
      </w:r>
      <w:r>
        <w:t xml:space="preserve">důvodu </w:t>
      </w:r>
      <w:r w:rsidRPr="00920265">
        <w:rPr>
          <w:lang w:eastAsia="en-US" w:bidi="en-US"/>
        </w:rPr>
        <w:t xml:space="preserve">inflace </w:t>
      </w:r>
      <w:r>
        <w:t xml:space="preserve">každoročně navýšit </w:t>
      </w:r>
      <w:r w:rsidRPr="00920265">
        <w:rPr>
          <w:lang w:eastAsia="en-US" w:bidi="en-US"/>
        </w:rPr>
        <w:t xml:space="preserve">cenu </w:t>
      </w:r>
      <w:r>
        <w:t xml:space="preserve">Služeb poskytovaných </w:t>
      </w:r>
      <w:r w:rsidRPr="00920265">
        <w:rPr>
          <w:lang w:eastAsia="en-US" w:bidi="en-US"/>
        </w:rPr>
        <w:t xml:space="preserve">dle Smlouvy. </w:t>
      </w:r>
      <w:r>
        <w:t xml:space="preserve">Navýšení </w:t>
      </w:r>
      <w:r w:rsidRPr="00920265">
        <w:rPr>
          <w:lang w:eastAsia="en-US" w:bidi="en-US"/>
        </w:rPr>
        <w:t xml:space="preserve">cen o inflaci se bude </w:t>
      </w:r>
      <w:r>
        <w:t xml:space="preserve">vždy týkat výhradně </w:t>
      </w:r>
      <w:r w:rsidRPr="00920265">
        <w:rPr>
          <w:lang w:eastAsia="en-US" w:bidi="en-US"/>
        </w:rPr>
        <w:t xml:space="preserve">cen </w:t>
      </w:r>
      <w:r>
        <w:t>Služeb/položek individuálně sjednaných ze</w:t>
      </w:r>
      <w:r>
        <w:softHyphen/>
        <w:t xml:space="preserve">jména </w:t>
      </w:r>
      <w:r w:rsidRPr="00920265">
        <w:rPr>
          <w:lang w:eastAsia="en-US" w:bidi="en-US"/>
        </w:rPr>
        <w:t xml:space="preserve">ve </w:t>
      </w:r>
      <w:r>
        <w:t xml:space="preserve">Specifikacích služby, popř. </w:t>
      </w:r>
      <w:r w:rsidRPr="00920265">
        <w:rPr>
          <w:lang w:eastAsia="en-US" w:bidi="en-US"/>
        </w:rPr>
        <w:t xml:space="preserve">v </w:t>
      </w:r>
      <w:r>
        <w:t xml:space="preserve">Dohodě </w:t>
      </w:r>
      <w:r w:rsidRPr="00920265">
        <w:rPr>
          <w:lang w:eastAsia="en-US" w:bidi="en-US"/>
        </w:rPr>
        <w:t xml:space="preserve">o </w:t>
      </w:r>
      <w:r>
        <w:t xml:space="preserve">cenových podmínkách </w:t>
      </w:r>
      <w:r w:rsidRPr="00920265">
        <w:rPr>
          <w:lang w:eastAsia="en-US" w:bidi="en-US"/>
        </w:rPr>
        <w:t>a/ne</w:t>
      </w:r>
      <w:r w:rsidRPr="00920265">
        <w:rPr>
          <w:lang w:eastAsia="en-US" w:bidi="en-US"/>
        </w:rPr>
        <w:t xml:space="preserve">bo </w:t>
      </w:r>
      <w:r>
        <w:t xml:space="preserve">obecně sjednaných </w:t>
      </w:r>
      <w:r w:rsidRPr="00920265">
        <w:rPr>
          <w:lang w:eastAsia="en-US" w:bidi="en-US"/>
        </w:rPr>
        <w:t xml:space="preserve">v </w:t>
      </w:r>
      <w:r>
        <w:t>Cenících služ</w:t>
      </w:r>
      <w:r>
        <w:softHyphen/>
        <w:t>by,</w:t>
      </w:r>
      <w:r w:rsidRPr="00920265">
        <w:rPr>
          <w:lang w:eastAsia="en-US" w:bidi="en-US"/>
        </w:rPr>
        <w:t xml:space="preserve"> a to podle </w:t>
      </w:r>
      <w:r>
        <w:t xml:space="preserve">způsobu zasmluvnění </w:t>
      </w:r>
      <w:r w:rsidRPr="00920265">
        <w:rPr>
          <w:lang w:eastAsia="en-US" w:bidi="en-US"/>
        </w:rPr>
        <w:t xml:space="preserve">ceny pro </w:t>
      </w:r>
      <w:r>
        <w:t>každou sjed</w:t>
      </w:r>
      <w:r>
        <w:softHyphen/>
        <w:t>nanou</w:t>
      </w:r>
      <w:r w:rsidRPr="00920265">
        <w:rPr>
          <w:lang w:eastAsia="en-US" w:bidi="en-US"/>
        </w:rPr>
        <w:t xml:space="preserve"> </w:t>
      </w:r>
      <w:r>
        <w:t xml:space="preserve">Službu. Navýšení </w:t>
      </w:r>
      <w:r w:rsidRPr="00920265">
        <w:rPr>
          <w:lang w:eastAsia="en-US" w:bidi="en-US"/>
        </w:rPr>
        <w:t xml:space="preserve">cen </w:t>
      </w:r>
      <w:r>
        <w:t xml:space="preserve">jednotlivých služeb/položek </w:t>
      </w:r>
      <w:r w:rsidRPr="00920265">
        <w:rPr>
          <w:lang w:eastAsia="en-US" w:bidi="en-US"/>
        </w:rPr>
        <w:t xml:space="preserve">je TMCZ </w:t>
      </w:r>
      <w:r>
        <w:t xml:space="preserve">oprávněn provést </w:t>
      </w:r>
      <w:r w:rsidRPr="00920265">
        <w:rPr>
          <w:lang w:eastAsia="en-US" w:bidi="en-US"/>
        </w:rPr>
        <w:t xml:space="preserve">automaticky </w:t>
      </w:r>
      <w:r>
        <w:t xml:space="preserve">vždy </w:t>
      </w:r>
      <w:r w:rsidRPr="00920265">
        <w:rPr>
          <w:lang w:eastAsia="en-US" w:bidi="en-US"/>
        </w:rPr>
        <w:t xml:space="preserve">na </w:t>
      </w:r>
      <w:r>
        <w:t xml:space="preserve">podkladě </w:t>
      </w:r>
      <w:r w:rsidRPr="00920265">
        <w:rPr>
          <w:lang w:eastAsia="en-US" w:bidi="en-US"/>
        </w:rPr>
        <w:t xml:space="preserve">a ve </w:t>
      </w:r>
      <w:r>
        <w:t xml:space="preserve">výši míry </w:t>
      </w:r>
      <w:r w:rsidRPr="00920265">
        <w:rPr>
          <w:lang w:eastAsia="en-US" w:bidi="en-US"/>
        </w:rPr>
        <w:t xml:space="preserve">inflace </w:t>
      </w:r>
      <w:r>
        <w:t>vyjádřené přírůstkem průměrného</w:t>
      </w:r>
      <w:r>
        <w:t xml:space="preserve"> ročního </w:t>
      </w:r>
      <w:r w:rsidRPr="00920265">
        <w:rPr>
          <w:lang w:eastAsia="en-US" w:bidi="en-US"/>
        </w:rPr>
        <w:t xml:space="preserve">indexu </w:t>
      </w:r>
      <w:r>
        <w:t xml:space="preserve">spotřebitelských </w:t>
      </w:r>
      <w:r w:rsidRPr="00920265">
        <w:rPr>
          <w:lang w:eastAsia="en-US" w:bidi="en-US"/>
        </w:rPr>
        <w:t xml:space="preserve">cen </w:t>
      </w:r>
      <w:r>
        <w:t xml:space="preserve">(vyjadřuje procentní změnu průměrné cenové </w:t>
      </w:r>
      <w:r w:rsidRPr="00920265">
        <w:rPr>
          <w:lang w:eastAsia="en-US" w:bidi="en-US"/>
        </w:rPr>
        <w:t xml:space="preserve">hladiny za 12 </w:t>
      </w:r>
      <w:r>
        <w:t xml:space="preserve">posledních měsíců </w:t>
      </w:r>
      <w:r w:rsidRPr="00920265">
        <w:rPr>
          <w:lang w:eastAsia="en-US" w:bidi="en-US"/>
        </w:rPr>
        <w:t xml:space="preserve">proti </w:t>
      </w:r>
      <w:r>
        <w:t xml:space="preserve">průměru </w:t>
      </w:r>
      <w:r w:rsidRPr="00920265">
        <w:rPr>
          <w:lang w:eastAsia="en-US" w:bidi="en-US"/>
        </w:rPr>
        <w:t xml:space="preserve">12 </w:t>
      </w:r>
      <w:r>
        <w:t xml:space="preserve">předchozích měsíců) zveřejněné Českým statistickým úřadem (ČSÚ) vždy </w:t>
      </w:r>
      <w:r w:rsidRPr="00920265">
        <w:rPr>
          <w:lang w:eastAsia="en-US" w:bidi="en-US"/>
        </w:rPr>
        <w:t xml:space="preserve">v </w:t>
      </w:r>
      <w:r>
        <w:t xml:space="preserve">měsíci </w:t>
      </w:r>
      <w:r w:rsidRPr="00920265">
        <w:rPr>
          <w:lang w:eastAsia="en-US" w:bidi="en-US"/>
        </w:rPr>
        <w:t xml:space="preserve">lednu </w:t>
      </w:r>
      <w:r>
        <w:t xml:space="preserve">každého kalendářního </w:t>
      </w:r>
      <w:r w:rsidRPr="00920265">
        <w:rPr>
          <w:lang w:eastAsia="en-US" w:bidi="en-US"/>
        </w:rPr>
        <w:t xml:space="preserve">roku. </w:t>
      </w:r>
      <w:r>
        <w:t xml:space="preserve">Smluvní </w:t>
      </w:r>
      <w:r w:rsidRPr="00920265">
        <w:rPr>
          <w:lang w:eastAsia="en-US" w:bidi="en-US"/>
        </w:rPr>
        <w:t xml:space="preserve">strany </w:t>
      </w:r>
      <w:r>
        <w:t>s</w:t>
      </w:r>
      <w:r>
        <w:t xml:space="preserve">jednávají, že </w:t>
      </w:r>
      <w:r w:rsidRPr="00920265">
        <w:rPr>
          <w:lang w:eastAsia="en-US" w:bidi="en-US"/>
        </w:rPr>
        <w:t xml:space="preserve">k </w:t>
      </w:r>
      <w:r>
        <w:t>navýše</w:t>
      </w:r>
      <w:r>
        <w:softHyphen/>
        <w:t xml:space="preserve">ní </w:t>
      </w:r>
      <w:r w:rsidRPr="00920265">
        <w:rPr>
          <w:lang w:eastAsia="en-US" w:bidi="en-US"/>
        </w:rPr>
        <w:t xml:space="preserve">cen o inflaci dle tohoto </w:t>
      </w:r>
      <w:r>
        <w:t xml:space="preserve">ustanovení </w:t>
      </w:r>
      <w:r w:rsidRPr="00920265">
        <w:rPr>
          <w:lang w:eastAsia="en-US" w:bidi="en-US"/>
        </w:rPr>
        <w:t xml:space="preserve">dojde pouze v </w:t>
      </w:r>
      <w:r>
        <w:t>přípa</w:t>
      </w:r>
      <w:r>
        <w:softHyphen/>
        <w:t xml:space="preserve">dě, </w:t>
      </w:r>
      <w:r w:rsidRPr="00920265">
        <w:rPr>
          <w:lang w:eastAsia="en-US" w:bidi="en-US"/>
        </w:rPr>
        <w:t xml:space="preserve">kdy </w:t>
      </w:r>
      <w:r>
        <w:t xml:space="preserve">zveřejněná míra </w:t>
      </w:r>
      <w:r w:rsidRPr="00920265">
        <w:rPr>
          <w:lang w:eastAsia="en-US" w:bidi="en-US"/>
        </w:rPr>
        <w:t xml:space="preserve">inflace </w:t>
      </w:r>
      <w:r>
        <w:t xml:space="preserve">činí </w:t>
      </w:r>
      <w:r w:rsidRPr="00920265">
        <w:rPr>
          <w:lang w:eastAsia="en-US" w:bidi="en-US"/>
        </w:rPr>
        <w:t xml:space="preserve">2 % a </w:t>
      </w:r>
      <w:r>
        <w:t xml:space="preserve">více; nižší míra </w:t>
      </w:r>
      <w:r w:rsidRPr="00920265">
        <w:rPr>
          <w:lang w:eastAsia="en-US" w:bidi="en-US"/>
        </w:rPr>
        <w:t xml:space="preserve">inflace se nebude aplikovat. </w:t>
      </w:r>
      <w:r>
        <w:t xml:space="preserve">Navýšení </w:t>
      </w:r>
      <w:r w:rsidRPr="00920265">
        <w:rPr>
          <w:lang w:eastAsia="en-US" w:bidi="en-US"/>
        </w:rPr>
        <w:t xml:space="preserve">ceny </w:t>
      </w:r>
      <w:r>
        <w:t xml:space="preserve">jednotlivých Služeb/položek </w:t>
      </w:r>
      <w:r w:rsidRPr="00920265">
        <w:rPr>
          <w:lang w:eastAsia="en-US" w:bidi="en-US"/>
        </w:rPr>
        <w:t xml:space="preserve">o inflaci se aplikuje na cenu </w:t>
      </w:r>
      <w:r>
        <w:t xml:space="preserve">účtovanou </w:t>
      </w:r>
      <w:r w:rsidRPr="00920265">
        <w:rPr>
          <w:lang w:eastAsia="en-US" w:bidi="en-US"/>
        </w:rPr>
        <w:t xml:space="preserve">po </w:t>
      </w:r>
      <w:r>
        <w:t xml:space="preserve">všech příp. slevách (prioritně </w:t>
      </w:r>
      <w:r w:rsidRPr="00920265">
        <w:rPr>
          <w:lang w:eastAsia="en-US" w:bidi="en-US"/>
        </w:rPr>
        <w:t xml:space="preserve">na cenu </w:t>
      </w:r>
      <w:r>
        <w:t>individuálně sjed</w:t>
      </w:r>
      <w:r>
        <w:softHyphen/>
        <w:t>nanou),</w:t>
      </w:r>
      <w:r w:rsidRPr="00920265">
        <w:rPr>
          <w:lang w:eastAsia="en-US" w:bidi="en-US"/>
        </w:rPr>
        <w:t xml:space="preserve"> </w:t>
      </w:r>
      <w:r>
        <w:t xml:space="preserve">přičemž zaokrouhlování </w:t>
      </w:r>
      <w:r w:rsidRPr="00920265">
        <w:rPr>
          <w:lang w:eastAsia="en-US" w:bidi="en-US"/>
        </w:rPr>
        <w:t xml:space="preserve">cen po </w:t>
      </w:r>
      <w:r>
        <w:t xml:space="preserve">úpravě </w:t>
      </w:r>
      <w:r w:rsidRPr="00920265">
        <w:rPr>
          <w:lang w:eastAsia="en-US" w:bidi="en-US"/>
        </w:rPr>
        <w:t xml:space="preserve">bude </w:t>
      </w:r>
      <w:r>
        <w:t>pro</w:t>
      </w:r>
      <w:r>
        <w:softHyphen/>
        <w:t xml:space="preserve">bíhat </w:t>
      </w:r>
      <w:r w:rsidRPr="00920265">
        <w:rPr>
          <w:lang w:eastAsia="en-US" w:bidi="en-US"/>
        </w:rPr>
        <w:t xml:space="preserve">matematicky na </w:t>
      </w:r>
      <w:r>
        <w:t xml:space="preserve">dvě desetinná místa. Navýšení </w:t>
      </w:r>
      <w:r w:rsidRPr="00920265">
        <w:rPr>
          <w:lang w:eastAsia="en-US" w:bidi="en-US"/>
        </w:rPr>
        <w:t xml:space="preserve">cen z </w:t>
      </w:r>
      <w:r>
        <w:t xml:space="preserve">důvodu </w:t>
      </w:r>
      <w:r w:rsidRPr="00920265">
        <w:rPr>
          <w:lang w:eastAsia="en-US" w:bidi="en-US"/>
        </w:rPr>
        <w:t xml:space="preserve">inflace se </w:t>
      </w:r>
      <w:r>
        <w:t xml:space="preserve">poprvé </w:t>
      </w:r>
      <w:r w:rsidRPr="00920265">
        <w:rPr>
          <w:lang w:eastAsia="en-US" w:bidi="en-US"/>
        </w:rPr>
        <w:t xml:space="preserve">aplikuje na </w:t>
      </w:r>
      <w:r>
        <w:t xml:space="preserve">Vyúčtování služeb vystavená </w:t>
      </w:r>
      <w:r w:rsidRPr="00920265">
        <w:rPr>
          <w:lang w:eastAsia="en-US" w:bidi="en-US"/>
        </w:rPr>
        <w:t xml:space="preserve">za </w:t>
      </w:r>
      <w:r>
        <w:t>plnění poskytnutá Sm</w:t>
      </w:r>
      <w:r>
        <w:t xml:space="preserve">luvnímu </w:t>
      </w:r>
      <w:r w:rsidRPr="00920265">
        <w:rPr>
          <w:lang w:eastAsia="en-US" w:bidi="en-US"/>
        </w:rPr>
        <w:t xml:space="preserve">partnerovi </w:t>
      </w:r>
      <w:r>
        <w:t xml:space="preserve">vždy nejpozději </w:t>
      </w:r>
      <w:r w:rsidRPr="00920265">
        <w:rPr>
          <w:lang w:eastAsia="en-US" w:bidi="en-US"/>
        </w:rPr>
        <w:t xml:space="preserve">do 3 </w:t>
      </w:r>
      <w:r>
        <w:t xml:space="preserve">měsíců </w:t>
      </w:r>
      <w:r w:rsidRPr="00920265">
        <w:rPr>
          <w:lang w:eastAsia="en-US" w:bidi="en-US"/>
        </w:rPr>
        <w:t xml:space="preserve">ode dne </w:t>
      </w:r>
      <w:r>
        <w:t>zveřejnění míry in</w:t>
      </w:r>
      <w:r>
        <w:softHyphen/>
        <w:t>flace</w:t>
      </w:r>
      <w:r w:rsidRPr="00920265">
        <w:rPr>
          <w:lang w:eastAsia="en-US" w:bidi="en-US"/>
        </w:rPr>
        <w:t xml:space="preserve"> ze strany </w:t>
      </w:r>
      <w:r>
        <w:t xml:space="preserve">ČSÚ, přičemž před doručením konkrétního Vyúčtování služeb, </w:t>
      </w:r>
      <w:r w:rsidRPr="00920265">
        <w:rPr>
          <w:lang w:eastAsia="en-US" w:bidi="en-US"/>
        </w:rPr>
        <w:t xml:space="preserve">ve </w:t>
      </w:r>
      <w:r>
        <w:t xml:space="preserve">kterém </w:t>
      </w:r>
      <w:r w:rsidRPr="00920265">
        <w:rPr>
          <w:lang w:eastAsia="en-US" w:bidi="en-US"/>
        </w:rPr>
        <w:t xml:space="preserve">se inflace </w:t>
      </w:r>
      <w:r>
        <w:t xml:space="preserve">projeví, </w:t>
      </w:r>
      <w:r w:rsidRPr="00920265">
        <w:rPr>
          <w:lang w:eastAsia="en-US" w:bidi="en-US"/>
        </w:rPr>
        <w:t xml:space="preserve">a o </w:t>
      </w:r>
      <w:r>
        <w:t>kon</w:t>
      </w:r>
      <w:r>
        <w:softHyphen/>
        <w:t xml:space="preserve">krétním zohlednění </w:t>
      </w:r>
      <w:r w:rsidRPr="00920265">
        <w:rPr>
          <w:lang w:eastAsia="en-US" w:bidi="en-US"/>
        </w:rPr>
        <w:t xml:space="preserve">inflace do </w:t>
      </w:r>
      <w:r>
        <w:t xml:space="preserve">sjednaných </w:t>
      </w:r>
      <w:r w:rsidRPr="00920265">
        <w:rPr>
          <w:lang w:eastAsia="en-US" w:bidi="en-US"/>
        </w:rPr>
        <w:t xml:space="preserve">cen </w:t>
      </w:r>
      <w:r>
        <w:t xml:space="preserve">Služeb/po- ložek </w:t>
      </w:r>
      <w:r w:rsidRPr="00920265">
        <w:rPr>
          <w:lang w:eastAsia="en-US" w:bidi="en-US"/>
        </w:rPr>
        <w:t>bude TM</w:t>
      </w:r>
      <w:r w:rsidRPr="00920265">
        <w:rPr>
          <w:lang w:eastAsia="en-US" w:bidi="en-US"/>
        </w:rPr>
        <w:t xml:space="preserve">CZ </w:t>
      </w:r>
      <w:r>
        <w:t xml:space="preserve">Smluvního </w:t>
      </w:r>
      <w:r w:rsidRPr="00920265">
        <w:rPr>
          <w:lang w:eastAsia="en-US" w:bidi="en-US"/>
        </w:rPr>
        <w:t xml:space="preserve">partnera informovat </w:t>
      </w:r>
      <w:r>
        <w:t>(zpra</w:t>
      </w:r>
      <w:r>
        <w:softHyphen/>
        <w:t>vidla</w:t>
      </w:r>
      <w:r w:rsidRPr="00920265">
        <w:rPr>
          <w:lang w:eastAsia="en-US" w:bidi="en-US"/>
        </w:rPr>
        <w:t xml:space="preserve"> do </w:t>
      </w:r>
      <w:r>
        <w:t xml:space="preserve">datové schránky </w:t>
      </w:r>
      <w:r w:rsidRPr="00920265">
        <w:rPr>
          <w:lang w:eastAsia="en-US" w:bidi="en-US"/>
        </w:rPr>
        <w:t xml:space="preserve">nebo jinak elektronicky). Cena </w:t>
      </w:r>
      <w:r>
        <w:t xml:space="preserve">Služby/položky navýšená </w:t>
      </w:r>
      <w:r w:rsidRPr="00920265">
        <w:rPr>
          <w:lang w:eastAsia="en-US" w:bidi="en-US"/>
        </w:rPr>
        <w:t xml:space="preserve">o inflaci se </w:t>
      </w:r>
      <w:r>
        <w:t xml:space="preserve">vždy stává základem </w:t>
      </w:r>
      <w:r w:rsidRPr="00920265">
        <w:rPr>
          <w:lang w:eastAsia="en-US" w:bidi="en-US"/>
        </w:rPr>
        <w:t xml:space="preserve">pro </w:t>
      </w:r>
      <w:r>
        <w:t xml:space="preserve">zohlednění </w:t>
      </w:r>
      <w:r w:rsidRPr="00920265">
        <w:rPr>
          <w:lang w:eastAsia="en-US" w:bidi="en-US"/>
        </w:rPr>
        <w:t xml:space="preserve">inflace </w:t>
      </w:r>
      <w:r>
        <w:t xml:space="preserve">zveřejněné </w:t>
      </w:r>
      <w:r w:rsidRPr="00920265">
        <w:rPr>
          <w:lang w:eastAsia="en-US" w:bidi="en-US"/>
        </w:rPr>
        <w:t xml:space="preserve">v </w:t>
      </w:r>
      <w:r>
        <w:t xml:space="preserve">následujících </w:t>
      </w:r>
      <w:r w:rsidRPr="00920265">
        <w:rPr>
          <w:lang w:eastAsia="en-US" w:bidi="en-US"/>
        </w:rPr>
        <w:t>letech.</w:t>
      </w:r>
    </w:p>
    <w:p w:rsidR="00215B20" w:rsidRDefault="00FD0AA3">
      <w:pPr>
        <w:pStyle w:val="Zkladntext1"/>
        <w:numPr>
          <w:ilvl w:val="1"/>
          <w:numId w:val="15"/>
        </w:numPr>
        <w:shd w:val="clear" w:color="auto" w:fill="auto"/>
        <w:tabs>
          <w:tab w:val="left" w:pos="525"/>
        </w:tabs>
        <w:spacing w:after="220" w:line="334" w:lineRule="auto"/>
        <w:ind w:left="580" w:hanging="580"/>
        <w:jc w:val="both"/>
      </w:pPr>
      <w:r>
        <w:t xml:space="preserve">Počínaje </w:t>
      </w:r>
      <w:r w:rsidRPr="00920265">
        <w:rPr>
          <w:lang w:eastAsia="en-US" w:bidi="en-US"/>
        </w:rPr>
        <w:t xml:space="preserve">dnem 1. 1. 2023 bude u </w:t>
      </w:r>
      <w:r>
        <w:t xml:space="preserve">služby Datová </w:t>
      </w:r>
      <w:r w:rsidRPr="00920265">
        <w:rPr>
          <w:lang w:eastAsia="en-US" w:bidi="en-US"/>
        </w:rPr>
        <w:t xml:space="preserve">centra a </w:t>
      </w:r>
      <w:r>
        <w:t xml:space="preserve">Datová </w:t>
      </w:r>
      <w:r w:rsidRPr="00920265">
        <w:rPr>
          <w:lang w:eastAsia="en-US" w:bidi="en-US"/>
        </w:rPr>
        <w:t xml:space="preserve">centra DC7 </w:t>
      </w:r>
      <w:r>
        <w:t xml:space="preserve">spotřeba elektrické </w:t>
      </w:r>
      <w:r w:rsidRPr="00920265">
        <w:rPr>
          <w:lang w:eastAsia="en-US" w:bidi="en-US"/>
        </w:rPr>
        <w:t xml:space="preserve">energie </w:t>
      </w:r>
      <w:r>
        <w:t xml:space="preserve">účtována výhradně </w:t>
      </w:r>
      <w:r w:rsidRPr="00920265">
        <w:rPr>
          <w:lang w:eastAsia="en-US" w:bidi="en-US"/>
        </w:rPr>
        <w:t xml:space="preserve">po 1 kWh, a to i v </w:t>
      </w:r>
      <w:r>
        <w:t xml:space="preserve">případě, </w:t>
      </w:r>
      <w:r w:rsidRPr="00920265">
        <w:rPr>
          <w:lang w:eastAsia="en-US" w:bidi="en-US"/>
        </w:rPr>
        <w:t xml:space="preserve">kdy je ve Specifikaci </w:t>
      </w:r>
      <w:r>
        <w:t>služ</w:t>
      </w:r>
      <w:r>
        <w:softHyphen/>
        <w:t>by</w:t>
      </w:r>
      <w:r w:rsidRPr="00920265">
        <w:rPr>
          <w:lang w:eastAsia="en-US" w:bidi="en-US"/>
        </w:rPr>
        <w:t xml:space="preserve"> </w:t>
      </w:r>
      <w:r>
        <w:t xml:space="preserve">výslovně sjednáno </w:t>
      </w:r>
      <w:r w:rsidRPr="00920265">
        <w:rPr>
          <w:lang w:eastAsia="en-US" w:bidi="en-US"/>
        </w:rPr>
        <w:t xml:space="preserve">jinak. </w:t>
      </w:r>
      <w:r>
        <w:t xml:space="preserve">Stávající služba Bezvýpadkové napájení účtovaná </w:t>
      </w:r>
      <w:r>
        <w:rPr>
          <w:lang w:val="en-US" w:eastAsia="en-US" w:bidi="en-US"/>
        </w:rPr>
        <w:t xml:space="preserve">ve 100W </w:t>
      </w:r>
      <w:r>
        <w:t xml:space="preserve">blocích </w:t>
      </w:r>
      <w:r>
        <w:rPr>
          <w:lang w:val="en-US" w:eastAsia="en-US" w:bidi="en-US"/>
        </w:rPr>
        <w:t xml:space="preserve">(doposud </w:t>
      </w:r>
      <w:r>
        <w:t xml:space="preserve">účtovaná </w:t>
      </w:r>
      <w:r>
        <w:rPr>
          <w:lang w:val="en-US" w:eastAsia="en-US" w:bidi="en-US"/>
        </w:rPr>
        <w:t xml:space="preserve">v </w:t>
      </w:r>
      <w:r>
        <w:t xml:space="preserve">rámci fakturačních položek </w:t>
      </w:r>
      <w:r>
        <w:rPr>
          <w:lang w:val="en-US" w:eastAsia="en-US" w:bidi="en-US"/>
        </w:rPr>
        <w:t xml:space="preserve">Poplatek za </w:t>
      </w:r>
      <w:r>
        <w:t xml:space="preserve">nadlimitní </w:t>
      </w:r>
      <w:r>
        <w:rPr>
          <w:lang w:val="en-US" w:eastAsia="en-US" w:bidi="en-US"/>
        </w:rPr>
        <w:t xml:space="preserve">el. </w:t>
      </w:r>
      <w:r>
        <w:t>pří</w:t>
      </w:r>
      <w:r>
        <w:softHyphen/>
        <w:t xml:space="preserve">kon naměřený - 100 W - inet, Poplatek za nadlimitní el. </w:t>
      </w:r>
      <w:proofErr w:type="gramStart"/>
      <w:r>
        <w:t>příkon</w:t>
      </w:r>
      <w:proofErr w:type="gramEnd"/>
      <w:r>
        <w:t xml:space="preserve"> štítkový - 100W - inet, Poplatek za nadlimitní el. příkon naměřený [smluvní] - 100 W nebo Poplatek </w:t>
      </w:r>
      <w:r>
        <w:lastRenderedPageBreak/>
        <w:t>za nad</w:t>
      </w:r>
      <w:r>
        <w:softHyphen/>
        <w:t>limitní el. příkon štítkový [</w:t>
      </w:r>
      <w:r>
        <w:t>smluvní] - 100W) se v plném roz</w:t>
      </w:r>
      <w:r>
        <w:softHyphen/>
        <w:t>sahu nahrazuje novou službou Bezvýpadkové napájení, jejíž aktuální cena (včetně způsobu jejího výpočtu) je uvedena v příslušném Ceníku služby. Toto ujednání se neuplatní na Smlouvy sjednané pro plnění veřejné zakázky.</w:t>
      </w:r>
    </w:p>
    <w:p w:rsidR="00215B20" w:rsidRDefault="00FD0AA3">
      <w:pPr>
        <w:pStyle w:val="Nadpis60"/>
        <w:keepNext/>
        <w:keepLines/>
        <w:numPr>
          <w:ilvl w:val="0"/>
          <w:numId w:val="15"/>
        </w:numPr>
        <w:shd w:val="clear" w:color="auto" w:fill="auto"/>
        <w:tabs>
          <w:tab w:val="left" w:pos="525"/>
        </w:tabs>
        <w:spacing w:after="0" w:line="334" w:lineRule="auto"/>
        <w:jc w:val="both"/>
      </w:pPr>
      <w:bookmarkStart w:id="239" w:name="bookmark238"/>
      <w:bookmarkStart w:id="240" w:name="bookmark239"/>
      <w:r>
        <w:rPr>
          <w:color w:val="EC018B"/>
        </w:rPr>
        <w:t>Součin</w:t>
      </w:r>
      <w:r>
        <w:rPr>
          <w:color w:val="EC018B"/>
        </w:rPr>
        <w:t>nost</w:t>
      </w:r>
      <w:bookmarkEnd w:id="239"/>
      <w:bookmarkEnd w:id="240"/>
    </w:p>
    <w:p w:rsidR="00215B20" w:rsidRDefault="00FD0AA3">
      <w:pPr>
        <w:pStyle w:val="Zkladntext1"/>
        <w:numPr>
          <w:ilvl w:val="1"/>
          <w:numId w:val="15"/>
        </w:numPr>
        <w:shd w:val="clear" w:color="auto" w:fill="auto"/>
        <w:tabs>
          <w:tab w:val="left" w:pos="525"/>
        </w:tabs>
        <w:spacing w:after="0" w:line="334" w:lineRule="auto"/>
        <w:jc w:val="both"/>
      </w:pPr>
      <w:r>
        <w:t>V souvislosti s plněním Smlouvy budou Smluvní strany</w:t>
      </w:r>
    </w:p>
    <w:p w:rsidR="00215B20" w:rsidRDefault="00FD0AA3">
      <w:pPr>
        <w:pStyle w:val="Zkladntext1"/>
        <w:shd w:val="clear" w:color="auto" w:fill="auto"/>
        <w:spacing w:after="220" w:line="334" w:lineRule="auto"/>
        <w:ind w:left="580"/>
        <w:jc w:val="both"/>
      </w:pPr>
      <w:r>
        <w:t>spolupracovat v dobré víře a budou si průběžně a v po</w:t>
      </w:r>
      <w:r>
        <w:softHyphen/>
        <w:t>třebném rozsahu vyměňovat s druhou stranou oprávně</w:t>
      </w:r>
      <w:r>
        <w:softHyphen/>
        <w:t>ně požadované technické informace. Pokud je k řádnému plnění Smlouvy nezbytný přístup zaměstn</w:t>
      </w:r>
      <w:r>
        <w:t>anců nebo zá</w:t>
      </w:r>
      <w:r>
        <w:softHyphen/>
        <w:t>stupců TMCZ do budov, k Zařízením nebo k síti, je Smluvní partner povinen toto umožnit nebo zajistit.</w:t>
      </w:r>
    </w:p>
    <w:p w:rsidR="00215B20" w:rsidRDefault="00FD0AA3">
      <w:pPr>
        <w:pStyle w:val="Zkladntext1"/>
        <w:numPr>
          <w:ilvl w:val="1"/>
          <w:numId w:val="15"/>
        </w:numPr>
        <w:shd w:val="clear" w:color="auto" w:fill="auto"/>
        <w:tabs>
          <w:tab w:val="left" w:pos="569"/>
        </w:tabs>
        <w:spacing w:after="200" w:line="334" w:lineRule="auto"/>
        <w:ind w:left="580" w:hanging="580"/>
        <w:jc w:val="both"/>
      </w:pPr>
      <w:r>
        <w:t>Smluvní partner bere na vědomí a souhlasí s tím, že Služba může být na straně TMCZ dodávána a plněna zcela či zčásti subdodavatelem TMCZ. Z t</w:t>
      </w:r>
      <w:r>
        <w:t>ohoto důvodu je Smluvní partner povinen k poskytnutí veškeré potřebné součin</w:t>
      </w:r>
      <w:r>
        <w:softHyphen/>
        <w:t>nosti nikoliv pouze TMCZ, ale taktéž subdodavateli.</w:t>
      </w:r>
    </w:p>
    <w:p w:rsidR="00215B20" w:rsidRDefault="00FD0AA3">
      <w:pPr>
        <w:pStyle w:val="Zkladntext1"/>
        <w:numPr>
          <w:ilvl w:val="1"/>
          <w:numId w:val="15"/>
        </w:numPr>
        <w:shd w:val="clear" w:color="auto" w:fill="auto"/>
        <w:tabs>
          <w:tab w:val="left" w:pos="569"/>
        </w:tabs>
        <w:spacing w:after="200" w:line="334" w:lineRule="auto"/>
        <w:ind w:left="580" w:hanging="580"/>
        <w:jc w:val="both"/>
      </w:pPr>
      <w:r>
        <w:t>Smluvní partner poskytne TMCZ bez prodlení veškerou součinnost potřebnou pro řádné testování, zřízení, změ</w:t>
      </w:r>
      <w:r>
        <w:softHyphen/>
        <w:t>nu, protokolární pře</w:t>
      </w:r>
      <w:r>
        <w:t>vzetí či ukončení Služby. Neposkytne- -li Smluvní partner součinnost TMCZ ani v přiměřeném náhradním termínu, je Smluvní partner povinen uhradit TMCZ veškeré ze strany TMCZ vynaložené náklady a na</w:t>
      </w:r>
      <w:r>
        <w:softHyphen/>
        <w:t>hradit vzniklou újmu.</w:t>
      </w:r>
    </w:p>
    <w:p w:rsidR="00215B20" w:rsidRDefault="00FD0AA3">
      <w:pPr>
        <w:pStyle w:val="Zkladntext1"/>
        <w:numPr>
          <w:ilvl w:val="1"/>
          <w:numId w:val="15"/>
        </w:numPr>
        <w:shd w:val="clear" w:color="auto" w:fill="auto"/>
        <w:tabs>
          <w:tab w:val="left" w:pos="569"/>
        </w:tabs>
        <w:spacing w:after="200" w:line="334" w:lineRule="auto"/>
        <w:ind w:left="580" w:hanging="580"/>
        <w:jc w:val="both"/>
      </w:pPr>
      <w:r>
        <w:t>Za účelem umístění Zařízení TMCZ je S</w:t>
      </w:r>
      <w:r>
        <w:t>mluvní partner po</w:t>
      </w:r>
      <w:r>
        <w:softHyphen/>
        <w:t>vinen na své náklady zajistit potřebné provozní prostory (místnosti), vlastnosti jejich prostředí a požadované tech</w:t>
      </w:r>
      <w:r>
        <w:softHyphen/>
        <w:t>nické podmínky, přičemž jejich dodržování je povinen za</w:t>
      </w:r>
      <w:r>
        <w:softHyphen/>
        <w:t>bezpečit po celou dobu poskytování Služby a nemůže je měnit bez pí</w:t>
      </w:r>
      <w:r>
        <w:t>semného souhlasu TMCZ. Smluvní partner je povinen učinit opatření zabraňující případné krádeži nebo poškození či zničení Zařízení TMCZ, jakož i zabránit třetím osobám v manipulaci se Zařízením TMCZ. Smluvní partner je povinen na své náklady zajišťovat nále</w:t>
      </w:r>
      <w:r>
        <w:t>žitý dohled nad Zařízením a odběr elektrické energie pro instalaci a provoz Zařízení TMCZ určeného pro poskytování Služby. Náklady Smluvního partnera na dohled a spotřebu energie jsou zo</w:t>
      </w:r>
      <w:r>
        <w:softHyphen/>
        <w:t>hledněny v ceně Služby sjednané ve Smlouvě.</w:t>
      </w:r>
    </w:p>
    <w:p w:rsidR="00215B20" w:rsidRDefault="00FD0AA3">
      <w:pPr>
        <w:pStyle w:val="Zkladntext1"/>
        <w:numPr>
          <w:ilvl w:val="1"/>
          <w:numId w:val="15"/>
        </w:numPr>
        <w:shd w:val="clear" w:color="auto" w:fill="auto"/>
        <w:tabs>
          <w:tab w:val="left" w:pos="569"/>
        </w:tabs>
        <w:spacing w:after="200" w:line="334" w:lineRule="auto"/>
        <w:ind w:left="580" w:hanging="580"/>
        <w:jc w:val="both"/>
      </w:pPr>
      <w:r>
        <w:t>Smluvní partner je povine</w:t>
      </w:r>
      <w:r>
        <w:t>n zajistit pro TMCZ součinnost při přípravě stavebních, instalačních či servisních prací pro potřeby umístění Zařízení TMCZ souvisejících se sjednanou Službou. Tato součinnost spočívá především v zajištění pí</w:t>
      </w:r>
      <w:r>
        <w:softHyphen/>
        <w:t xml:space="preserve">semného souhlasu osob, zejm. vlastníka objektu </w:t>
      </w:r>
      <w:r>
        <w:t>a vlastní</w:t>
      </w:r>
      <w:r>
        <w:softHyphen/>
        <w:t>ka vnitřních rozvodů v objektu, ve kterém bude umístěno Zařízení TMCZ nebo koncový bod Služby (případně v dal</w:t>
      </w:r>
      <w:r>
        <w:softHyphen/>
        <w:t>ších objektech uvedených ve Smlouvě), s provedením pro</w:t>
      </w:r>
      <w:r>
        <w:softHyphen/>
        <w:t>jektových, stavebních a instalačních prací, popř. dalších nezbytných prací, a pos</w:t>
      </w:r>
      <w:r>
        <w:t>kytnutí všech nezbytných podkladů a dokladů ke zpracování projektové dokumentace.</w:t>
      </w:r>
    </w:p>
    <w:p w:rsidR="00215B20" w:rsidRDefault="00FD0AA3">
      <w:pPr>
        <w:pStyle w:val="Zkladntext1"/>
        <w:numPr>
          <w:ilvl w:val="1"/>
          <w:numId w:val="15"/>
        </w:numPr>
        <w:shd w:val="clear" w:color="auto" w:fill="auto"/>
        <w:tabs>
          <w:tab w:val="left" w:pos="569"/>
        </w:tabs>
        <w:spacing w:after="200" w:line="334" w:lineRule="auto"/>
        <w:ind w:left="580" w:hanging="580"/>
        <w:jc w:val="both"/>
      </w:pPr>
      <w:r>
        <w:t>Smluvní partner dále odpovídá za to, že nejpozději 14 (čtr</w:t>
      </w:r>
      <w:r>
        <w:softHyphen/>
        <w:t>náct) dnů před určeným termínem zřízení Služby bude jeho Zařízení připraveno tak, aby bylo možné zahájit vlast</w:t>
      </w:r>
      <w:r>
        <w:softHyphen/>
        <w:t>ní p</w:t>
      </w:r>
      <w:r>
        <w:t xml:space="preserve">ráce na jeho </w:t>
      </w:r>
      <w:r>
        <w:lastRenderedPageBreak/>
        <w:t>připojení k Zařízením TMCZ, to znamená, že v tomto termínu zabezpečí veškeré potřebné úkony, ze</w:t>
      </w:r>
      <w:r>
        <w:softHyphen/>
        <w:t>jména správné nakonfigurování svého Zařízení, obstarání, instalace a zprovoznění všech předávacích rozhraní a por</w:t>
      </w:r>
      <w:r>
        <w:softHyphen/>
        <w:t>tů, obstarání kabelů, zajištění p</w:t>
      </w:r>
      <w:r>
        <w:t>ropojení svého Zařízení do koncového bodu Služby atd.</w:t>
      </w:r>
    </w:p>
    <w:p w:rsidR="00215B20" w:rsidRDefault="00FD0AA3">
      <w:pPr>
        <w:pStyle w:val="Zkladntext1"/>
        <w:numPr>
          <w:ilvl w:val="1"/>
          <w:numId w:val="15"/>
        </w:numPr>
        <w:shd w:val="clear" w:color="auto" w:fill="auto"/>
        <w:tabs>
          <w:tab w:val="left" w:pos="569"/>
        </w:tabs>
        <w:spacing w:after="200" w:line="334" w:lineRule="auto"/>
        <w:ind w:left="580" w:hanging="580"/>
        <w:jc w:val="both"/>
      </w:pPr>
      <w:r>
        <w:t>Pokud je poskytování Služby ze strany TMCZ podmíně</w:t>
      </w:r>
      <w:r>
        <w:softHyphen/>
        <w:t>no udělením potřebných povolení příslušných státních orgánů ČR, příp. i vývozního povolení státních orgánů, jakož i vytvořením nezbytných předpokladů (</w:t>
      </w:r>
      <w:r>
        <w:t xml:space="preserve">potřebných podmínek) ze strany provozovatelů veřejné i neveřejné komunikační sítě, </w:t>
      </w:r>
      <w:r w:rsidRPr="00920265">
        <w:rPr>
          <w:lang w:eastAsia="en-US" w:bidi="en-US"/>
        </w:rPr>
        <w:t xml:space="preserve">je </w:t>
      </w:r>
      <w:r>
        <w:t xml:space="preserve">Smluvní </w:t>
      </w:r>
      <w:r w:rsidRPr="00920265">
        <w:rPr>
          <w:lang w:eastAsia="en-US" w:bidi="en-US"/>
        </w:rPr>
        <w:t xml:space="preserve">partner </w:t>
      </w:r>
      <w:r>
        <w:t xml:space="preserve">dále </w:t>
      </w:r>
      <w:r w:rsidRPr="00920265">
        <w:rPr>
          <w:lang w:eastAsia="en-US" w:bidi="en-US"/>
        </w:rPr>
        <w:t xml:space="preserve">povinen v </w:t>
      </w:r>
      <w:r>
        <w:t>ná</w:t>
      </w:r>
      <w:r>
        <w:softHyphen/>
        <w:t xml:space="preserve">ležitém předstihu před dodáním, sestavením </w:t>
      </w:r>
      <w:r w:rsidRPr="00920265">
        <w:rPr>
          <w:lang w:eastAsia="en-US" w:bidi="en-US"/>
        </w:rPr>
        <w:t xml:space="preserve">a </w:t>
      </w:r>
      <w:r>
        <w:t xml:space="preserve">uvedením Systémů </w:t>
      </w:r>
      <w:r w:rsidRPr="00920265">
        <w:rPr>
          <w:lang w:eastAsia="en-US" w:bidi="en-US"/>
        </w:rPr>
        <w:t xml:space="preserve">do </w:t>
      </w:r>
      <w:r>
        <w:t xml:space="preserve">provozuschopného </w:t>
      </w:r>
      <w:r w:rsidRPr="00920265">
        <w:rPr>
          <w:lang w:eastAsia="en-US" w:bidi="en-US"/>
        </w:rPr>
        <w:t xml:space="preserve">stavu, </w:t>
      </w:r>
      <w:r>
        <w:t xml:space="preserve">zejména před </w:t>
      </w:r>
      <w:r w:rsidRPr="00920265">
        <w:rPr>
          <w:lang w:eastAsia="en-US" w:bidi="en-US"/>
        </w:rPr>
        <w:t xml:space="preserve">jeho </w:t>
      </w:r>
      <w:r>
        <w:t xml:space="preserve">připojením </w:t>
      </w:r>
      <w:r w:rsidRPr="00920265">
        <w:rPr>
          <w:lang w:eastAsia="en-US" w:bidi="en-US"/>
        </w:rPr>
        <w:t xml:space="preserve">k JTS, obstarat </w:t>
      </w:r>
      <w:r>
        <w:t>po</w:t>
      </w:r>
      <w:r>
        <w:t xml:space="preserve">třebná povolení </w:t>
      </w:r>
      <w:r w:rsidRPr="00920265">
        <w:rPr>
          <w:lang w:eastAsia="en-US" w:bidi="en-US"/>
        </w:rPr>
        <w:t xml:space="preserve">ze strany </w:t>
      </w:r>
      <w:r>
        <w:t xml:space="preserve">příslušných státních orgánů ČR </w:t>
      </w:r>
      <w:r w:rsidRPr="00920265">
        <w:rPr>
          <w:lang w:eastAsia="en-US" w:bidi="en-US"/>
        </w:rPr>
        <w:t xml:space="preserve">a zajistit </w:t>
      </w:r>
      <w:r>
        <w:t>vytvoření potřeb</w:t>
      </w:r>
      <w:r>
        <w:softHyphen/>
        <w:t xml:space="preserve">ných provozních podmínek </w:t>
      </w:r>
      <w:r w:rsidRPr="00920265">
        <w:rPr>
          <w:lang w:eastAsia="en-US" w:bidi="en-US"/>
        </w:rPr>
        <w:t xml:space="preserve">ze strany </w:t>
      </w:r>
      <w:r>
        <w:t>provozovatelů veřej</w:t>
      </w:r>
      <w:r>
        <w:softHyphen/>
        <w:t xml:space="preserve">né </w:t>
      </w:r>
      <w:r w:rsidRPr="00920265">
        <w:rPr>
          <w:lang w:eastAsia="en-US" w:bidi="en-US"/>
        </w:rPr>
        <w:t xml:space="preserve">i </w:t>
      </w:r>
      <w:r>
        <w:t>neveřejné komunikační sítě.</w:t>
      </w:r>
    </w:p>
    <w:p w:rsidR="00215B20" w:rsidRDefault="00FD0AA3">
      <w:pPr>
        <w:pStyle w:val="Zkladntext1"/>
        <w:numPr>
          <w:ilvl w:val="1"/>
          <w:numId w:val="15"/>
        </w:numPr>
        <w:shd w:val="clear" w:color="auto" w:fill="auto"/>
        <w:tabs>
          <w:tab w:val="left" w:pos="570"/>
        </w:tabs>
        <w:spacing w:after="200" w:line="334" w:lineRule="auto"/>
        <w:ind w:left="580" w:hanging="580"/>
        <w:jc w:val="both"/>
      </w:pPr>
      <w:r w:rsidRPr="00920265">
        <w:rPr>
          <w:lang w:eastAsia="en-US" w:bidi="en-US"/>
        </w:rPr>
        <w:t xml:space="preserve">Na </w:t>
      </w:r>
      <w:r>
        <w:t xml:space="preserve">žádost </w:t>
      </w:r>
      <w:r w:rsidRPr="00920265">
        <w:rPr>
          <w:lang w:eastAsia="en-US" w:bidi="en-US"/>
        </w:rPr>
        <w:t xml:space="preserve">TMCZ nebo na </w:t>
      </w:r>
      <w:r>
        <w:t xml:space="preserve">základě </w:t>
      </w:r>
      <w:r w:rsidRPr="00920265">
        <w:rPr>
          <w:lang w:eastAsia="en-US" w:bidi="en-US"/>
        </w:rPr>
        <w:t xml:space="preserve">dohody s </w:t>
      </w:r>
      <w:r>
        <w:t xml:space="preserve">ním Smluvní </w:t>
      </w:r>
      <w:r w:rsidRPr="00920265">
        <w:rPr>
          <w:lang w:eastAsia="en-US" w:bidi="en-US"/>
        </w:rPr>
        <w:t xml:space="preserve">partner </w:t>
      </w:r>
      <w:r>
        <w:t xml:space="preserve">připraví </w:t>
      </w:r>
      <w:r w:rsidRPr="00920265">
        <w:rPr>
          <w:lang w:eastAsia="en-US" w:bidi="en-US"/>
        </w:rPr>
        <w:t xml:space="preserve">pro TMCZ </w:t>
      </w:r>
      <w:r>
        <w:t xml:space="preserve">vhodné uzamykatelné místo </w:t>
      </w:r>
      <w:r w:rsidRPr="00920265">
        <w:rPr>
          <w:lang w:eastAsia="en-US" w:bidi="en-US"/>
        </w:rPr>
        <w:t xml:space="preserve">k </w:t>
      </w:r>
      <w:r>
        <w:t xml:space="preserve">rozbalování, </w:t>
      </w:r>
      <w:r w:rsidRPr="00920265">
        <w:rPr>
          <w:lang w:eastAsia="en-US" w:bidi="en-US"/>
        </w:rPr>
        <w:t xml:space="preserve">kontrole a </w:t>
      </w:r>
      <w:r>
        <w:t xml:space="preserve">ukládání zásilek Zařízení </w:t>
      </w:r>
      <w:r w:rsidRPr="00920265">
        <w:rPr>
          <w:lang w:eastAsia="en-US" w:bidi="en-US"/>
        </w:rPr>
        <w:t xml:space="preserve">TMCZ, </w:t>
      </w:r>
      <w:r>
        <w:t>ja</w:t>
      </w:r>
      <w:r>
        <w:softHyphen/>
        <w:t xml:space="preserve">kož </w:t>
      </w:r>
      <w:r w:rsidRPr="00920265">
        <w:rPr>
          <w:lang w:eastAsia="en-US" w:bidi="en-US"/>
        </w:rPr>
        <w:t xml:space="preserve">i k </w:t>
      </w:r>
      <w:r>
        <w:t xml:space="preserve">ukládání montážních pomůcek. Smluvní </w:t>
      </w:r>
      <w:r w:rsidRPr="00920265">
        <w:rPr>
          <w:lang w:eastAsia="en-US" w:bidi="en-US"/>
        </w:rPr>
        <w:t xml:space="preserve">partner se zavazuje </w:t>
      </w:r>
      <w:r>
        <w:t xml:space="preserve">umožnit </w:t>
      </w:r>
      <w:r w:rsidRPr="00920265">
        <w:rPr>
          <w:lang w:eastAsia="en-US" w:bidi="en-US"/>
        </w:rPr>
        <w:t xml:space="preserve">TMCZ </w:t>
      </w:r>
      <w:r>
        <w:t xml:space="preserve">vykládku </w:t>
      </w:r>
      <w:r w:rsidRPr="00920265">
        <w:rPr>
          <w:lang w:eastAsia="en-US" w:bidi="en-US"/>
        </w:rPr>
        <w:t xml:space="preserve">a </w:t>
      </w:r>
      <w:r>
        <w:t xml:space="preserve">úschovu Zařízení </w:t>
      </w:r>
      <w:r w:rsidRPr="00920265">
        <w:rPr>
          <w:lang w:eastAsia="en-US" w:bidi="en-US"/>
        </w:rPr>
        <w:t xml:space="preserve">TMCZ v jeho </w:t>
      </w:r>
      <w:r>
        <w:t xml:space="preserve">prostorách určených </w:t>
      </w:r>
      <w:r w:rsidRPr="00920265">
        <w:rPr>
          <w:lang w:eastAsia="en-US" w:bidi="en-US"/>
        </w:rPr>
        <w:t xml:space="preserve">k instalaci v </w:t>
      </w:r>
      <w:r>
        <w:t xml:space="preserve">termínu, </w:t>
      </w:r>
      <w:r w:rsidRPr="00920265">
        <w:rPr>
          <w:lang w:eastAsia="en-US" w:bidi="en-US"/>
        </w:rPr>
        <w:t xml:space="preserve">o </w:t>
      </w:r>
      <w:r>
        <w:t xml:space="preserve">kterém </w:t>
      </w:r>
      <w:r w:rsidRPr="00920265">
        <w:rPr>
          <w:lang w:eastAsia="en-US" w:bidi="en-US"/>
        </w:rPr>
        <w:t xml:space="preserve">byl ze strany TMCZ zpraven </w:t>
      </w:r>
      <w:r>
        <w:t xml:space="preserve">nejméně </w:t>
      </w:r>
      <w:r w:rsidRPr="00920265">
        <w:rPr>
          <w:lang w:eastAsia="en-US" w:bidi="en-US"/>
        </w:rPr>
        <w:t xml:space="preserve">3 </w:t>
      </w:r>
      <w:r>
        <w:t xml:space="preserve">(tři) pracovní </w:t>
      </w:r>
      <w:r w:rsidRPr="00920265">
        <w:rPr>
          <w:lang w:eastAsia="en-US" w:bidi="en-US"/>
        </w:rPr>
        <w:t xml:space="preserve">dny </w:t>
      </w:r>
      <w:r>
        <w:t xml:space="preserve">předem. Smluvní </w:t>
      </w:r>
      <w:r w:rsidRPr="00920265">
        <w:rPr>
          <w:lang w:eastAsia="en-US" w:bidi="en-US"/>
        </w:rPr>
        <w:t xml:space="preserve">partner </w:t>
      </w:r>
      <w:r>
        <w:t xml:space="preserve">převezme Zařízení </w:t>
      </w:r>
      <w:r w:rsidRPr="00920265">
        <w:rPr>
          <w:lang w:eastAsia="en-US" w:bidi="en-US"/>
        </w:rPr>
        <w:t xml:space="preserve">TMCZ do </w:t>
      </w:r>
      <w:r>
        <w:t xml:space="preserve">úschovy </w:t>
      </w:r>
      <w:r w:rsidRPr="00920265">
        <w:rPr>
          <w:lang w:eastAsia="en-US" w:bidi="en-US"/>
        </w:rPr>
        <w:t xml:space="preserve">a </w:t>
      </w:r>
      <w:r>
        <w:t xml:space="preserve">zajistí </w:t>
      </w:r>
      <w:r w:rsidRPr="00920265">
        <w:rPr>
          <w:lang w:eastAsia="en-US" w:bidi="en-US"/>
        </w:rPr>
        <w:t xml:space="preserve">jejich </w:t>
      </w:r>
      <w:r>
        <w:t xml:space="preserve">bezpečné uskladnění </w:t>
      </w:r>
      <w:r w:rsidRPr="00920265">
        <w:rPr>
          <w:lang w:eastAsia="en-US" w:bidi="en-US"/>
        </w:rPr>
        <w:t xml:space="preserve">do doby </w:t>
      </w:r>
      <w:r>
        <w:t>za</w:t>
      </w:r>
      <w:r>
        <w:softHyphen/>
        <w:t xml:space="preserve">hájení </w:t>
      </w:r>
      <w:r w:rsidRPr="00920265">
        <w:rPr>
          <w:lang w:eastAsia="en-US" w:bidi="en-US"/>
        </w:rPr>
        <w:t xml:space="preserve">instalace. O </w:t>
      </w:r>
      <w:r>
        <w:t xml:space="preserve">předání </w:t>
      </w:r>
      <w:r w:rsidRPr="00920265">
        <w:rPr>
          <w:lang w:eastAsia="en-US" w:bidi="en-US"/>
        </w:rPr>
        <w:t xml:space="preserve">a </w:t>
      </w:r>
      <w:r>
        <w:t xml:space="preserve">převzetí Zařízení </w:t>
      </w:r>
      <w:r w:rsidRPr="00920265">
        <w:rPr>
          <w:lang w:eastAsia="en-US" w:bidi="en-US"/>
        </w:rPr>
        <w:t xml:space="preserve">TMCZ do </w:t>
      </w:r>
      <w:r>
        <w:t xml:space="preserve">úschovy </w:t>
      </w:r>
      <w:r w:rsidRPr="00920265">
        <w:rPr>
          <w:lang w:eastAsia="en-US" w:bidi="en-US"/>
        </w:rPr>
        <w:t xml:space="preserve">bude </w:t>
      </w:r>
      <w:r>
        <w:t xml:space="preserve">kontaktními </w:t>
      </w:r>
      <w:r w:rsidRPr="00920265">
        <w:rPr>
          <w:lang w:eastAsia="en-US" w:bidi="en-US"/>
        </w:rPr>
        <w:t>osobam</w:t>
      </w:r>
      <w:r w:rsidRPr="00920265">
        <w:rPr>
          <w:lang w:eastAsia="en-US" w:bidi="en-US"/>
        </w:rPr>
        <w:t xml:space="preserve">i obou </w:t>
      </w:r>
      <w:r>
        <w:t xml:space="preserve">Smluvních </w:t>
      </w:r>
      <w:r w:rsidRPr="00920265">
        <w:rPr>
          <w:lang w:eastAsia="en-US" w:bidi="en-US"/>
        </w:rPr>
        <w:t xml:space="preserve">stran </w:t>
      </w:r>
      <w:r>
        <w:t xml:space="preserve">podepsán dodací </w:t>
      </w:r>
      <w:r w:rsidRPr="00920265">
        <w:rPr>
          <w:lang w:eastAsia="en-US" w:bidi="en-US"/>
        </w:rPr>
        <w:t xml:space="preserve">list. </w:t>
      </w:r>
      <w:r>
        <w:t xml:space="preserve">Nejpozději </w:t>
      </w:r>
      <w:r w:rsidRPr="00920265">
        <w:rPr>
          <w:lang w:eastAsia="en-US" w:bidi="en-US"/>
        </w:rPr>
        <w:t xml:space="preserve">do 5 </w:t>
      </w:r>
      <w:r>
        <w:t xml:space="preserve">(pěti) pracovních dnů </w:t>
      </w:r>
      <w:r w:rsidRPr="00920265">
        <w:rPr>
          <w:lang w:eastAsia="en-US" w:bidi="en-US"/>
        </w:rPr>
        <w:t xml:space="preserve">po instalaci je TMCZ povinen </w:t>
      </w:r>
      <w:r>
        <w:t xml:space="preserve">provést </w:t>
      </w:r>
      <w:r w:rsidRPr="00920265">
        <w:rPr>
          <w:lang w:eastAsia="en-US" w:bidi="en-US"/>
        </w:rPr>
        <w:t xml:space="preserve">po </w:t>
      </w:r>
      <w:r>
        <w:t xml:space="preserve">sobě úklid </w:t>
      </w:r>
      <w:r w:rsidRPr="00920265">
        <w:rPr>
          <w:lang w:eastAsia="en-US" w:bidi="en-US"/>
        </w:rPr>
        <w:t xml:space="preserve">v </w:t>
      </w:r>
      <w:r>
        <w:t xml:space="preserve">místě </w:t>
      </w:r>
      <w:r w:rsidRPr="00920265">
        <w:rPr>
          <w:lang w:eastAsia="en-US" w:bidi="en-US"/>
        </w:rPr>
        <w:t xml:space="preserve">instalace. </w:t>
      </w:r>
      <w:r>
        <w:t xml:space="preserve">Zařízení </w:t>
      </w:r>
      <w:r w:rsidRPr="00920265">
        <w:rPr>
          <w:lang w:eastAsia="en-US" w:bidi="en-US"/>
        </w:rPr>
        <w:t xml:space="preserve">nebo </w:t>
      </w:r>
      <w:r>
        <w:t xml:space="preserve">Systémy Smluvní </w:t>
      </w:r>
      <w:r w:rsidRPr="00920265">
        <w:rPr>
          <w:lang w:eastAsia="en-US" w:bidi="en-US"/>
        </w:rPr>
        <w:t xml:space="preserve">partner po </w:t>
      </w:r>
      <w:r>
        <w:t xml:space="preserve">sestavení </w:t>
      </w:r>
      <w:r w:rsidRPr="00920265">
        <w:rPr>
          <w:lang w:eastAsia="en-US" w:bidi="en-US"/>
        </w:rPr>
        <w:t xml:space="preserve">od TMCZ </w:t>
      </w:r>
      <w:r>
        <w:t xml:space="preserve">protokolárně převezme </w:t>
      </w:r>
      <w:r w:rsidRPr="00920265">
        <w:rPr>
          <w:lang w:eastAsia="en-US" w:bidi="en-US"/>
        </w:rPr>
        <w:t xml:space="preserve">formou podpisu </w:t>
      </w:r>
      <w:r>
        <w:t>předáva</w:t>
      </w:r>
      <w:r>
        <w:t xml:space="preserve">cího </w:t>
      </w:r>
      <w:r w:rsidRPr="00920265">
        <w:rPr>
          <w:lang w:eastAsia="en-US" w:bidi="en-US"/>
        </w:rPr>
        <w:t>protokolu.</w:t>
      </w:r>
    </w:p>
    <w:p w:rsidR="00215B20" w:rsidRDefault="00FD0AA3">
      <w:pPr>
        <w:pStyle w:val="Zkladntext1"/>
        <w:numPr>
          <w:ilvl w:val="1"/>
          <w:numId w:val="15"/>
        </w:numPr>
        <w:shd w:val="clear" w:color="auto" w:fill="auto"/>
        <w:tabs>
          <w:tab w:val="left" w:pos="570"/>
        </w:tabs>
        <w:spacing w:after="200" w:line="334" w:lineRule="auto"/>
        <w:ind w:left="580" w:hanging="580"/>
        <w:jc w:val="both"/>
      </w:pPr>
      <w:r>
        <w:t xml:space="preserve">Smluvní </w:t>
      </w:r>
      <w:r w:rsidRPr="00920265">
        <w:rPr>
          <w:lang w:eastAsia="en-US" w:bidi="en-US"/>
        </w:rPr>
        <w:t xml:space="preserve">partner </w:t>
      </w:r>
      <w:r>
        <w:t xml:space="preserve">není oprávněn až </w:t>
      </w:r>
      <w:r w:rsidRPr="00920265">
        <w:rPr>
          <w:lang w:eastAsia="en-US" w:bidi="en-US"/>
        </w:rPr>
        <w:t xml:space="preserve">do </w:t>
      </w:r>
      <w:r>
        <w:t>ukončení poskyto</w:t>
      </w:r>
      <w:r>
        <w:softHyphen/>
        <w:t xml:space="preserve">vání Služeb </w:t>
      </w:r>
      <w:r w:rsidRPr="00920265">
        <w:rPr>
          <w:lang w:eastAsia="en-US" w:bidi="en-US"/>
        </w:rPr>
        <w:t xml:space="preserve">jakkoli zasahovat do </w:t>
      </w:r>
      <w:r>
        <w:t xml:space="preserve">Zařízení </w:t>
      </w:r>
      <w:r w:rsidRPr="00920265">
        <w:rPr>
          <w:lang w:eastAsia="en-US" w:bidi="en-US"/>
        </w:rPr>
        <w:t xml:space="preserve">TMCZ nad </w:t>
      </w:r>
      <w:r>
        <w:t>rá</w:t>
      </w:r>
      <w:r>
        <w:softHyphen/>
        <w:t>mec</w:t>
      </w:r>
      <w:r w:rsidRPr="00920265">
        <w:rPr>
          <w:lang w:eastAsia="en-US" w:bidi="en-US"/>
        </w:rPr>
        <w:t xml:space="preserve"> </w:t>
      </w:r>
      <w:r>
        <w:t xml:space="preserve">běžného užívání. Smluvní </w:t>
      </w:r>
      <w:r w:rsidRPr="00920265">
        <w:rPr>
          <w:lang w:eastAsia="en-US" w:bidi="en-US"/>
        </w:rPr>
        <w:t xml:space="preserve">partner je povinen </w:t>
      </w:r>
      <w:r>
        <w:t xml:space="preserve">Zařízení </w:t>
      </w:r>
      <w:r w:rsidRPr="00920265">
        <w:rPr>
          <w:lang w:eastAsia="en-US" w:bidi="en-US"/>
        </w:rPr>
        <w:t xml:space="preserve">TMCZ </w:t>
      </w:r>
      <w:r>
        <w:t xml:space="preserve">užívat </w:t>
      </w:r>
      <w:r w:rsidRPr="00920265">
        <w:rPr>
          <w:lang w:eastAsia="en-US" w:bidi="en-US"/>
        </w:rPr>
        <w:t xml:space="preserve">k </w:t>
      </w:r>
      <w:r>
        <w:t xml:space="preserve">účelu, který </w:t>
      </w:r>
      <w:r w:rsidRPr="00920265">
        <w:rPr>
          <w:lang w:eastAsia="en-US" w:bidi="en-US"/>
        </w:rPr>
        <w:t xml:space="preserve">je v souladu s </w:t>
      </w:r>
      <w:r>
        <w:t>právními předpi</w:t>
      </w:r>
      <w:r>
        <w:softHyphen/>
        <w:t>sy</w:t>
      </w:r>
      <w:r w:rsidRPr="00920265">
        <w:rPr>
          <w:lang w:eastAsia="en-US" w:bidi="en-US"/>
        </w:rPr>
        <w:t xml:space="preserve"> a Smlouvou. </w:t>
      </w:r>
      <w:r>
        <w:t xml:space="preserve">Smluvní </w:t>
      </w:r>
      <w:r w:rsidRPr="00920265">
        <w:rPr>
          <w:lang w:eastAsia="en-US" w:bidi="en-US"/>
        </w:rPr>
        <w:t xml:space="preserve">partner bez </w:t>
      </w:r>
      <w:r>
        <w:t xml:space="preserve">osobní účasti </w:t>
      </w:r>
      <w:r w:rsidRPr="00920265">
        <w:rPr>
          <w:lang w:eastAsia="en-US" w:bidi="en-US"/>
        </w:rPr>
        <w:t xml:space="preserve">nebo </w:t>
      </w:r>
      <w:r>
        <w:t>pí</w:t>
      </w:r>
      <w:r>
        <w:softHyphen/>
        <w:t xml:space="preserve">semného </w:t>
      </w:r>
      <w:r w:rsidRPr="00920265">
        <w:rPr>
          <w:lang w:eastAsia="en-US" w:bidi="en-US"/>
        </w:rPr>
        <w:t xml:space="preserve">souhlasu TMCZ </w:t>
      </w:r>
      <w:r>
        <w:t>nesmí měnit nastavení, zapoje</w:t>
      </w:r>
      <w:r>
        <w:softHyphen/>
        <w:t xml:space="preserve">ní, umístění </w:t>
      </w:r>
      <w:r w:rsidRPr="00920265">
        <w:rPr>
          <w:lang w:eastAsia="en-US" w:bidi="en-US"/>
        </w:rPr>
        <w:t xml:space="preserve">a </w:t>
      </w:r>
      <w:r>
        <w:t xml:space="preserve">prostorové uspořádání Zařízení </w:t>
      </w:r>
      <w:r w:rsidRPr="00920265">
        <w:rPr>
          <w:lang w:eastAsia="en-US" w:bidi="en-US"/>
        </w:rPr>
        <w:t xml:space="preserve">oproti stavu </w:t>
      </w:r>
      <w:r>
        <w:t xml:space="preserve">při zřízení Služby, přičemž </w:t>
      </w:r>
      <w:r w:rsidRPr="00920265">
        <w:rPr>
          <w:lang w:eastAsia="en-US" w:bidi="en-US"/>
        </w:rPr>
        <w:t xml:space="preserve">u </w:t>
      </w:r>
      <w:r>
        <w:t xml:space="preserve">programovatelných Zařízení platí totéž </w:t>
      </w:r>
      <w:r w:rsidRPr="00920265">
        <w:rPr>
          <w:lang w:eastAsia="en-US" w:bidi="en-US"/>
        </w:rPr>
        <w:t xml:space="preserve">pro </w:t>
      </w:r>
      <w:r>
        <w:t>změny sjednaných výkonových pa</w:t>
      </w:r>
      <w:r>
        <w:t xml:space="preserve">rametrů Zařízení </w:t>
      </w:r>
      <w:r w:rsidRPr="00920265">
        <w:rPr>
          <w:lang w:eastAsia="en-US" w:bidi="en-US"/>
        </w:rPr>
        <w:t xml:space="preserve">a </w:t>
      </w:r>
      <w:r>
        <w:t xml:space="preserve">uživatelských </w:t>
      </w:r>
      <w:r w:rsidRPr="00920265">
        <w:rPr>
          <w:lang w:eastAsia="en-US" w:bidi="en-US"/>
        </w:rPr>
        <w:t xml:space="preserve">dat. </w:t>
      </w:r>
      <w:r>
        <w:t xml:space="preserve">Smluvní </w:t>
      </w:r>
      <w:r>
        <w:rPr>
          <w:lang w:val="en-US" w:eastAsia="en-US" w:bidi="en-US"/>
        </w:rPr>
        <w:t xml:space="preserve">partner </w:t>
      </w:r>
      <w:r>
        <w:t>není opráv</w:t>
      </w:r>
      <w:r>
        <w:softHyphen/>
        <w:t xml:space="preserve">něn </w:t>
      </w:r>
      <w:r>
        <w:rPr>
          <w:lang w:val="en-US" w:eastAsia="en-US" w:bidi="en-US"/>
        </w:rPr>
        <w:t xml:space="preserve">zasahovat do </w:t>
      </w:r>
      <w:r>
        <w:t>propojení Systému.</w:t>
      </w:r>
    </w:p>
    <w:p w:rsidR="00215B20" w:rsidRDefault="00FD0AA3">
      <w:pPr>
        <w:pStyle w:val="Zkladntext1"/>
        <w:numPr>
          <w:ilvl w:val="1"/>
          <w:numId w:val="15"/>
        </w:numPr>
        <w:shd w:val="clear" w:color="auto" w:fill="auto"/>
        <w:tabs>
          <w:tab w:val="left" w:pos="570"/>
        </w:tabs>
        <w:spacing w:after="200" w:line="334" w:lineRule="auto"/>
        <w:ind w:left="580" w:hanging="580"/>
        <w:jc w:val="both"/>
      </w:pPr>
      <w:r>
        <w:t xml:space="preserve">Smluvní </w:t>
      </w:r>
      <w:r w:rsidRPr="00920265">
        <w:rPr>
          <w:lang w:eastAsia="en-US" w:bidi="en-US"/>
        </w:rPr>
        <w:t xml:space="preserve">partner je povinen zajistit </w:t>
      </w:r>
      <w:r>
        <w:t xml:space="preserve">přístup </w:t>
      </w:r>
      <w:r w:rsidRPr="00920265">
        <w:rPr>
          <w:lang w:eastAsia="en-US" w:bidi="en-US"/>
        </w:rPr>
        <w:t xml:space="preserve">TMCZ do budov a prostor, a to za </w:t>
      </w:r>
      <w:r>
        <w:t xml:space="preserve">účelem </w:t>
      </w:r>
      <w:r w:rsidRPr="00920265">
        <w:rPr>
          <w:lang w:eastAsia="en-US" w:bidi="en-US"/>
        </w:rPr>
        <w:t xml:space="preserve">obsluhy a </w:t>
      </w:r>
      <w:r>
        <w:t xml:space="preserve">údržby </w:t>
      </w:r>
      <w:r w:rsidRPr="00920265">
        <w:rPr>
          <w:lang w:eastAsia="en-US" w:bidi="en-US"/>
        </w:rPr>
        <w:t xml:space="preserve">zde </w:t>
      </w:r>
      <w:r>
        <w:t xml:space="preserve">umístěných Zařízení </w:t>
      </w:r>
      <w:r w:rsidRPr="00920265">
        <w:rPr>
          <w:lang w:eastAsia="en-US" w:bidi="en-US"/>
        </w:rPr>
        <w:t xml:space="preserve">TMCZ, </w:t>
      </w:r>
      <w:r>
        <w:t xml:space="preserve">Smluvního </w:t>
      </w:r>
      <w:r w:rsidRPr="00920265">
        <w:rPr>
          <w:lang w:eastAsia="en-US" w:bidi="en-US"/>
        </w:rPr>
        <w:t xml:space="preserve">partnera </w:t>
      </w:r>
      <w:r>
        <w:t>či tř</w:t>
      </w:r>
      <w:r>
        <w:t xml:space="preserve">etích </w:t>
      </w:r>
      <w:r w:rsidRPr="00920265">
        <w:rPr>
          <w:lang w:eastAsia="en-US" w:bidi="en-US"/>
        </w:rPr>
        <w:t xml:space="preserve">stran, </w:t>
      </w:r>
      <w:r>
        <w:t xml:space="preserve">které </w:t>
      </w:r>
      <w:r w:rsidRPr="00920265">
        <w:rPr>
          <w:lang w:eastAsia="en-US" w:bidi="en-US"/>
        </w:rPr>
        <w:t xml:space="preserve">byly v </w:t>
      </w:r>
      <w:r>
        <w:t xml:space="preserve">rámci </w:t>
      </w:r>
      <w:r w:rsidRPr="00920265">
        <w:rPr>
          <w:lang w:eastAsia="en-US" w:bidi="en-US"/>
        </w:rPr>
        <w:t xml:space="preserve">Smlouvy </w:t>
      </w:r>
      <w:r>
        <w:t xml:space="preserve">převzaty </w:t>
      </w:r>
      <w:r w:rsidRPr="00920265">
        <w:rPr>
          <w:lang w:eastAsia="en-US" w:bidi="en-US"/>
        </w:rPr>
        <w:t xml:space="preserve">ze strany TMCZ do </w:t>
      </w:r>
      <w:r>
        <w:t>sprá</w:t>
      </w:r>
      <w:r>
        <w:softHyphen/>
        <w:t>vy</w:t>
      </w:r>
      <w:r w:rsidRPr="00920265">
        <w:rPr>
          <w:lang w:eastAsia="en-US" w:bidi="en-US"/>
        </w:rPr>
        <w:t xml:space="preserve"> nebo </w:t>
      </w:r>
      <w:r>
        <w:t xml:space="preserve">jejichž prostřednictvím </w:t>
      </w:r>
      <w:r w:rsidRPr="00920265">
        <w:rPr>
          <w:lang w:eastAsia="en-US" w:bidi="en-US"/>
        </w:rPr>
        <w:t xml:space="preserve">jsou </w:t>
      </w:r>
      <w:r>
        <w:t xml:space="preserve">poskytovány Služby. </w:t>
      </w:r>
      <w:r w:rsidRPr="00920265">
        <w:rPr>
          <w:lang w:eastAsia="en-US" w:bidi="en-US"/>
        </w:rPr>
        <w:t xml:space="preserve">Pokud nebude </w:t>
      </w:r>
      <w:r>
        <w:t xml:space="preserve">přístup </w:t>
      </w:r>
      <w:r w:rsidRPr="00920265">
        <w:rPr>
          <w:lang w:eastAsia="en-US" w:bidi="en-US"/>
        </w:rPr>
        <w:t xml:space="preserve">pro TMCZ dle </w:t>
      </w:r>
      <w:r>
        <w:t>předchozí věty zajiš</w:t>
      </w:r>
      <w:r>
        <w:softHyphen/>
        <w:t xml:space="preserve">těn, neodpovídá </w:t>
      </w:r>
      <w:r w:rsidRPr="00920265">
        <w:rPr>
          <w:lang w:eastAsia="en-US" w:bidi="en-US"/>
        </w:rPr>
        <w:t xml:space="preserve">po tuto dobu TMCZ za </w:t>
      </w:r>
      <w:r>
        <w:t>případné omezení či přerušení posky</w:t>
      </w:r>
      <w:r>
        <w:t xml:space="preserve">tování Služeb vzniklé </w:t>
      </w:r>
      <w:r w:rsidRPr="00920265">
        <w:rPr>
          <w:lang w:eastAsia="en-US" w:bidi="en-US"/>
        </w:rPr>
        <w:t xml:space="preserve">v </w:t>
      </w:r>
      <w:r>
        <w:t>důsledku neza</w:t>
      </w:r>
      <w:r>
        <w:softHyphen/>
        <w:t>jištění přístupu.</w:t>
      </w:r>
    </w:p>
    <w:p w:rsidR="00215B20" w:rsidRDefault="00FD0AA3">
      <w:pPr>
        <w:pStyle w:val="Zkladntext1"/>
        <w:numPr>
          <w:ilvl w:val="1"/>
          <w:numId w:val="15"/>
        </w:numPr>
        <w:shd w:val="clear" w:color="auto" w:fill="auto"/>
        <w:tabs>
          <w:tab w:val="left" w:pos="570"/>
        </w:tabs>
        <w:spacing w:after="200" w:line="331" w:lineRule="auto"/>
        <w:ind w:left="580" w:hanging="580"/>
        <w:jc w:val="both"/>
      </w:pPr>
      <w:r w:rsidRPr="00920265">
        <w:rPr>
          <w:lang w:eastAsia="en-US" w:bidi="en-US"/>
        </w:rPr>
        <w:t xml:space="preserve">TMCZ je </w:t>
      </w:r>
      <w:r>
        <w:t xml:space="preserve">oprávněn </w:t>
      </w:r>
      <w:r w:rsidRPr="00920265">
        <w:rPr>
          <w:lang w:eastAsia="en-US" w:bidi="en-US"/>
        </w:rPr>
        <w:t xml:space="preserve">i bez souhlasu </w:t>
      </w:r>
      <w:r>
        <w:t xml:space="preserve">Smluvního </w:t>
      </w:r>
      <w:r w:rsidRPr="00920265">
        <w:rPr>
          <w:lang w:eastAsia="en-US" w:bidi="en-US"/>
        </w:rPr>
        <w:t xml:space="preserve">partnera a bez jeho </w:t>
      </w:r>
      <w:r>
        <w:t xml:space="preserve">vyrozumění změnit </w:t>
      </w:r>
      <w:r w:rsidRPr="00920265">
        <w:rPr>
          <w:lang w:eastAsia="en-US" w:bidi="en-US"/>
        </w:rPr>
        <w:t xml:space="preserve">konfiguraci </w:t>
      </w:r>
      <w:r>
        <w:t>Zařízení určené</w:t>
      </w:r>
      <w:r>
        <w:softHyphen/>
        <w:t>ho</w:t>
      </w:r>
      <w:r w:rsidRPr="00920265">
        <w:rPr>
          <w:lang w:eastAsia="en-US" w:bidi="en-US"/>
        </w:rPr>
        <w:t xml:space="preserve"> pro </w:t>
      </w:r>
      <w:r>
        <w:t xml:space="preserve">užívání </w:t>
      </w:r>
      <w:r>
        <w:lastRenderedPageBreak/>
        <w:t xml:space="preserve">Služby Smluvním </w:t>
      </w:r>
      <w:r w:rsidRPr="00920265">
        <w:rPr>
          <w:lang w:eastAsia="en-US" w:bidi="en-US"/>
        </w:rPr>
        <w:t>partnerem.</w:t>
      </w:r>
    </w:p>
    <w:p w:rsidR="00215B20" w:rsidRDefault="00FD0AA3">
      <w:pPr>
        <w:pStyle w:val="Zkladntext1"/>
        <w:numPr>
          <w:ilvl w:val="1"/>
          <w:numId w:val="15"/>
        </w:numPr>
        <w:shd w:val="clear" w:color="auto" w:fill="auto"/>
        <w:tabs>
          <w:tab w:val="left" w:pos="570"/>
        </w:tabs>
        <w:spacing w:after="200" w:line="334" w:lineRule="auto"/>
        <w:ind w:left="580" w:hanging="580"/>
        <w:jc w:val="both"/>
      </w:pPr>
      <w:r w:rsidRPr="00920265">
        <w:rPr>
          <w:lang w:eastAsia="en-US" w:bidi="en-US"/>
        </w:rPr>
        <w:t xml:space="preserve">Je-li </w:t>
      </w:r>
      <w:r>
        <w:t xml:space="preserve">Smluvnímu </w:t>
      </w:r>
      <w:r w:rsidRPr="00920265">
        <w:rPr>
          <w:lang w:eastAsia="en-US" w:bidi="en-US"/>
        </w:rPr>
        <w:t xml:space="preserve">partnerovi poskytnuto do </w:t>
      </w:r>
      <w:r>
        <w:t>užívání Z</w:t>
      </w:r>
      <w:r>
        <w:t xml:space="preserve">ařízení </w:t>
      </w:r>
      <w:r w:rsidRPr="00920265">
        <w:rPr>
          <w:lang w:eastAsia="en-US" w:bidi="en-US"/>
        </w:rPr>
        <w:t xml:space="preserve">TMCZ, pak </w:t>
      </w:r>
      <w:r>
        <w:t xml:space="preserve">provádění </w:t>
      </w:r>
      <w:r w:rsidRPr="00920265">
        <w:rPr>
          <w:lang w:eastAsia="en-US" w:bidi="en-US"/>
        </w:rPr>
        <w:t xml:space="preserve">opravy </w:t>
      </w:r>
      <w:r>
        <w:t xml:space="preserve">takového Zařízení </w:t>
      </w:r>
      <w:r w:rsidRPr="00920265">
        <w:rPr>
          <w:lang w:eastAsia="en-US" w:bidi="en-US"/>
        </w:rPr>
        <w:t xml:space="preserve">nebo </w:t>
      </w:r>
      <w:r>
        <w:t>ne</w:t>
      </w:r>
      <w:r>
        <w:softHyphen/>
        <w:t>jistota</w:t>
      </w:r>
      <w:r w:rsidRPr="00920265">
        <w:rPr>
          <w:lang w:eastAsia="en-US" w:bidi="en-US"/>
        </w:rPr>
        <w:t xml:space="preserve"> </w:t>
      </w:r>
      <w:r>
        <w:t xml:space="preserve">ohledně úrovně </w:t>
      </w:r>
      <w:r w:rsidRPr="00920265">
        <w:rPr>
          <w:lang w:eastAsia="en-US" w:bidi="en-US"/>
        </w:rPr>
        <w:t xml:space="preserve">ochrany </w:t>
      </w:r>
      <w:r>
        <w:t xml:space="preserve">před uplatněním práva třetí </w:t>
      </w:r>
      <w:r w:rsidRPr="00920265">
        <w:rPr>
          <w:lang w:eastAsia="en-US" w:bidi="en-US"/>
        </w:rPr>
        <w:t xml:space="preserve">strany </w:t>
      </w:r>
      <w:r>
        <w:t xml:space="preserve">vůči Zařízení </w:t>
      </w:r>
      <w:r w:rsidRPr="00920265">
        <w:rPr>
          <w:lang w:eastAsia="en-US" w:bidi="en-US"/>
        </w:rPr>
        <w:t xml:space="preserve">TMCZ nebo </w:t>
      </w:r>
      <w:r>
        <w:t xml:space="preserve">zánik Zařízení </w:t>
      </w:r>
      <w:r w:rsidRPr="00920265">
        <w:rPr>
          <w:lang w:eastAsia="en-US" w:bidi="en-US"/>
        </w:rPr>
        <w:t xml:space="preserve">TMCZ </w:t>
      </w:r>
      <w:r>
        <w:t xml:space="preserve">(zčásti </w:t>
      </w:r>
      <w:r w:rsidRPr="00920265">
        <w:rPr>
          <w:lang w:eastAsia="en-US" w:bidi="en-US"/>
        </w:rPr>
        <w:t xml:space="preserve">nebo zcela) </w:t>
      </w:r>
      <w:r>
        <w:t xml:space="preserve">nezakládá Smluvnímu </w:t>
      </w:r>
      <w:r w:rsidRPr="00920265">
        <w:rPr>
          <w:lang w:eastAsia="en-US" w:bidi="en-US"/>
        </w:rPr>
        <w:t xml:space="preserve">partnerovi </w:t>
      </w:r>
      <w:r>
        <w:t xml:space="preserve">právo ukončit </w:t>
      </w:r>
      <w:r w:rsidRPr="00920265">
        <w:rPr>
          <w:lang w:eastAsia="en-US" w:bidi="en-US"/>
        </w:rPr>
        <w:t xml:space="preserve">Smlouvu nebo </w:t>
      </w:r>
      <w:r>
        <w:t xml:space="preserve">Služby, </w:t>
      </w:r>
      <w:r w:rsidRPr="00920265">
        <w:rPr>
          <w:lang w:eastAsia="en-US" w:bidi="en-US"/>
        </w:rPr>
        <w:t xml:space="preserve">z </w:t>
      </w:r>
      <w:r>
        <w:t xml:space="preserve">nichž </w:t>
      </w:r>
      <w:r w:rsidRPr="00920265">
        <w:rPr>
          <w:lang w:eastAsia="en-US" w:bidi="en-US"/>
        </w:rPr>
        <w:t xml:space="preserve">plyne </w:t>
      </w:r>
      <w:r>
        <w:t>oprávnění uží</w:t>
      </w:r>
      <w:r>
        <w:softHyphen/>
        <w:t>vat</w:t>
      </w:r>
      <w:r w:rsidRPr="00920265">
        <w:rPr>
          <w:lang w:eastAsia="en-US" w:bidi="en-US"/>
        </w:rPr>
        <w:t xml:space="preserve"> </w:t>
      </w:r>
      <w:r>
        <w:t xml:space="preserve">Zařízení </w:t>
      </w:r>
      <w:r w:rsidRPr="00920265">
        <w:rPr>
          <w:lang w:eastAsia="en-US" w:bidi="en-US"/>
        </w:rPr>
        <w:t>TMCZ.</w:t>
      </w:r>
    </w:p>
    <w:p w:rsidR="00215B20" w:rsidRDefault="00FD0AA3">
      <w:pPr>
        <w:pStyle w:val="Zkladntext1"/>
        <w:numPr>
          <w:ilvl w:val="1"/>
          <w:numId w:val="15"/>
        </w:numPr>
        <w:shd w:val="clear" w:color="auto" w:fill="auto"/>
        <w:tabs>
          <w:tab w:val="left" w:pos="575"/>
        </w:tabs>
        <w:spacing w:after="200" w:line="334" w:lineRule="auto"/>
        <w:ind w:left="580" w:hanging="580"/>
        <w:jc w:val="both"/>
      </w:pPr>
      <w:r w:rsidRPr="00920265">
        <w:rPr>
          <w:lang w:eastAsia="en-US" w:bidi="en-US"/>
        </w:rPr>
        <w:t xml:space="preserve">Po </w:t>
      </w:r>
      <w:r>
        <w:t xml:space="preserve">ukončení poskytování příslušné Služby </w:t>
      </w:r>
      <w:r w:rsidRPr="00920265">
        <w:rPr>
          <w:lang w:eastAsia="en-US" w:bidi="en-US"/>
        </w:rPr>
        <w:t xml:space="preserve">je </w:t>
      </w:r>
      <w:r>
        <w:t xml:space="preserve">Smluvní </w:t>
      </w:r>
      <w:r w:rsidRPr="00920265">
        <w:rPr>
          <w:lang w:eastAsia="en-US" w:bidi="en-US"/>
        </w:rPr>
        <w:t xml:space="preserve">partner povinen poskytnout TMCZ </w:t>
      </w:r>
      <w:r>
        <w:t xml:space="preserve">součinnost </w:t>
      </w:r>
      <w:r w:rsidRPr="00920265">
        <w:rPr>
          <w:lang w:eastAsia="en-US" w:bidi="en-US"/>
        </w:rPr>
        <w:t xml:space="preserve">k deinsta- laci </w:t>
      </w:r>
      <w:r>
        <w:t xml:space="preserve">Zařízení </w:t>
      </w:r>
      <w:r w:rsidRPr="00920265">
        <w:rPr>
          <w:lang w:eastAsia="en-US" w:bidi="en-US"/>
        </w:rPr>
        <w:t xml:space="preserve">a </w:t>
      </w:r>
      <w:r>
        <w:t xml:space="preserve">vrátit </w:t>
      </w:r>
      <w:r w:rsidRPr="00920265">
        <w:rPr>
          <w:lang w:eastAsia="en-US" w:bidi="en-US"/>
        </w:rPr>
        <w:t xml:space="preserve">TMCZ </w:t>
      </w:r>
      <w:r>
        <w:t xml:space="preserve">veškerá poskytnutá Zařízení </w:t>
      </w:r>
      <w:r w:rsidRPr="00920265">
        <w:rPr>
          <w:lang w:eastAsia="en-US" w:bidi="en-US"/>
        </w:rPr>
        <w:t xml:space="preserve">a </w:t>
      </w:r>
      <w:r>
        <w:t xml:space="preserve">jiné věci </w:t>
      </w:r>
      <w:r w:rsidRPr="00920265">
        <w:rPr>
          <w:lang w:eastAsia="en-US" w:bidi="en-US"/>
        </w:rPr>
        <w:t xml:space="preserve">a </w:t>
      </w:r>
      <w:r>
        <w:t>rovněž přestat využívat p</w:t>
      </w:r>
      <w:r>
        <w:t xml:space="preserve">ráva, která </w:t>
      </w:r>
      <w:r w:rsidRPr="00920265">
        <w:rPr>
          <w:lang w:eastAsia="en-US" w:bidi="en-US"/>
        </w:rPr>
        <w:t xml:space="preserve">mu byla od TMCZ poskytnuta za </w:t>
      </w:r>
      <w:r>
        <w:t xml:space="preserve">účelem poskytování Služeb. Neposkytnutí součinnosti má </w:t>
      </w:r>
      <w:r w:rsidRPr="00920265">
        <w:rPr>
          <w:lang w:eastAsia="en-US" w:bidi="en-US"/>
        </w:rPr>
        <w:t xml:space="preserve">za </w:t>
      </w:r>
      <w:r>
        <w:t xml:space="preserve">následek </w:t>
      </w:r>
      <w:r w:rsidRPr="00920265">
        <w:rPr>
          <w:lang w:eastAsia="en-US" w:bidi="en-US"/>
        </w:rPr>
        <w:t xml:space="preserve">zejm. </w:t>
      </w:r>
      <w:r>
        <w:t xml:space="preserve">přenesení nebezpečí škody způsobené Zařízením </w:t>
      </w:r>
      <w:r w:rsidRPr="00920265">
        <w:rPr>
          <w:lang w:eastAsia="en-US" w:bidi="en-US"/>
        </w:rPr>
        <w:t xml:space="preserve">na </w:t>
      </w:r>
      <w:r>
        <w:t>Smluvního part</w:t>
      </w:r>
      <w:r>
        <w:softHyphen/>
        <w:t>nera,</w:t>
      </w:r>
      <w:r w:rsidRPr="00920265">
        <w:rPr>
          <w:lang w:eastAsia="en-US" w:bidi="en-US"/>
        </w:rPr>
        <w:t xml:space="preserve"> a to </w:t>
      </w:r>
      <w:r>
        <w:t xml:space="preserve">až </w:t>
      </w:r>
      <w:r w:rsidRPr="00920265">
        <w:rPr>
          <w:lang w:eastAsia="en-US" w:bidi="en-US"/>
        </w:rPr>
        <w:t xml:space="preserve">do doby </w:t>
      </w:r>
      <w:r>
        <w:t xml:space="preserve">řádné </w:t>
      </w:r>
      <w:r w:rsidRPr="00920265">
        <w:rPr>
          <w:lang w:eastAsia="en-US" w:bidi="en-US"/>
        </w:rPr>
        <w:t>deinstalace.</w:t>
      </w:r>
    </w:p>
    <w:p w:rsidR="00215B20" w:rsidRDefault="00FD0AA3">
      <w:pPr>
        <w:pStyle w:val="Zkladntext1"/>
        <w:numPr>
          <w:ilvl w:val="1"/>
          <w:numId w:val="15"/>
        </w:numPr>
        <w:shd w:val="clear" w:color="auto" w:fill="auto"/>
        <w:tabs>
          <w:tab w:val="left" w:pos="575"/>
        </w:tabs>
        <w:spacing w:after="200" w:line="334" w:lineRule="auto"/>
        <w:ind w:left="580" w:hanging="580"/>
        <w:jc w:val="both"/>
      </w:pPr>
      <w:r w:rsidRPr="00920265">
        <w:rPr>
          <w:lang w:eastAsia="en-US" w:bidi="en-US"/>
        </w:rPr>
        <w:t xml:space="preserve">Pro </w:t>
      </w:r>
      <w:r>
        <w:t xml:space="preserve">vyloučení pochybností </w:t>
      </w:r>
      <w:r w:rsidRPr="00920265">
        <w:rPr>
          <w:lang w:eastAsia="en-US" w:bidi="en-US"/>
        </w:rPr>
        <w:t xml:space="preserve">se </w:t>
      </w:r>
      <w:r>
        <w:t>stanoví</w:t>
      </w:r>
      <w:r>
        <w:t xml:space="preserve">, že </w:t>
      </w:r>
      <w:r w:rsidRPr="00920265">
        <w:rPr>
          <w:lang w:eastAsia="en-US" w:bidi="en-US"/>
        </w:rPr>
        <w:t xml:space="preserve">provoz </w:t>
      </w:r>
      <w:r>
        <w:t xml:space="preserve">Smluvního </w:t>
      </w:r>
      <w:r w:rsidRPr="00920265">
        <w:rPr>
          <w:lang w:eastAsia="en-US" w:bidi="en-US"/>
        </w:rPr>
        <w:t xml:space="preserve">partnera </w:t>
      </w:r>
      <w:r>
        <w:t xml:space="preserve">realizovaný </w:t>
      </w:r>
      <w:r w:rsidRPr="00920265">
        <w:rPr>
          <w:lang w:eastAsia="en-US" w:bidi="en-US"/>
        </w:rPr>
        <w:t xml:space="preserve">v </w:t>
      </w:r>
      <w:r>
        <w:t xml:space="preserve">rámci Služby, </w:t>
      </w:r>
      <w:r w:rsidRPr="00920265">
        <w:rPr>
          <w:lang w:eastAsia="en-US" w:bidi="en-US"/>
        </w:rPr>
        <w:t xml:space="preserve">pokud byl na </w:t>
      </w:r>
      <w:r>
        <w:t>konco</w:t>
      </w:r>
      <w:r>
        <w:softHyphen/>
        <w:t xml:space="preserve">vý </w:t>
      </w:r>
      <w:r w:rsidRPr="00920265">
        <w:rPr>
          <w:lang w:eastAsia="en-US" w:bidi="en-US"/>
        </w:rPr>
        <w:t xml:space="preserve">bod </w:t>
      </w:r>
      <w:r>
        <w:t xml:space="preserve">Služby či jiné rozhraní Služby předán </w:t>
      </w:r>
      <w:r w:rsidRPr="00920265">
        <w:rPr>
          <w:lang w:eastAsia="en-US" w:bidi="en-US"/>
        </w:rPr>
        <w:t xml:space="preserve">ze </w:t>
      </w:r>
      <w:r>
        <w:t xml:space="preserve">Zařízení, které není </w:t>
      </w:r>
      <w:r w:rsidRPr="00920265">
        <w:rPr>
          <w:lang w:eastAsia="en-US" w:bidi="en-US"/>
        </w:rPr>
        <w:t xml:space="preserve">pod </w:t>
      </w:r>
      <w:r>
        <w:t xml:space="preserve">výlučnou </w:t>
      </w:r>
      <w:r w:rsidRPr="00920265">
        <w:rPr>
          <w:lang w:eastAsia="en-US" w:bidi="en-US"/>
        </w:rPr>
        <w:t xml:space="preserve">kontrolou TMCZ nebo jeho </w:t>
      </w:r>
      <w:r>
        <w:t>sub</w:t>
      </w:r>
      <w:r>
        <w:softHyphen/>
        <w:t>dodavatele,</w:t>
      </w:r>
      <w:r w:rsidRPr="00920265">
        <w:rPr>
          <w:lang w:eastAsia="en-US" w:bidi="en-US"/>
        </w:rPr>
        <w:t xml:space="preserve"> se </w:t>
      </w:r>
      <w:r>
        <w:t xml:space="preserve">považuje </w:t>
      </w:r>
      <w:r w:rsidRPr="00920265">
        <w:rPr>
          <w:lang w:eastAsia="en-US" w:bidi="en-US"/>
        </w:rPr>
        <w:t xml:space="preserve">za provoz </w:t>
      </w:r>
      <w:r>
        <w:t xml:space="preserve">záměrně generovaný Smluvním </w:t>
      </w:r>
      <w:r w:rsidRPr="00920265">
        <w:rPr>
          <w:lang w:eastAsia="en-US" w:bidi="en-US"/>
        </w:rPr>
        <w:t>partn</w:t>
      </w:r>
      <w:r w:rsidRPr="00920265">
        <w:rPr>
          <w:lang w:eastAsia="en-US" w:bidi="en-US"/>
        </w:rPr>
        <w:t>erem.</w:t>
      </w:r>
    </w:p>
    <w:p w:rsidR="00215B20" w:rsidRDefault="00FD0AA3">
      <w:pPr>
        <w:pStyle w:val="Zkladntext1"/>
        <w:numPr>
          <w:ilvl w:val="1"/>
          <w:numId w:val="15"/>
        </w:numPr>
        <w:shd w:val="clear" w:color="auto" w:fill="auto"/>
        <w:tabs>
          <w:tab w:val="left" w:pos="575"/>
        </w:tabs>
        <w:spacing w:after="200" w:line="334" w:lineRule="auto"/>
        <w:ind w:left="580" w:hanging="580"/>
        <w:jc w:val="both"/>
      </w:pPr>
      <w:r w:rsidRPr="00920265">
        <w:rPr>
          <w:lang w:eastAsia="en-US" w:bidi="en-US"/>
        </w:rPr>
        <w:t xml:space="preserve">Pokud </w:t>
      </w:r>
      <w:r>
        <w:t xml:space="preserve">není </w:t>
      </w:r>
      <w:r w:rsidRPr="00920265">
        <w:rPr>
          <w:lang w:eastAsia="en-US" w:bidi="en-US"/>
        </w:rPr>
        <w:t xml:space="preserve">ve </w:t>
      </w:r>
      <w:r>
        <w:t xml:space="preserve">Smlouvě výslovně sjednáno </w:t>
      </w:r>
      <w:r w:rsidRPr="00920265">
        <w:rPr>
          <w:lang w:eastAsia="en-US" w:bidi="en-US"/>
        </w:rPr>
        <w:t xml:space="preserve">jinak, TMCZ je </w:t>
      </w:r>
      <w:r>
        <w:t xml:space="preserve">oprávněn </w:t>
      </w:r>
      <w:r w:rsidRPr="00920265">
        <w:rPr>
          <w:lang w:eastAsia="en-US" w:bidi="en-US"/>
        </w:rPr>
        <w:t xml:space="preserve">v </w:t>
      </w:r>
      <w:r>
        <w:t xml:space="preserve">případě, že při zřízení </w:t>
      </w:r>
      <w:r w:rsidRPr="00920265">
        <w:rPr>
          <w:lang w:eastAsia="en-US" w:bidi="en-US"/>
        </w:rPr>
        <w:t xml:space="preserve">a/nebo v </w:t>
      </w:r>
      <w:r>
        <w:t>průběhu plat</w:t>
      </w:r>
      <w:r>
        <w:softHyphen/>
        <w:t>nosti</w:t>
      </w:r>
      <w:r w:rsidRPr="00920265">
        <w:rPr>
          <w:lang w:eastAsia="en-US" w:bidi="en-US"/>
        </w:rPr>
        <w:t xml:space="preserve"> Specifikace </w:t>
      </w:r>
      <w:r>
        <w:t xml:space="preserve">služby </w:t>
      </w:r>
      <w:r w:rsidRPr="00920265">
        <w:rPr>
          <w:lang w:eastAsia="en-US" w:bidi="en-US"/>
        </w:rPr>
        <w:t xml:space="preserve">dojde k </w:t>
      </w:r>
      <w:r>
        <w:t xml:space="preserve">nemožnosti poskytování Služby </w:t>
      </w:r>
      <w:r w:rsidRPr="00920265">
        <w:rPr>
          <w:lang w:eastAsia="en-US" w:bidi="en-US"/>
        </w:rPr>
        <w:t xml:space="preserve">z </w:t>
      </w:r>
      <w:r>
        <w:t>důvodu nezajištění potřebného povolení stát</w:t>
      </w:r>
      <w:r>
        <w:softHyphen/>
        <w:t xml:space="preserve">ního orgánu </w:t>
      </w:r>
      <w:r w:rsidRPr="00920265">
        <w:rPr>
          <w:lang w:eastAsia="en-US" w:bidi="en-US"/>
        </w:rPr>
        <w:t xml:space="preserve">nebo </w:t>
      </w:r>
      <w:r>
        <w:t xml:space="preserve">nezajištění </w:t>
      </w:r>
      <w:r w:rsidRPr="00920265">
        <w:rPr>
          <w:lang w:eastAsia="en-US" w:bidi="en-US"/>
        </w:rPr>
        <w:t xml:space="preserve">souhlasu majitele objektu </w:t>
      </w:r>
      <w:r>
        <w:t xml:space="preserve">Smluvním </w:t>
      </w:r>
      <w:r w:rsidRPr="00920265">
        <w:rPr>
          <w:lang w:eastAsia="en-US" w:bidi="en-US"/>
        </w:rPr>
        <w:t xml:space="preserve">partnerem, je TMCZ </w:t>
      </w:r>
      <w:r>
        <w:t xml:space="preserve">oprávněn </w:t>
      </w:r>
      <w:r w:rsidRPr="00920265">
        <w:rPr>
          <w:lang w:eastAsia="en-US" w:bidi="en-US"/>
        </w:rPr>
        <w:t xml:space="preserve">od Specifikace </w:t>
      </w:r>
      <w:r>
        <w:t xml:space="preserve">služby </w:t>
      </w:r>
      <w:r w:rsidRPr="00920265">
        <w:rPr>
          <w:lang w:eastAsia="en-US" w:bidi="en-US"/>
        </w:rPr>
        <w:t xml:space="preserve">odstoupit a uplatnit </w:t>
      </w:r>
      <w:r>
        <w:t xml:space="preserve">vůči Smluvnímu </w:t>
      </w:r>
      <w:r w:rsidRPr="00920265">
        <w:rPr>
          <w:lang w:eastAsia="en-US" w:bidi="en-US"/>
        </w:rPr>
        <w:t xml:space="preserve">partnerovi </w:t>
      </w:r>
      <w:r>
        <w:t>ná</w:t>
      </w:r>
      <w:r>
        <w:softHyphen/>
        <w:t>rok</w:t>
      </w:r>
      <w:r w:rsidRPr="00920265">
        <w:rPr>
          <w:lang w:eastAsia="en-US" w:bidi="en-US"/>
        </w:rPr>
        <w:t xml:space="preserve"> na kompenzaci ve </w:t>
      </w:r>
      <w:r>
        <w:t>výši prokazatelných, marně vynalo</w:t>
      </w:r>
      <w:r>
        <w:softHyphen/>
        <w:t xml:space="preserve">žených nákladů </w:t>
      </w:r>
      <w:r w:rsidRPr="00920265">
        <w:rPr>
          <w:lang w:eastAsia="en-US" w:bidi="en-US"/>
        </w:rPr>
        <w:t xml:space="preserve">za </w:t>
      </w:r>
      <w:r>
        <w:t xml:space="preserve">zřízení Služby (při ukončení </w:t>
      </w:r>
      <w:r w:rsidRPr="00920265">
        <w:rPr>
          <w:lang w:eastAsia="en-US" w:bidi="en-US"/>
        </w:rPr>
        <w:t xml:space="preserve">Specifikace </w:t>
      </w:r>
      <w:r>
        <w:t xml:space="preserve">služby </w:t>
      </w:r>
      <w:r w:rsidRPr="00920265">
        <w:rPr>
          <w:lang w:eastAsia="en-US" w:bidi="en-US"/>
        </w:rPr>
        <w:t xml:space="preserve">po </w:t>
      </w:r>
      <w:r>
        <w:t xml:space="preserve">zřízení Služby </w:t>
      </w:r>
      <w:r w:rsidRPr="00920265">
        <w:rPr>
          <w:lang w:eastAsia="en-US" w:bidi="en-US"/>
        </w:rPr>
        <w:t xml:space="preserve">se </w:t>
      </w:r>
      <w:r>
        <w:t xml:space="preserve">náklady </w:t>
      </w:r>
      <w:r w:rsidRPr="00920265">
        <w:rPr>
          <w:lang w:eastAsia="en-US" w:bidi="en-US"/>
        </w:rPr>
        <w:t xml:space="preserve">TMCZ </w:t>
      </w:r>
      <w:r>
        <w:t xml:space="preserve">zohlední </w:t>
      </w:r>
      <w:r w:rsidRPr="00920265">
        <w:rPr>
          <w:lang w:eastAsia="en-US" w:bidi="en-US"/>
        </w:rPr>
        <w:t xml:space="preserve">v </w:t>
      </w:r>
      <w:r>
        <w:t>po</w:t>
      </w:r>
      <w:r>
        <w:softHyphen/>
        <w:t xml:space="preserve">měrné výši, </w:t>
      </w:r>
      <w:r w:rsidRPr="00920265">
        <w:rPr>
          <w:lang w:eastAsia="en-US" w:bidi="en-US"/>
        </w:rPr>
        <w:t xml:space="preserve">kdy </w:t>
      </w:r>
      <w:r>
        <w:t xml:space="preserve">poměr </w:t>
      </w:r>
      <w:r w:rsidRPr="00920265">
        <w:rPr>
          <w:lang w:eastAsia="en-US" w:bidi="en-US"/>
        </w:rPr>
        <w:t xml:space="preserve">je </w:t>
      </w:r>
      <w:r>
        <w:t xml:space="preserve">určen </w:t>
      </w:r>
      <w:r w:rsidRPr="00920265">
        <w:rPr>
          <w:lang w:eastAsia="en-US" w:bidi="en-US"/>
        </w:rPr>
        <w:t xml:space="preserve">dle doby </w:t>
      </w:r>
      <w:r>
        <w:t xml:space="preserve">užívání Služby Smluvním </w:t>
      </w:r>
      <w:r w:rsidRPr="00920265">
        <w:rPr>
          <w:lang w:eastAsia="en-US" w:bidi="en-US"/>
        </w:rPr>
        <w:t xml:space="preserve">parterem a </w:t>
      </w:r>
      <w:r>
        <w:t xml:space="preserve">sjednané minimální </w:t>
      </w:r>
      <w:r w:rsidRPr="00920265">
        <w:rPr>
          <w:lang w:eastAsia="en-US" w:bidi="en-US"/>
        </w:rPr>
        <w:t xml:space="preserve">doby </w:t>
      </w:r>
      <w:r>
        <w:t xml:space="preserve">užívání Služby). </w:t>
      </w:r>
      <w:r w:rsidRPr="00920265">
        <w:rPr>
          <w:lang w:eastAsia="en-US" w:bidi="en-US"/>
        </w:rPr>
        <w:t xml:space="preserve">V </w:t>
      </w:r>
      <w:r>
        <w:t xml:space="preserve">případě, že </w:t>
      </w:r>
      <w:r w:rsidRPr="00920265">
        <w:rPr>
          <w:lang w:eastAsia="en-US" w:bidi="en-US"/>
        </w:rPr>
        <w:t xml:space="preserve">v </w:t>
      </w:r>
      <w:r>
        <w:t xml:space="preserve">průběhu </w:t>
      </w:r>
      <w:r w:rsidRPr="00920265">
        <w:rPr>
          <w:lang w:eastAsia="en-US" w:bidi="en-US"/>
        </w:rPr>
        <w:t xml:space="preserve">platnosti Specifikace </w:t>
      </w:r>
      <w:r>
        <w:t xml:space="preserve">služby </w:t>
      </w:r>
      <w:r w:rsidRPr="00920265">
        <w:rPr>
          <w:lang w:eastAsia="en-US" w:bidi="en-US"/>
        </w:rPr>
        <w:t xml:space="preserve">dojde k </w:t>
      </w:r>
      <w:r>
        <w:t xml:space="preserve">navýšení nákladů </w:t>
      </w:r>
      <w:r w:rsidRPr="00920265">
        <w:rPr>
          <w:lang w:eastAsia="en-US" w:bidi="en-US"/>
        </w:rPr>
        <w:t xml:space="preserve">TMCZ na </w:t>
      </w:r>
      <w:r>
        <w:t>poskyt</w:t>
      </w:r>
      <w:r>
        <w:t xml:space="preserve">ování Služby </w:t>
      </w:r>
      <w:r w:rsidRPr="00920265">
        <w:rPr>
          <w:lang w:eastAsia="en-US" w:bidi="en-US"/>
        </w:rPr>
        <w:t xml:space="preserve">z </w:t>
      </w:r>
      <w:r>
        <w:t>důvodu nezajištění potřebného povolení stát</w:t>
      </w:r>
      <w:r>
        <w:softHyphen/>
        <w:t xml:space="preserve">ního orgánu </w:t>
      </w:r>
      <w:r w:rsidRPr="00920265">
        <w:rPr>
          <w:lang w:eastAsia="en-US" w:bidi="en-US"/>
        </w:rPr>
        <w:t xml:space="preserve">nebo </w:t>
      </w:r>
      <w:r>
        <w:t xml:space="preserve">nezajištění </w:t>
      </w:r>
      <w:r w:rsidRPr="00920265">
        <w:rPr>
          <w:lang w:eastAsia="en-US" w:bidi="en-US"/>
        </w:rPr>
        <w:t xml:space="preserve">souhlasu majitele objektu </w:t>
      </w:r>
      <w:r>
        <w:t xml:space="preserve">Smluvním </w:t>
      </w:r>
      <w:r w:rsidRPr="00920265">
        <w:rPr>
          <w:lang w:eastAsia="en-US" w:bidi="en-US"/>
        </w:rPr>
        <w:t xml:space="preserve">partnerem a/nebo z </w:t>
      </w:r>
      <w:r>
        <w:t>důvodu nepřiměřených podmínek (zejména nepřiměřeného nájemného) uplat</w:t>
      </w:r>
      <w:r>
        <w:softHyphen/>
        <w:t xml:space="preserve">ňovaných </w:t>
      </w:r>
      <w:r w:rsidRPr="00920265">
        <w:rPr>
          <w:lang w:eastAsia="en-US" w:bidi="en-US"/>
        </w:rPr>
        <w:t xml:space="preserve">majitelem objektu </w:t>
      </w:r>
      <w:r>
        <w:t xml:space="preserve">vůči </w:t>
      </w:r>
      <w:r w:rsidRPr="00920265">
        <w:rPr>
          <w:lang w:eastAsia="en-US" w:bidi="en-US"/>
        </w:rPr>
        <w:t>TMCZ, je TMC</w:t>
      </w:r>
      <w:r w:rsidRPr="00920265">
        <w:rPr>
          <w:lang w:eastAsia="en-US" w:bidi="en-US"/>
        </w:rPr>
        <w:t xml:space="preserve">Z </w:t>
      </w:r>
      <w:r>
        <w:t>opráv</w:t>
      </w:r>
      <w:r>
        <w:softHyphen/>
        <w:t xml:space="preserve">něn </w:t>
      </w:r>
      <w:r w:rsidRPr="00920265">
        <w:rPr>
          <w:lang w:eastAsia="en-US" w:bidi="en-US"/>
        </w:rPr>
        <w:t xml:space="preserve">uplatnit </w:t>
      </w:r>
      <w:r>
        <w:t xml:space="preserve">vůči Smluvnímu </w:t>
      </w:r>
      <w:r w:rsidRPr="00920265">
        <w:rPr>
          <w:lang w:eastAsia="en-US" w:bidi="en-US"/>
        </w:rPr>
        <w:t xml:space="preserve">partnerovi, a to i </w:t>
      </w:r>
      <w:r>
        <w:t xml:space="preserve">opakovaně (např. měsíčně), nárok </w:t>
      </w:r>
      <w:r w:rsidRPr="00920265">
        <w:rPr>
          <w:lang w:eastAsia="en-US" w:bidi="en-US"/>
        </w:rPr>
        <w:t xml:space="preserve">na kompenzaci ve </w:t>
      </w:r>
      <w:r>
        <w:t xml:space="preserve">výši navýšených nákladů </w:t>
      </w:r>
      <w:r w:rsidRPr="00920265">
        <w:rPr>
          <w:lang w:eastAsia="en-US" w:bidi="en-US"/>
        </w:rPr>
        <w:t xml:space="preserve">TMCZ na </w:t>
      </w:r>
      <w:r>
        <w:t xml:space="preserve">poskytování Služby. Ujednání </w:t>
      </w:r>
      <w:r w:rsidRPr="00920265">
        <w:rPr>
          <w:lang w:eastAsia="en-US" w:bidi="en-US"/>
        </w:rPr>
        <w:t xml:space="preserve">tohoto </w:t>
      </w:r>
      <w:r>
        <w:t xml:space="preserve">článku Podmínek </w:t>
      </w:r>
      <w:r w:rsidRPr="00920265">
        <w:rPr>
          <w:lang w:eastAsia="en-US" w:bidi="en-US"/>
        </w:rPr>
        <w:t xml:space="preserve">se </w:t>
      </w:r>
      <w:r>
        <w:t xml:space="preserve">neuplatní </w:t>
      </w:r>
      <w:r w:rsidRPr="00920265">
        <w:rPr>
          <w:lang w:eastAsia="en-US" w:bidi="en-US"/>
        </w:rPr>
        <w:t xml:space="preserve">na Smlouvy </w:t>
      </w:r>
      <w:r>
        <w:t xml:space="preserve">sjednané </w:t>
      </w:r>
      <w:r w:rsidRPr="00920265">
        <w:rPr>
          <w:lang w:eastAsia="en-US" w:bidi="en-US"/>
        </w:rPr>
        <w:t xml:space="preserve">pro </w:t>
      </w:r>
      <w:r>
        <w:t>plnění veřejné zakázky.</w:t>
      </w:r>
    </w:p>
    <w:p w:rsidR="00215B20" w:rsidRDefault="00FD0AA3">
      <w:pPr>
        <w:pStyle w:val="Nadpis60"/>
        <w:keepNext/>
        <w:keepLines/>
        <w:numPr>
          <w:ilvl w:val="0"/>
          <w:numId w:val="15"/>
        </w:numPr>
        <w:shd w:val="clear" w:color="auto" w:fill="auto"/>
        <w:tabs>
          <w:tab w:val="left" w:pos="575"/>
        </w:tabs>
        <w:spacing w:after="0" w:line="334" w:lineRule="auto"/>
        <w:ind w:left="580" w:hanging="580"/>
        <w:jc w:val="both"/>
      </w:pPr>
      <w:bookmarkStart w:id="241" w:name="bookmark240"/>
      <w:bookmarkStart w:id="242" w:name="bookmark241"/>
      <w:r>
        <w:rPr>
          <w:color w:val="EC018B"/>
        </w:rPr>
        <w:t xml:space="preserve">Odpovědnost smluvních </w:t>
      </w:r>
      <w:r w:rsidRPr="00920265">
        <w:rPr>
          <w:color w:val="EC018B"/>
          <w:lang w:eastAsia="en-US" w:bidi="en-US"/>
        </w:rPr>
        <w:t xml:space="preserve">stran, </w:t>
      </w:r>
      <w:r>
        <w:rPr>
          <w:color w:val="EC018B"/>
        </w:rPr>
        <w:t>podstatné porušení povinností, ukončení smlouvy</w:t>
      </w:r>
      <w:bookmarkEnd w:id="241"/>
      <w:bookmarkEnd w:id="242"/>
    </w:p>
    <w:p w:rsidR="00215B20" w:rsidRDefault="00FD0AA3">
      <w:pPr>
        <w:pStyle w:val="Zkladntext1"/>
        <w:numPr>
          <w:ilvl w:val="1"/>
          <w:numId w:val="15"/>
        </w:numPr>
        <w:shd w:val="clear" w:color="auto" w:fill="auto"/>
        <w:tabs>
          <w:tab w:val="left" w:pos="575"/>
        </w:tabs>
        <w:spacing w:after="200" w:line="334" w:lineRule="auto"/>
        <w:ind w:left="580" w:hanging="580"/>
        <w:jc w:val="both"/>
      </w:pPr>
      <w:r>
        <w:t>Není-li stanoveno jinak, pak žádná ze Smluvních stran není odpovědná a není ani v prodlení s plněním svých povin</w:t>
      </w:r>
      <w:r>
        <w:softHyphen/>
        <w:t xml:space="preserve">ností v případě, že k takovému prodlení došlo v důsledku porušení </w:t>
      </w:r>
      <w:r>
        <w:t>povinností druhé strany.</w:t>
      </w:r>
    </w:p>
    <w:p w:rsidR="00215B20" w:rsidRDefault="00FD0AA3">
      <w:pPr>
        <w:pStyle w:val="Zkladntext1"/>
        <w:numPr>
          <w:ilvl w:val="1"/>
          <w:numId w:val="15"/>
        </w:numPr>
        <w:shd w:val="clear" w:color="auto" w:fill="auto"/>
        <w:tabs>
          <w:tab w:val="left" w:pos="575"/>
        </w:tabs>
        <w:spacing w:after="200" w:line="334" w:lineRule="auto"/>
        <w:ind w:left="580" w:hanging="580"/>
        <w:jc w:val="both"/>
      </w:pPr>
      <w:r>
        <w:t>Odpovědnost TMCZ za škodu se ve vztahu ke službám elektronických komunikací řídí ustanovením § 64 odst. 12 zákona č. 127/2005 Sb., o elektronických komunikacích, ve znění účinném ke dni účinnosti těchto Podmínek Firemního řešení.</w:t>
      </w:r>
      <w:r>
        <w:br w:type="page"/>
      </w:r>
    </w:p>
    <w:p w:rsidR="00215B20" w:rsidRDefault="00FD0AA3">
      <w:pPr>
        <w:pStyle w:val="Zkladntext1"/>
        <w:shd w:val="clear" w:color="auto" w:fill="auto"/>
        <w:spacing w:after="220" w:line="334" w:lineRule="auto"/>
        <w:jc w:val="both"/>
      </w:pPr>
      <w:r>
        <w:rPr>
          <w:noProof/>
          <w:lang w:bidi="ar-SA"/>
        </w:rPr>
        <w:lastRenderedPageBreak/>
        <mc:AlternateContent>
          <mc:Choice Requires="wps">
            <w:drawing>
              <wp:anchor distT="165100" distB="254000" distL="165100" distR="165100" simplePos="0" relativeHeight="125829421" behindDoc="0" locked="0" layoutInCell="1" allowOverlap="1">
                <wp:simplePos x="0" y="0"/>
                <wp:positionH relativeFrom="page">
                  <wp:posOffset>513715</wp:posOffset>
                </wp:positionH>
                <wp:positionV relativeFrom="margin">
                  <wp:posOffset>6350</wp:posOffset>
                </wp:positionV>
                <wp:extent cx="3590290" cy="8568055"/>
                <wp:effectExtent l="0" t="0" r="0" b="0"/>
                <wp:wrapSquare wrapText="bothSides"/>
                <wp:docPr id="352" name="Shape 352"/>
                <wp:cNvGraphicFramePr/>
                <a:graphic xmlns:a="http://schemas.openxmlformats.org/drawingml/2006/main">
                  <a:graphicData uri="http://schemas.microsoft.com/office/word/2010/wordprocessingShape">
                    <wps:wsp>
                      <wps:cNvSpPr txBox="1"/>
                      <wps:spPr>
                        <a:xfrm>
                          <a:off x="0" y="0"/>
                          <a:ext cx="3590290" cy="8568055"/>
                        </a:xfrm>
                        <a:prstGeom prst="rect">
                          <a:avLst/>
                        </a:prstGeom>
                        <a:noFill/>
                      </wps:spPr>
                      <wps:txbx>
                        <w:txbxContent>
                          <w:p w:rsidR="00215B20" w:rsidRDefault="00FD0AA3">
                            <w:pPr>
                              <w:pStyle w:val="Zkladntext1"/>
                              <w:numPr>
                                <w:ilvl w:val="0"/>
                                <w:numId w:val="33"/>
                              </w:numPr>
                              <w:shd w:val="clear" w:color="auto" w:fill="auto"/>
                              <w:tabs>
                                <w:tab w:val="left" w:pos="566"/>
                              </w:tabs>
                              <w:spacing w:after="0" w:line="334" w:lineRule="auto"/>
                              <w:ind w:left="580" w:hanging="580"/>
                              <w:jc w:val="both"/>
                            </w:pPr>
                            <w:r>
                              <w:t xml:space="preserve">Jestliže Smluvnímu </w:t>
                            </w:r>
                            <w:r>
                              <w:rPr>
                                <w:lang w:val="en-US" w:eastAsia="en-US" w:bidi="en-US"/>
                              </w:rPr>
                              <w:t xml:space="preserve">partnerovi </w:t>
                            </w:r>
                            <w:r>
                              <w:t xml:space="preserve">hrozí </w:t>
                            </w:r>
                            <w:r>
                              <w:rPr>
                                <w:lang w:val="en-US" w:eastAsia="en-US" w:bidi="en-US"/>
                              </w:rPr>
                              <w:t xml:space="preserve">nebo </w:t>
                            </w:r>
                            <w:r>
                              <w:t xml:space="preserve">vzniká újma, </w:t>
                            </w:r>
                            <w:r>
                              <w:rPr>
                                <w:lang w:val="en-US" w:eastAsia="en-US" w:bidi="en-US"/>
                              </w:rPr>
                              <w:t xml:space="preserve">je tento povinen bez </w:t>
                            </w:r>
                            <w:r>
                              <w:t xml:space="preserve">prodlení učinit </w:t>
                            </w:r>
                            <w:r>
                              <w:rPr>
                                <w:lang w:val="en-US" w:eastAsia="en-US" w:bidi="en-US"/>
                              </w:rPr>
                              <w:t xml:space="preserve">s </w:t>
                            </w:r>
                            <w:r>
                              <w:t xml:space="preserve">přihlédnutím </w:t>
                            </w:r>
                            <w:r>
                              <w:rPr>
                                <w:lang w:val="en-US" w:eastAsia="en-US" w:bidi="en-US"/>
                              </w:rPr>
                              <w:t xml:space="preserve">k </w:t>
                            </w:r>
                            <w:r>
                              <w:t>okol</w:t>
                            </w:r>
                            <w:r>
                              <w:softHyphen/>
                              <w:t>nostem</w:t>
                            </w:r>
                            <w:r>
                              <w:rPr>
                                <w:lang w:val="en-US" w:eastAsia="en-US" w:bidi="en-US"/>
                              </w:rPr>
                              <w:t xml:space="preserve"> </w:t>
                            </w:r>
                            <w:r>
                              <w:t xml:space="preserve">veškerá opatření potřebná </w:t>
                            </w:r>
                            <w:r>
                              <w:rPr>
                                <w:lang w:val="en-US" w:eastAsia="en-US" w:bidi="en-US"/>
                              </w:rPr>
                              <w:t xml:space="preserve">k </w:t>
                            </w:r>
                            <w:r>
                              <w:t xml:space="preserve">odvrácení újmy </w:t>
                            </w:r>
                            <w:r>
                              <w:rPr>
                                <w:lang w:val="en-US" w:eastAsia="en-US" w:bidi="en-US"/>
                              </w:rPr>
                              <w:t xml:space="preserve">nebo k </w:t>
                            </w:r>
                            <w:r>
                              <w:t xml:space="preserve">jejímu zmírnění, </w:t>
                            </w:r>
                            <w:r>
                              <w:rPr>
                                <w:lang w:val="en-US" w:eastAsia="en-US" w:bidi="en-US"/>
                              </w:rPr>
                              <w:t xml:space="preserve">a pokud by </w:t>
                            </w:r>
                            <w:r>
                              <w:t xml:space="preserve">chtěl </w:t>
                            </w:r>
                            <w:r>
                              <w:rPr>
                                <w:lang w:val="en-US" w:eastAsia="en-US" w:bidi="en-US"/>
                              </w:rPr>
                              <w:t xml:space="preserve">v </w:t>
                            </w:r>
                            <w:r>
                              <w:t xml:space="preserve">takových případech vůči </w:t>
                            </w:r>
                            <w:r>
                              <w:rPr>
                                <w:lang w:val="en-US" w:eastAsia="en-US" w:bidi="en-US"/>
                              </w:rPr>
                              <w:t xml:space="preserve">TMCZ uplatnit </w:t>
                            </w:r>
                            <w:r>
                              <w:t xml:space="preserve">nárok </w:t>
                            </w:r>
                            <w:r>
                              <w:rPr>
                                <w:lang w:val="en-US" w:eastAsia="en-US" w:bidi="en-US"/>
                              </w:rPr>
                              <w:t xml:space="preserve">na </w:t>
                            </w:r>
                            <w:r>
                              <w:t xml:space="preserve">náhradu újmy, </w:t>
                            </w:r>
                            <w:r>
                              <w:rPr>
                                <w:lang w:val="en-US" w:eastAsia="en-US" w:bidi="en-US"/>
                              </w:rPr>
                              <w:t xml:space="preserve">potom je </w:t>
                            </w:r>
                            <w:r>
                              <w:t xml:space="preserve">Smluvní </w:t>
                            </w:r>
                            <w:r>
                              <w:rPr>
                                <w:lang w:val="en-US" w:eastAsia="en-US" w:bidi="en-US"/>
                              </w:rPr>
                              <w:t xml:space="preserve">partner </w:t>
                            </w:r>
                            <w:r>
                              <w:t xml:space="preserve">kromě </w:t>
                            </w:r>
                            <w:r>
                              <w:rPr>
                                <w:lang w:val="en-US" w:eastAsia="en-US" w:bidi="en-US"/>
                              </w:rPr>
                              <w:t>toho povinen:</w:t>
                            </w:r>
                          </w:p>
                          <w:p w:rsidR="00215B20" w:rsidRDefault="00FD0AA3">
                            <w:pPr>
                              <w:pStyle w:val="Zkladntext1"/>
                              <w:numPr>
                                <w:ilvl w:val="0"/>
                                <w:numId w:val="34"/>
                              </w:numPr>
                              <w:shd w:val="clear" w:color="auto" w:fill="auto"/>
                              <w:tabs>
                                <w:tab w:val="left" w:pos="868"/>
                              </w:tabs>
                              <w:spacing w:after="0" w:line="334" w:lineRule="auto"/>
                              <w:ind w:left="860" w:hanging="280"/>
                              <w:jc w:val="both"/>
                            </w:pPr>
                            <w:r>
                              <w:t xml:space="preserve">neprodleně </w:t>
                            </w:r>
                            <w:r w:rsidRPr="00920265">
                              <w:rPr>
                                <w:lang w:eastAsia="en-US" w:bidi="en-US"/>
                              </w:rPr>
                              <w:t xml:space="preserve">informovat TMCZ jak o </w:t>
                            </w:r>
                            <w:r>
                              <w:t xml:space="preserve">hrozbě </w:t>
                            </w:r>
                            <w:r w:rsidRPr="00920265">
                              <w:rPr>
                                <w:lang w:eastAsia="en-US" w:bidi="en-US"/>
                              </w:rPr>
                              <w:t xml:space="preserve">a </w:t>
                            </w:r>
                            <w:r>
                              <w:t>příp. vzni</w:t>
                            </w:r>
                            <w:r>
                              <w:softHyphen/>
                              <w:t>ku</w:t>
                            </w:r>
                            <w:r w:rsidRPr="00920265">
                              <w:rPr>
                                <w:lang w:eastAsia="en-US" w:bidi="en-US"/>
                              </w:rPr>
                              <w:t xml:space="preserve"> </w:t>
                            </w:r>
                            <w:r>
                              <w:t xml:space="preserve">újmy, </w:t>
                            </w:r>
                            <w:r w:rsidRPr="00920265">
                              <w:rPr>
                                <w:lang w:eastAsia="en-US" w:bidi="en-US"/>
                              </w:rPr>
                              <w:t xml:space="preserve">tak o </w:t>
                            </w:r>
                            <w:r>
                              <w:t xml:space="preserve">opatřeních učiněných </w:t>
                            </w:r>
                            <w:r w:rsidRPr="00920265">
                              <w:rPr>
                                <w:lang w:eastAsia="en-US" w:bidi="en-US"/>
                              </w:rPr>
                              <w:t xml:space="preserve">k </w:t>
                            </w:r>
                            <w:r>
                              <w:t>odvrácení újmy</w:t>
                            </w:r>
                          </w:p>
                          <w:p w:rsidR="00215B20" w:rsidRDefault="00FD0AA3">
                            <w:pPr>
                              <w:pStyle w:val="Zkladntext1"/>
                              <w:shd w:val="clear" w:color="auto" w:fill="auto"/>
                              <w:tabs>
                                <w:tab w:val="left" w:pos="5348"/>
                              </w:tabs>
                              <w:spacing w:after="0" w:line="334" w:lineRule="auto"/>
                              <w:ind w:firstLine="860"/>
                            </w:pPr>
                            <w:r>
                              <w:rPr>
                                <w:lang w:val="en-US" w:eastAsia="en-US" w:bidi="en-US"/>
                              </w:rPr>
                              <w:t xml:space="preserve">nebo k </w:t>
                            </w:r>
                            <w:r>
                              <w:t xml:space="preserve">jejímu zmírnění; </w:t>
                            </w:r>
                            <w:r>
                              <w:rPr>
                                <w:lang w:val="en-US" w:eastAsia="en-US" w:bidi="en-US"/>
                              </w:rPr>
                              <w:t>a</w:t>
                            </w:r>
                            <w:r>
                              <w:rPr>
                                <w:lang w:val="en-US" w:eastAsia="en-US" w:bidi="en-US"/>
                              </w:rPr>
                              <w:tab/>
                            </w:r>
                            <w:r>
                              <w:rPr>
                                <w:b/>
                                <w:bCs/>
                                <w:lang w:val="en-US" w:eastAsia="en-US" w:bidi="en-US"/>
                              </w:rPr>
                              <w:t>9.7</w:t>
                            </w:r>
                          </w:p>
                          <w:p w:rsidR="00215B20" w:rsidRDefault="00FD0AA3">
                            <w:pPr>
                              <w:pStyle w:val="Zkladntext1"/>
                              <w:numPr>
                                <w:ilvl w:val="0"/>
                                <w:numId w:val="34"/>
                              </w:numPr>
                              <w:shd w:val="clear" w:color="auto" w:fill="auto"/>
                              <w:tabs>
                                <w:tab w:val="left" w:pos="863"/>
                              </w:tabs>
                              <w:spacing w:after="0" w:line="334" w:lineRule="auto"/>
                              <w:ind w:firstLine="580"/>
                              <w:jc w:val="both"/>
                            </w:pPr>
                            <w:r>
                              <w:t xml:space="preserve">pověřeným pracovníkům </w:t>
                            </w:r>
                            <w:r w:rsidRPr="00920265">
                              <w:rPr>
                                <w:lang w:eastAsia="en-US" w:bidi="en-US"/>
                              </w:rPr>
                              <w:t xml:space="preserve">TMCZ, </w:t>
                            </w:r>
                            <w:r>
                              <w:t>orgánům pojišťovny,</w:t>
                            </w:r>
                          </w:p>
                          <w:p w:rsidR="00215B20" w:rsidRDefault="00FD0AA3">
                            <w:pPr>
                              <w:pStyle w:val="Zkladntext1"/>
                              <w:shd w:val="clear" w:color="auto" w:fill="auto"/>
                              <w:tabs>
                                <w:tab w:val="left" w:pos="5348"/>
                              </w:tabs>
                              <w:spacing w:after="0" w:line="334" w:lineRule="auto"/>
                              <w:ind w:left="860" w:firstLine="20"/>
                              <w:jc w:val="both"/>
                            </w:pPr>
                            <w:r>
                              <w:t xml:space="preserve">popř. jiným příslušným orgánům </w:t>
                            </w:r>
                            <w:r w:rsidRPr="00920265">
                              <w:rPr>
                                <w:lang w:eastAsia="en-US" w:bidi="en-US"/>
                              </w:rPr>
                              <w:t xml:space="preserve">na jejich </w:t>
                            </w:r>
                            <w:r>
                              <w:t>vyžádání neprodleně umožnit šetření okolností předmětné udá</w:t>
                            </w:r>
                            <w:r>
                              <w:softHyphen/>
                              <w:t>losti;</w:t>
                            </w:r>
                            <w:r w:rsidRPr="00920265">
                              <w:rPr>
                                <w:lang w:eastAsia="en-US" w:bidi="en-US"/>
                              </w:rPr>
                              <w:t xml:space="preserve"> a</w:t>
                            </w:r>
                            <w:r w:rsidRPr="00920265">
                              <w:rPr>
                                <w:lang w:eastAsia="en-US" w:bidi="en-US"/>
                              </w:rPr>
                              <w:tab/>
                            </w:r>
                            <w:r w:rsidRPr="00920265">
                              <w:rPr>
                                <w:b/>
                                <w:bCs/>
                                <w:lang w:eastAsia="en-US" w:bidi="en-US"/>
                              </w:rPr>
                              <w:t>9.8</w:t>
                            </w:r>
                          </w:p>
                          <w:p w:rsidR="00215B20" w:rsidRDefault="00FD0AA3">
                            <w:pPr>
                              <w:pStyle w:val="Zkladntext1"/>
                              <w:numPr>
                                <w:ilvl w:val="0"/>
                                <w:numId w:val="34"/>
                              </w:numPr>
                              <w:shd w:val="clear" w:color="auto" w:fill="auto"/>
                              <w:tabs>
                                <w:tab w:val="left" w:pos="868"/>
                              </w:tabs>
                              <w:spacing w:after="0" w:line="334" w:lineRule="auto"/>
                              <w:ind w:left="860" w:hanging="280"/>
                              <w:jc w:val="both"/>
                            </w:pPr>
                            <w:r>
                              <w:t xml:space="preserve">prokázat výši skutečné újmy, jakož </w:t>
                            </w:r>
                            <w:r w:rsidRPr="00920265">
                              <w:rPr>
                                <w:lang w:eastAsia="en-US" w:bidi="en-US"/>
                              </w:rPr>
                              <w:t xml:space="preserve">i </w:t>
                            </w:r>
                            <w:r>
                              <w:t xml:space="preserve">svá opatření </w:t>
                            </w:r>
                            <w:r w:rsidRPr="00920265">
                              <w:rPr>
                                <w:lang w:eastAsia="en-US" w:bidi="en-US"/>
                              </w:rPr>
                              <w:t xml:space="preserve">k </w:t>
                            </w:r>
                            <w:r>
                              <w:t>od</w:t>
                            </w:r>
                            <w:r>
                              <w:softHyphen/>
                              <w:t xml:space="preserve">vrácení újmy </w:t>
                            </w:r>
                            <w:r w:rsidRPr="00920265">
                              <w:rPr>
                                <w:lang w:eastAsia="en-US" w:bidi="en-US"/>
                              </w:rPr>
                              <w:t xml:space="preserve">nebo k </w:t>
                            </w:r>
                            <w:r>
                              <w:t>jejímu zmírnění.</w:t>
                            </w:r>
                          </w:p>
                          <w:p w:rsidR="00215B20" w:rsidRDefault="00FD0AA3">
                            <w:pPr>
                              <w:pStyle w:val="Zkladntext1"/>
                              <w:shd w:val="clear" w:color="auto" w:fill="auto"/>
                              <w:spacing w:after="200" w:line="334" w:lineRule="auto"/>
                              <w:ind w:left="580"/>
                              <w:jc w:val="both"/>
                            </w:pPr>
                            <w:r w:rsidRPr="00920265">
                              <w:rPr>
                                <w:lang w:eastAsia="en-US" w:bidi="en-US"/>
                              </w:rPr>
                              <w:t xml:space="preserve">TMCZ </w:t>
                            </w:r>
                            <w:r>
                              <w:t xml:space="preserve">není </w:t>
                            </w:r>
                            <w:r w:rsidRPr="00920265">
                              <w:rPr>
                                <w:lang w:eastAsia="en-US" w:bidi="en-US"/>
                              </w:rPr>
                              <w:t xml:space="preserve">povinen nahradit </w:t>
                            </w:r>
                            <w:r>
                              <w:t xml:space="preserve">újmu, která </w:t>
                            </w:r>
                            <w:r w:rsidRPr="00920265">
                              <w:rPr>
                                <w:lang w:eastAsia="en-US" w:bidi="en-US"/>
                              </w:rPr>
                              <w:t xml:space="preserve">vznikla </w:t>
                            </w:r>
                            <w:r>
                              <w:t xml:space="preserve">tím, že Smluvní </w:t>
                            </w:r>
                            <w:r w:rsidRPr="00920265">
                              <w:rPr>
                                <w:lang w:eastAsia="en-US" w:bidi="en-US"/>
                              </w:rPr>
                              <w:t xml:space="preserve">partner tyto </w:t>
                            </w:r>
                            <w:r>
                              <w:t xml:space="preserve">své </w:t>
                            </w:r>
                            <w:r w:rsidRPr="00920265">
                              <w:rPr>
                                <w:lang w:eastAsia="en-US" w:bidi="en-US"/>
                              </w:rPr>
                              <w:t>povinnosti nesplnil.</w:t>
                            </w:r>
                          </w:p>
                          <w:p w:rsidR="00215B20" w:rsidRDefault="00FD0AA3">
                            <w:pPr>
                              <w:pStyle w:val="Zkladntext1"/>
                              <w:numPr>
                                <w:ilvl w:val="0"/>
                                <w:numId w:val="33"/>
                              </w:numPr>
                              <w:shd w:val="clear" w:color="auto" w:fill="auto"/>
                              <w:tabs>
                                <w:tab w:val="left" w:pos="576"/>
                              </w:tabs>
                              <w:spacing w:after="0" w:line="334" w:lineRule="auto"/>
                              <w:ind w:left="580" w:hanging="580"/>
                              <w:jc w:val="both"/>
                            </w:pPr>
                            <w:r>
                              <w:t xml:space="preserve">Smluvní </w:t>
                            </w:r>
                            <w:r w:rsidRPr="00920265">
                              <w:rPr>
                                <w:lang w:eastAsia="en-US" w:bidi="en-US"/>
                              </w:rPr>
                              <w:t xml:space="preserve">strany se dohodly, </w:t>
                            </w:r>
                            <w:r>
                              <w:t xml:space="preserve">že omezují výši újmy, která může Smluvnímu </w:t>
                            </w:r>
                            <w:r w:rsidRPr="00920265">
                              <w:rPr>
                                <w:lang w:eastAsia="en-US" w:bidi="en-US"/>
                              </w:rPr>
                              <w:t xml:space="preserve">partnerovi </w:t>
                            </w:r>
                            <w:r>
                              <w:t xml:space="preserve">při plnění </w:t>
                            </w:r>
                            <w:r w:rsidRPr="00920265">
                              <w:rPr>
                                <w:lang w:eastAsia="en-US" w:bidi="en-US"/>
                              </w:rPr>
                              <w:t xml:space="preserve">Smlouvy </w:t>
                            </w:r>
                            <w:r>
                              <w:t>vznik</w:t>
                            </w:r>
                            <w:r>
                              <w:softHyphen/>
                              <w:t>nout, a to na celkovou částku 120 000 Kč. Smluvní partner nemá nárok na náhradu újmy vzniklé v d</w:t>
                            </w:r>
                            <w:r>
                              <w:t>ůsledku porušení povinností TMCZ, je-li za takové porušení sjednána smluv</w:t>
                            </w:r>
                            <w:r>
                              <w:softHyphen/>
                              <w:t>ní sankce (např. v podobě smluvní pokuty nebo slevy z ceny Služby v rámci SLA).</w:t>
                            </w:r>
                          </w:p>
                          <w:p w:rsidR="00215B20" w:rsidRDefault="00FD0AA3">
                            <w:pPr>
                              <w:pStyle w:val="Zkladntext1"/>
                              <w:shd w:val="clear" w:color="auto" w:fill="auto"/>
                              <w:spacing w:after="0" w:line="334" w:lineRule="auto"/>
                              <w:jc w:val="right"/>
                            </w:pPr>
                            <w:r>
                              <w:rPr>
                                <w:b/>
                                <w:bCs/>
                              </w:rPr>
                              <w:t>9.9</w:t>
                            </w:r>
                          </w:p>
                          <w:p w:rsidR="00215B20" w:rsidRDefault="00FD0AA3">
                            <w:pPr>
                              <w:pStyle w:val="Zkladntext1"/>
                              <w:numPr>
                                <w:ilvl w:val="0"/>
                                <w:numId w:val="33"/>
                              </w:numPr>
                              <w:shd w:val="clear" w:color="auto" w:fill="auto"/>
                              <w:tabs>
                                <w:tab w:val="left" w:pos="566"/>
                              </w:tabs>
                              <w:spacing w:after="0" w:line="334" w:lineRule="auto"/>
                              <w:ind w:left="580" w:hanging="580"/>
                              <w:jc w:val="both"/>
                            </w:pPr>
                            <w:r>
                              <w:t>TMCZ není v prodlení s plněním svých povinností (zejm. není v prodlení se zřízením, změnou či posk</w:t>
                            </w:r>
                            <w:r>
                              <w:t>ytováním Služby ani s odstraněním Poruchy, vady či výpadku Služby) v případě, že k prodlení došlo v důsledku:</w:t>
                            </w:r>
                          </w:p>
                          <w:p w:rsidR="00215B20" w:rsidRDefault="00FD0AA3">
                            <w:pPr>
                              <w:pStyle w:val="Zkladntext1"/>
                              <w:numPr>
                                <w:ilvl w:val="0"/>
                                <w:numId w:val="35"/>
                              </w:numPr>
                              <w:shd w:val="clear" w:color="auto" w:fill="auto"/>
                              <w:tabs>
                                <w:tab w:val="left" w:pos="849"/>
                              </w:tabs>
                              <w:spacing w:after="0" w:line="334" w:lineRule="auto"/>
                              <w:ind w:left="860" w:hanging="280"/>
                              <w:jc w:val="both"/>
                            </w:pPr>
                            <w:r>
                              <w:t>jednání TMCZ, k němuž je TMCZ oprávněn dle smluv</w:t>
                            </w:r>
                            <w:r>
                              <w:softHyphen/>
                              <w:t>ních ujednání nebo právních předpisů; nebo</w:t>
                            </w:r>
                          </w:p>
                          <w:p w:rsidR="00215B20" w:rsidRDefault="00FD0AA3">
                            <w:pPr>
                              <w:pStyle w:val="Zkladntext1"/>
                              <w:numPr>
                                <w:ilvl w:val="0"/>
                                <w:numId w:val="35"/>
                              </w:numPr>
                              <w:shd w:val="clear" w:color="auto" w:fill="auto"/>
                              <w:tabs>
                                <w:tab w:val="left" w:pos="863"/>
                              </w:tabs>
                              <w:spacing w:after="0" w:line="334" w:lineRule="auto"/>
                              <w:ind w:firstLine="580"/>
                            </w:pPr>
                            <w:r>
                              <w:t>provádění plánovaných údržbových prací; nebo</w:t>
                            </w:r>
                          </w:p>
                          <w:p w:rsidR="00215B20" w:rsidRDefault="00FD0AA3">
                            <w:pPr>
                              <w:pStyle w:val="Zkladntext1"/>
                              <w:numPr>
                                <w:ilvl w:val="0"/>
                                <w:numId w:val="35"/>
                              </w:numPr>
                              <w:shd w:val="clear" w:color="auto" w:fill="auto"/>
                              <w:tabs>
                                <w:tab w:val="left" w:pos="868"/>
                              </w:tabs>
                              <w:spacing w:after="0" w:line="334" w:lineRule="auto"/>
                              <w:ind w:left="860" w:hanging="280"/>
                              <w:jc w:val="both"/>
                            </w:pPr>
                            <w:r>
                              <w:t>rozhodnutí nebo nevydání povolení ze strany soudu, správního úřadu, orgánu veřejné moci nebo jiného oprávněného subjektu či třetí strany nebo provozova</w:t>
                            </w:r>
                            <w:r>
                              <w:softHyphen/>
                              <w:t>telů dopravní či technické infrastruktury ve veřejném zájmu; nebo</w:t>
                            </w:r>
                          </w:p>
                          <w:p w:rsidR="00215B20" w:rsidRDefault="00FD0AA3">
                            <w:pPr>
                              <w:pStyle w:val="Zkladntext1"/>
                              <w:numPr>
                                <w:ilvl w:val="0"/>
                                <w:numId w:val="35"/>
                              </w:numPr>
                              <w:shd w:val="clear" w:color="auto" w:fill="auto"/>
                              <w:tabs>
                                <w:tab w:val="left" w:pos="863"/>
                              </w:tabs>
                              <w:spacing w:after="0" w:line="334" w:lineRule="auto"/>
                              <w:ind w:left="860" w:hanging="280"/>
                              <w:jc w:val="both"/>
                            </w:pPr>
                            <w:r>
                              <w:t xml:space="preserve">ohrožení bezpečnosti komunikační sítě </w:t>
                            </w:r>
                            <w:r>
                              <w:t>nebo Služeb; nebo</w:t>
                            </w:r>
                          </w:p>
                          <w:p w:rsidR="00215B20" w:rsidRDefault="00FD0AA3">
                            <w:pPr>
                              <w:pStyle w:val="Zkladntext1"/>
                              <w:numPr>
                                <w:ilvl w:val="0"/>
                                <w:numId w:val="35"/>
                              </w:numPr>
                              <w:shd w:val="clear" w:color="auto" w:fill="auto"/>
                              <w:tabs>
                                <w:tab w:val="left" w:pos="858"/>
                              </w:tabs>
                              <w:spacing w:after="0" w:line="334" w:lineRule="auto"/>
                              <w:ind w:left="860" w:hanging="280"/>
                              <w:jc w:val="both"/>
                            </w:pPr>
                            <w:r>
                              <w:t>výpadku napájení či nevyhovujících klimatických pod</w:t>
                            </w:r>
                            <w:r>
                              <w:softHyphen/>
                              <w:t>mínek v místě ukončení Služby, které zajišťuje Smluvní partner; nebo</w:t>
                            </w:r>
                          </w:p>
                          <w:p w:rsidR="00215B20" w:rsidRDefault="00FD0AA3">
                            <w:pPr>
                              <w:pStyle w:val="Zkladntext1"/>
                              <w:numPr>
                                <w:ilvl w:val="0"/>
                                <w:numId w:val="35"/>
                              </w:numPr>
                              <w:shd w:val="clear" w:color="auto" w:fill="auto"/>
                              <w:tabs>
                                <w:tab w:val="left" w:pos="863"/>
                              </w:tabs>
                              <w:spacing w:after="0" w:line="334" w:lineRule="auto"/>
                              <w:ind w:left="860" w:hanging="280"/>
                              <w:jc w:val="both"/>
                            </w:pPr>
                            <w:r>
                              <w:t>znemožnění pracovníkům TMCZ přístupu za účelem opravy Poruchy, zřízení, změny či ukončení Služby; nebo</w:t>
                            </w:r>
                          </w:p>
                          <w:p w:rsidR="00215B20" w:rsidRDefault="00FD0AA3">
                            <w:pPr>
                              <w:pStyle w:val="Zkladntext1"/>
                              <w:numPr>
                                <w:ilvl w:val="0"/>
                                <w:numId w:val="35"/>
                              </w:numPr>
                              <w:shd w:val="clear" w:color="auto" w:fill="auto"/>
                              <w:tabs>
                                <w:tab w:val="left" w:pos="878"/>
                              </w:tabs>
                              <w:spacing w:after="0" w:line="334" w:lineRule="auto"/>
                              <w:ind w:firstLine="580"/>
                            </w:pPr>
                            <w:r>
                              <w:t>poruchy Zaříze</w:t>
                            </w:r>
                            <w:r>
                              <w:t>ní Smluvního partnera; nebo</w:t>
                            </w:r>
                          </w:p>
                          <w:p w:rsidR="00215B20" w:rsidRDefault="00FD0AA3">
                            <w:pPr>
                              <w:pStyle w:val="Zkladntext1"/>
                              <w:numPr>
                                <w:ilvl w:val="0"/>
                                <w:numId w:val="35"/>
                              </w:numPr>
                              <w:shd w:val="clear" w:color="auto" w:fill="auto"/>
                              <w:tabs>
                                <w:tab w:val="left" w:pos="858"/>
                              </w:tabs>
                              <w:spacing w:after="0" w:line="334" w:lineRule="auto"/>
                              <w:ind w:left="860" w:hanging="280"/>
                              <w:jc w:val="both"/>
                            </w:pPr>
                            <w:r>
                              <w:t>skutečností uvedených v odst. 9.8 těchto Podmínek Firemního řešení; nebo</w:t>
                            </w:r>
                          </w:p>
                          <w:p w:rsidR="00215B20" w:rsidRDefault="00FD0AA3">
                            <w:pPr>
                              <w:pStyle w:val="Zkladntext1"/>
                              <w:numPr>
                                <w:ilvl w:val="0"/>
                                <w:numId w:val="35"/>
                              </w:numPr>
                              <w:shd w:val="clear" w:color="auto" w:fill="auto"/>
                              <w:tabs>
                                <w:tab w:val="left" w:pos="863"/>
                              </w:tabs>
                              <w:spacing w:after="200" w:line="334" w:lineRule="auto"/>
                              <w:ind w:firstLine="580"/>
                            </w:pPr>
                            <w:r>
                              <w:t>porušení povinností na straně Smluvního partnera.</w:t>
                            </w:r>
                          </w:p>
                          <w:p w:rsidR="00215B20" w:rsidRDefault="00FD0AA3">
                            <w:pPr>
                              <w:pStyle w:val="Zkladntext1"/>
                              <w:numPr>
                                <w:ilvl w:val="0"/>
                                <w:numId w:val="33"/>
                              </w:numPr>
                              <w:shd w:val="clear" w:color="auto" w:fill="auto"/>
                              <w:tabs>
                                <w:tab w:val="left" w:pos="566"/>
                              </w:tabs>
                              <w:spacing w:after="200" w:line="334" w:lineRule="auto"/>
                              <w:ind w:left="580" w:hanging="580"/>
                              <w:jc w:val="both"/>
                            </w:pPr>
                            <w:r>
                              <w:t>TMCZ je oprávněn přerušit poskytování Služby při pro</w:t>
                            </w:r>
                            <w:r>
                              <w:softHyphen/>
                              <w:t xml:space="preserve">vádění plánované údržby. TMCZ je povinen oznámit </w:t>
                            </w:r>
                            <w:r>
                              <w:t>Smluvnímu partnerovi předem termín plánované údrž</w:t>
                            </w:r>
                            <w:r>
                              <w:softHyphen/>
                              <w:t>by. TMCZ vynaloží veškeré úsilí, aby plánovaná údržba probíhala v časech, které budou pro Smluvního partnera</w:t>
                            </w:r>
                          </w:p>
                        </w:txbxContent>
                      </wps:txbx>
                      <wps:bodyPr lIns="0" tIns="0" rIns="0" bIns="0"/>
                    </wps:wsp>
                  </a:graphicData>
                </a:graphic>
              </wp:anchor>
            </w:drawing>
          </mc:Choice>
          <mc:Fallback>
            <w:pict>
              <v:shape id="_x0000_s1378" type="#_x0000_t202" style="position:absolute;margin-left:40.450000000000003pt;margin-top:0.5pt;width:282.69999999999999pt;height:674.64999999999998pt;z-index:-125829332;mso-wrap-distance-left:13.pt;mso-wrap-distance-top:13.pt;mso-wrap-distance-right:13.pt;mso-wrap-distance-bottom:20.pt;mso-position-horizontal-relative:page;mso-position-vertical-relative:margin" filled="f" stroked="f">
                <v:textbox inset="0,0,0,0">
                  <w:txbxContent>
                    <w:p>
                      <w:pPr>
                        <w:pStyle w:val="Style20"/>
                        <w:keepNext w:val="0"/>
                        <w:keepLines w:val="0"/>
                        <w:widowControl w:val="0"/>
                        <w:numPr>
                          <w:ilvl w:val="0"/>
                          <w:numId w:val="65"/>
                        </w:numPr>
                        <w:shd w:val="clear" w:color="auto" w:fill="auto"/>
                        <w:tabs>
                          <w:tab w:pos="566" w:val="left"/>
                        </w:tabs>
                        <w:bidi w:val="0"/>
                        <w:spacing w:before="0" w:after="0" w:line="334" w:lineRule="auto"/>
                        <w:ind w:left="580" w:right="0" w:hanging="580"/>
                        <w:jc w:val="both"/>
                      </w:pPr>
                      <w:r>
                        <w:rPr>
                          <w:spacing w:val="0"/>
                          <w:w w:val="100"/>
                          <w:position w:val="0"/>
                          <w:shd w:val="clear" w:color="auto" w:fill="auto"/>
                          <w:lang w:val="cs-CZ" w:eastAsia="cs-CZ" w:bidi="cs-CZ"/>
                        </w:rPr>
                        <w:t xml:space="preserve">Jestliže Smluvnímu </w:t>
                      </w:r>
                      <w:r>
                        <w:rPr>
                          <w:spacing w:val="0"/>
                          <w:w w:val="100"/>
                          <w:position w:val="0"/>
                          <w:shd w:val="clear" w:color="auto" w:fill="auto"/>
                          <w:lang w:val="en-US" w:eastAsia="en-US" w:bidi="en-US"/>
                        </w:rPr>
                        <w:t xml:space="preserve">partnerovi </w:t>
                      </w:r>
                      <w:r>
                        <w:rPr>
                          <w:spacing w:val="0"/>
                          <w:w w:val="100"/>
                          <w:position w:val="0"/>
                          <w:shd w:val="clear" w:color="auto" w:fill="auto"/>
                          <w:lang w:val="cs-CZ" w:eastAsia="cs-CZ" w:bidi="cs-CZ"/>
                        </w:rPr>
                        <w:t xml:space="preserve">hrozí </w:t>
                      </w:r>
                      <w:r>
                        <w:rPr>
                          <w:spacing w:val="0"/>
                          <w:w w:val="100"/>
                          <w:position w:val="0"/>
                          <w:shd w:val="clear" w:color="auto" w:fill="auto"/>
                          <w:lang w:val="en-US" w:eastAsia="en-US" w:bidi="en-US"/>
                        </w:rPr>
                        <w:t xml:space="preserve">nebo </w:t>
                      </w:r>
                      <w:r>
                        <w:rPr>
                          <w:spacing w:val="0"/>
                          <w:w w:val="100"/>
                          <w:position w:val="0"/>
                          <w:shd w:val="clear" w:color="auto" w:fill="auto"/>
                          <w:lang w:val="cs-CZ" w:eastAsia="cs-CZ" w:bidi="cs-CZ"/>
                        </w:rPr>
                        <w:t xml:space="preserve">vzniká újma, </w:t>
                      </w:r>
                      <w:r>
                        <w:rPr>
                          <w:spacing w:val="0"/>
                          <w:w w:val="100"/>
                          <w:position w:val="0"/>
                          <w:shd w:val="clear" w:color="auto" w:fill="auto"/>
                          <w:lang w:val="en-US" w:eastAsia="en-US" w:bidi="en-US"/>
                        </w:rPr>
                        <w:t xml:space="preserve">je tento povinen bez </w:t>
                      </w:r>
                      <w:r>
                        <w:rPr>
                          <w:spacing w:val="0"/>
                          <w:w w:val="100"/>
                          <w:position w:val="0"/>
                          <w:shd w:val="clear" w:color="auto" w:fill="auto"/>
                          <w:lang w:val="cs-CZ" w:eastAsia="cs-CZ" w:bidi="cs-CZ"/>
                        </w:rPr>
                        <w:t xml:space="preserve">prodlení učinit </w:t>
                      </w:r>
                      <w:r>
                        <w:rPr>
                          <w:spacing w:val="0"/>
                          <w:w w:val="100"/>
                          <w:position w:val="0"/>
                          <w:shd w:val="clear" w:color="auto" w:fill="auto"/>
                          <w:lang w:val="en-US" w:eastAsia="en-US" w:bidi="en-US"/>
                        </w:rPr>
                        <w:t xml:space="preserve">s </w:t>
                      </w:r>
                      <w:r>
                        <w:rPr>
                          <w:spacing w:val="0"/>
                          <w:w w:val="100"/>
                          <w:position w:val="0"/>
                          <w:shd w:val="clear" w:color="auto" w:fill="auto"/>
                          <w:lang w:val="cs-CZ" w:eastAsia="cs-CZ" w:bidi="cs-CZ"/>
                        </w:rPr>
                        <w:t xml:space="preserve">přihlédnutím </w:t>
                      </w:r>
                      <w:r>
                        <w:rPr>
                          <w:spacing w:val="0"/>
                          <w:w w:val="100"/>
                          <w:position w:val="0"/>
                          <w:shd w:val="clear" w:color="auto" w:fill="auto"/>
                          <w:lang w:val="en-US" w:eastAsia="en-US" w:bidi="en-US"/>
                        </w:rPr>
                        <w:t xml:space="preserve">k </w:t>
                      </w:r>
                      <w:r>
                        <w:rPr>
                          <w:spacing w:val="0"/>
                          <w:w w:val="100"/>
                          <w:position w:val="0"/>
                          <w:shd w:val="clear" w:color="auto" w:fill="auto"/>
                          <w:lang w:val="cs-CZ" w:eastAsia="cs-CZ" w:bidi="cs-CZ"/>
                        </w:rPr>
                        <w:t>okol</w:t>
                        <w:softHyphen/>
                      </w:r>
                      <w:r>
                        <w:rPr>
                          <w:spacing w:val="0"/>
                          <w:w w:val="100"/>
                          <w:position w:val="0"/>
                          <w:shd w:val="clear" w:color="auto" w:fill="auto"/>
                          <w:lang w:val="en-US" w:eastAsia="en-US" w:bidi="en-US"/>
                        </w:rPr>
                      </w:r>
                      <w:r>
                        <w:rPr>
                          <w:spacing w:val="0"/>
                          <w:w w:val="100"/>
                          <w:position w:val="0"/>
                          <w:shd w:val="clear" w:color="auto" w:fill="auto"/>
                          <w:lang w:val="cs-CZ" w:eastAsia="cs-CZ" w:bidi="cs-CZ"/>
                        </w:rPr>
                        <w:t>nostem</w:t>
                      </w:r>
                      <w:r>
                        <w:rPr>
                          <w:spacing w:val="0"/>
                          <w:w w:val="100"/>
                          <w:position w:val="0"/>
                          <w:shd w:val="clear" w:color="auto" w:fill="auto"/>
                          <w:lang w:val="en-US" w:eastAsia="en-US" w:bidi="en-US"/>
                        </w:rPr>
                        <w:t xml:space="preserve"> </w:t>
                      </w:r>
                      <w:r>
                        <w:rPr>
                          <w:spacing w:val="0"/>
                          <w:w w:val="100"/>
                          <w:position w:val="0"/>
                          <w:shd w:val="clear" w:color="auto" w:fill="auto"/>
                          <w:lang w:val="cs-CZ" w:eastAsia="cs-CZ" w:bidi="cs-CZ"/>
                        </w:rPr>
                        <w:t xml:space="preserve">veškerá opatření potřebná </w:t>
                      </w:r>
                      <w:r>
                        <w:rPr>
                          <w:spacing w:val="0"/>
                          <w:w w:val="100"/>
                          <w:position w:val="0"/>
                          <w:shd w:val="clear" w:color="auto" w:fill="auto"/>
                          <w:lang w:val="en-US" w:eastAsia="en-US" w:bidi="en-US"/>
                        </w:rPr>
                        <w:t xml:space="preserve">k </w:t>
                      </w:r>
                      <w:r>
                        <w:rPr>
                          <w:spacing w:val="0"/>
                          <w:w w:val="100"/>
                          <w:position w:val="0"/>
                          <w:shd w:val="clear" w:color="auto" w:fill="auto"/>
                          <w:lang w:val="cs-CZ" w:eastAsia="cs-CZ" w:bidi="cs-CZ"/>
                        </w:rPr>
                        <w:t xml:space="preserve">odvrácení újmy </w:t>
                      </w:r>
                      <w:r>
                        <w:rPr>
                          <w:spacing w:val="0"/>
                          <w:w w:val="100"/>
                          <w:position w:val="0"/>
                          <w:shd w:val="clear" w:color="auto" w:fill="auto"/>
                          <w:lang w:val="en-US" w:eastAsia="en-US" w:bidi="en-US"/>
                        </w:rPr>
                        <w:t xml:space="preserve">nebo k </w:t>
                      </w:r>
                      <w:r>
                        <w:rPr>
                          <w:spacing w:val="0"/>
                          <w:w w:val="100"/>
                          <w:position w:val="0"/>
                          <w:shd w:val="clear" w:color="auto" w:fill="auto"/>
                          <w:lang w:val="cs-CZ" w:eastAsia="cs-CZ" w:bidi="cs-CZ"/>
                        </w:rPr>
                        <w:t xml:space="preserve">jejímu zmírnění, </w:t>
                      </w:r>
                      <w:r>
                        <w:rPr>
                          <w:spacing w:val="0"/>
                          <w:w w:val="100"/>
                          <w:position w:val="0"/>
                          <w:shd w:val="clear" w:color="auto" w:fill="auto"/>
                          <w:lang w:val="en-US" w:eastAsia="en-US" w:bidi="en-US"/>
                        </w:rPr>
                        <w:t xml:space="preserve">a pokud by </w:t>
                      </w:r>
                      <w:r>
                        <w:rPr>
                          <w:spacing w:val="0"/>
                          <w:w w:val="100"/>
                          <w:position w:val="0"/>
                          <w:shd w:val="clear" w:color="auto" w:fill="auto"/>
                          <w:lang w:val="cs-CZ" w:eastAsia="cs-CZ" w:bidi="cs-CZ"/>
                        </w:rPr>
                        <w:t xml:space="preserve">chtěl </w:t>
                      </w:r>
                      <w:r>
                        <w:rPr>
                          <w:spacing w:val="0"/>
                          <w:w w:val="100"/>
                          <w:position w:val="0"/>
                          <w:shd w:val="clear" w:color="auto" w:fill="auto"/>
                          <w:lang w:val="en-US" w:eastAsia="en-US" w:bidi="en-US"/>
                        </w:rPr>
                        <w:t xml:space="preserve">v </w:t>
                      </w:r>
                      <w:r>
                        <w:rPr>
                          <w:spacing w:val="0"/>
                          <w:w w:val="100"/>
                          <w:position w:val="0"/>
                          <w:shd w:val="clear" w:color="auto" w:fill="auto"/>
                          <w:lang w:val="cs-CZ" w:eastAsia="cs-CZ" w:bidi="cs-CZ"/>
                        </w:rPr>
                        <w:t xml:space="preserve">takových případech vůči </w:t>
                      </w:r>
                      <w:r>
                        <w:rPr>
                          <w:spacing w:val="0"/>
                          <w:w w:val="100"/>
                          <w:position w:val="0"/>
                          <w:shd w:val="clear" w:color="auto" w:fill="auto"/>
                          <w:lang w:val="en-US" w:eastAsia="en-US" w:bidi="en-US"/>
                        </w:rPr>
                        <w:t xml:space="preserve">TMCZ uplatnit </w:t>
                      </w:r>
                      <w:r>
                        <w:rPr>
                          <w:spacing w:val="0"/>
                          <w:w w:val="100"/>
                          <w:position w:val="0"/>
                          <w:shd w:val="clear" w:color="auto" w:fill="auto"/>
                          <w:lang w:val="cs-CZ" w:eastAsia="cs-CZ" w:bidi="cs-CZ"/>
                        </w:rPr>
                        <w:t xml:space="preserve">nárok </w:t>
                      </w:r>
                      <w:r>
                        <w:rPr>
                          <w:spacing w:val="0"/>
                          <w:w w:val="100"/>
                          <w:position w:val="0"/>
                          <w:shd w:val="clear" w:color="auto" w:fill="auto"/>
                          <w:lang w:val="en-US" w:eastAsia="en-US" w:bidi="en-US"/>
                        </w:rPr>
                        <w:t xml:space="preserve">na </w:t>
                      </w:r>
                      <w:r>
                        <w:rPr>
                          <w:spacing w:val="0"/>
                          <w:w w:val="100"/>
                          <w:position w:val="0"/>
                          <w:shd w:val="clear" w:color="auto" w:fill="auto"/>
                          <w:lang w:val="cs-CZ" w:eastAsia="cs-CZ" w:bidi="cs-CZ"/>
                        </w:rPr>
                        <w:t xml:space="preserve">náhradu újmy, </w:t>
                      </w:r>
                      <w:r>
                        <w:rPr>
                          <w:spacing w:val="0"/>
                          <w:w w:val="100"/>
                          <w:position w:val="0"/>
                          <w:shd w:val="clear" w:color="auto" w:fill="auto"/>
                          <w:lang w:val="en-US" w:eastAsia="en-US" w:bidi="en-US"/>
                        </w:rPr>
                        <w:t xml:space="preserve">potom je </w:t>
                      </w:r>
                      <w:r>
                        <w:rPr>
                          <w:spacing w:val="0"/>
                          <w:w w:val="100"/>
                          <w:position w:val="0"/>
                          <w:shd w:val="clear" w:color="auto" w:fill="auto"/>
                          <w:lang w:val="cs-CZ" w:eastAsia="cs-CZ" w:bidi="cs-CZ"/>
                        </w:rPr>
                        <w:t xml:space="preserve">Smluvní </w:t>
                      </w:r>
                      <w:r>
                        <w:rPr>
                          <w:spacing w:val="0"/>
                          <w:w w:val="100"/>
                          <w:position w:val="0"/>
                          <w:shd w:val="clear" w:color="auto" w:fill="auto"/>
                          <w:lang w:val="en-US" w:eastAsia="en-US" w:bidi="en-US"/>
                        </w:rPr>
                        <w:t xml:space="preserve">partner </w:t>
                      </w:r>
                      <w:r>
                        <w:rPr>
                          <w:spacing w:val="0"/>
                          <w:w w:val="100"/>
                          <w:position w:val="0"/>
                          <w:shd w:val="clear" w:color="auto" w:fill="auto"/>
                          <w:lang w:val="cs-CZ" w:eastAsia="cs-CZ" w:bidi="cs-CZ"/>
                        </w:rPr>
                        <w:t xml:space="preserve">kromě </w:t>
                      </w:r>
                      <w:r>
                        <w:rPr>
                          <w:spacing w:val="0"/>
                          <w:w w:val="100"/>
                          <w:position w:val="0"/>
                          <w:shd w:val="clear" w:color="auto" w:fill="auto"/>
                          <w:lang w:val="en-US" w:eastAsia="en-US" w:bidi="en-US"/>
                        </w:rPr>
                        <w:t>toho povinen:</w:t>
                      </w:r>
                    </w:p>
                    <w:p>
                      <w:pPr>
                        <w:pStyle w:val="Style20"/>
                        <w:keepNext w:val="0"/>
                        <w:keepLines w:val="0"/>
                        <w:widowControl w:val="0"/>
                        <w:numPr>
                          <w:ilvl w:val="0"/>
                          <w:numId w:val="67"/>
                        </w:numPr>
                        <w:shd w:val="clear" w:color="auto" w:fill="auto"/>
                        <w:tabs>
                          <w:tab w:pos="868" w:val="left"/>
                        </w:tabs>
                        <w:bidi w:val="0"/>
                        <w:spacing w:before="0" w:after="0" w:line="334" w:lineRule="auto"/>
                        <w:ind w:left="860" w:right="0" w:hanging="280"/>
                        <w:jc w:val="both"/>
                      </w:pPr>
                      <w:r>
                        <w:rPr>
                          <w:spacing w:val="0"/>
                          <w:w w:val="100"/>
                          <w:position w:val="0"/>
                          <w:shd w:val="clear" w:color="auto" w:fill="auto"/>
                          <w:lang w:val="cs-CZ" w:eastAsia="cs-CZ" w:bidi="cs-CZ"/>
                        </w:rPr>
                        <w:t xml:space="preserve">neprodleně </w:t>
                      </w:r>
                      <w:r>
                        <w:rPr>
                          <w:spacing w:val="0"/>
                          <w:w w:val="100"/>
                          <w:position w:val="0"/>
                          <w:shd w:val="clear" w:color="auto" w:fill="auto"/>
                          <w:lang w:val="en-US" w:eastAsia="en-US" w:bidi="en-US"/>
                        </w:rPr>
                        <w:t xml:space="preserve">informovat TMCZ jak o </w:t>
                      </w:r>
                      <w:r>
                        <w:rPr>
                          <w:spacing w:val="0"/>
                          <w:w w:val="100"/>
                          <w:position w:val="0"/>
                          <w:shd w:val="clear" w:color="auto" w:fill="auto"/>
                          <w:lang w:val="cs-CZ" w:eastAsia="cs-CZ" w:bidi="cs-CZ"/>
                        </w:rPr>
                        <w:t xml:space="preserve">hrozbě </w:t>
                      </w:r>
                      <w:r>
                        <w:rPr>
                          <w:spacing w:val="0"/>
                          <w:w w:val="100"/>
                          <w:position w:val="0"/>
                          <w:shd w:val="clear" w:color="auto" w:fill="auto"/>
                          <w:lang w:val="en-US" w:eastAsia="en-US" w:bidi="en-US"/>
                        </w:rPr>
                        <w:t xml:space="preserve">a </w:t>
                      </w:r>
                      <w:r>
                        <w:rPr>
                          <w:spacing w:val="0"/>
                          <w:w w:val="100"/>
                          <w:position w:val="0"/>
                          <w:shd w:val="clear" w:color="auto" w:fill="auto"/>
                          <w:lang w:val="cs-CZ" w:eastAsia="cs-CZ" w:bidi="cs-CZ"/>
                        </w:rPr>
                        <w:t>příp. vzni</w:t>
                        <w:softHyphen/>
                      </w:r>
                      <w:r>
                        <w:rPr>
                          <w:spacing w:val="0"/>
                          <w:w w:val="100"/>
                          <w:position w:val="0"/>
                          <w:shd w:val="clear" w:color="auto" w:fill="auto"/>
                          <w:lang w:val="en-US" w:eastAsia="en-US" w:bidi="en-US"/>
                        </w:rPr>
                      </w:r>
                      <w:r>
                        <w:rPr>
                          <w:spacing w:val="0"/>
                          <w:w w:val="100"/>
                          <w:position w:val="0"/>
                          <w:shd w:val="clear" w:color="auto" w:fill="auto"/>
                          <w:lang w:val="cs-CZ" w:eastAsia="cs-CZ" w:bidi="cs-CZ"/>
                        </w:rPr>
                        <w:t>ku</w:t>
                      </w:r>
                      <w:r>
                        <w:rPr>
                          <w:spacing w:val="0"/>
                          <w:w w:val="100"/>
                          <w:position w:val="0"/>
                          <w:shd w:val="clear" w:color="auto" w:fill="auto"/>
                          <w:lang w:val="en-US" w:eastAsia="en-US" w:bidi="en-US"/>
                        </w:rPr>
                        <w:t xml:space="preserve"> </w:t>
                      </w:r>
                      <w:r>
                        <w:rPr>
                          <w:spacing w:val="0"/>
                          <w:w w:val="100"/>
                          <w:position w:val="0"/>
                          <w:shd w:val="clear" w:color="auto" w:fill="auto"/>
                          <w:lang w:val="cs-CZ" w:eastAsia="cs-CZ" w:bidi="cs-CZ"/>
                        </w:rPr>
                        <w:t xml:space="preserve">újmy, </w:t>
                      </w:r>
                      <w:r>
                        <w:rPr>
                          <w:spacing w:val="0"/>
                          <w:w w:val="100"/>
                          <w:position w:val="0"/>
                          <w:shd w:val="clear" w:color="auto" w:fill="auto"/>
                          <w:lang w:val="en-US" w:eastAsia="en-US" w:bidi="en-US"/>
                        </w:rPr>
                        <w:t xml:space="preserve">tak o </w:t>
                      </w:r>
                      <w:r>
                        <w:rPr>
                          <w:spacing w:val="0"/>
                          <w:w w:val="100"/>
                          <w:position w:val="0"/>
                          <w:shd w:val="clear" w:color="auto" w:fill="auto"/>
                          <w:lang w:val="cs-CZ" w:eastAsia="cs-CZ" w:bidi="cs-CZ"/>
                        </w:rPr>
                        <w:t xml:space="preserve">opatřeních učiněných </w:t>
                      </w:r>
                      <w:r>
                        <w:rPr>
                          <w:spacing w:val="0"/>
                          <w:w w:val="100"/>
                          <w:position w:val="0"/>
                          <w:shd w:val="clear" w:color="auto" w:fill="auto"/>
                          <w:lang w:val="en-US" w:eastAsia="en-US" w:bidi="en-US"/>
                        </w:rPr>
                        <w:t xml:space="preserve">k </w:t>
                      </w:r>
                      <w:r>
                        <w:rPr>
                          <w:spacing w:val="0"/>
                          <w:w w:val="100"/>
                          <w:position w:val="0"/>
                          <w:shd w:val="clear" w:color="auto" w:fill="auto"/>
                          <w:lang w:val="cs-CZ" w:eastAsia="cs-CZ" w:bidi="cs-CZ"/>
                        </w:rPr>
                        <w:t>odvrácení újmy</w:t>
                      </w:r>
                    </w:p>
                    <w:p>
                      <w:pPr>
                        <w:pStyle w:val="Style20"/>
                        <w:keepNext w:val="0"/>
                        <w:keepLines w:val="0"/>
                        <w:widowControl w:val="0"/>
                        <w:shd w:val="clear" w:color="auto" w:fill="auto"/>
                        <w:tabs>
                          <w:tab w:pos="5348" w:val="left"/>
                        </w:tabs>
                        <w:bidi w:val="0"/>
                        <w:spacing w:before="0" w:after="0" w:line="334" w:lineRule="auto"/>
                        <w:ind w:left="0" w:right="0" w:firstLine="860"/>
                        <w:jc w:val="left"/>
                      </w:pPr>
                      <w:r>
                        <w:rPr>
                          <w:spacing w:val="0"/>
                          <w:w w:val="100"/>
                          <w:position w:val="0"/>
                          <w:shd w:val="clear" w:color="auto" w:fill="auto"/>
                          <w:lang w:val="en-US" w:eastAsia="en-US" w:bidi="en-US"/>
                        </w:rPr>
                        <w:t xml:space="preserve">nebo k </w:t>
                      </w:r>
                      <w:r>
                        <w:rPr>
                          <w:spacing w:val="0"/>
                          <w:w w:val="100"/>
                          <w:position w:val="0"/>
                          <w:shd w:val="clear" w:color="auto" w:fill="auto"/>
                          <w:lang w:val="cs-CZ" w:eastAsia="cs-CZ" w:bidi="cs-CZ"/>
                        </w:rPr>
                        <w:t xml:space="preserve">jejímu zmírnění; </w:t>
                      </w:r>
                      <w:r>
                        <w:rPr>
                          <w:spacing w:val="0"/>
                          <w:w w:val="100"/>
                          <w:position w:val="0"/>
                          <w:shd w:val="clear" w:color="auto" w:fill="auto"/>
                          <w:lang w:val="en-US" w:eastAsia="en-US" w:bidi="en-US"/>
                        </w:rPr>
                        <w:t>a</w:t>
                        <w:tab/>
                      </w:r>
                      <w:r>
                        <w:rPr>
                          <w:b/>
                          <w:bCs/>
                          <w:spacing w:val="0"/>
                          <w:w w:val="100"/>
                          <w:position w:val="0"/>
                          <w:shd w:val="clear" w:color="auto" w:fill="auto"/>
                          <w:lang w:val="en-US" w:eastAsia="en-US" w:bidi="en-US"/>
                        </w:rPr>
                        <w:t>9.7</w:t>
                      </w:r>
                    </w:p>
                    <w:p>
                      <w:pPr>
                        <w:pStyle w:val="Style20"/>
                        <w:keepNext w:val="0"/>
                        <w:keepLines w:val="0"/>
                        <w:widowControl w:val="0"/>
                        <w:numPr>
                          <w:ilvl w:val="0"/>
                          <w:numId w:val="67"/>
                        </w:numPr>
                        <w:shd w:val="clear" w:color="auto" w:fill="auto"/>
                        <w:tabs>
                          <w:tab w:pos="863" w:val="left"/>
                        </w:tabs>
                        <w:bidi w:val="0"/>
                        <w:spacing w:before="0" w:after="0" w:line="334" w:lineRule="auto"/>
                        <w:ind w:left="0" w:right="0" w:firstLine="580"/>
                        <w:jc w:val="both"/>
                      </w:pPr>
                      <w:r>
                        <w:rPr>
                          <w:spacing w:val="0"/>
                          <w:w w:val="100"/>
                          <w:position w:val="0"/>
                          <w:shd w:val="clear" w:color="auto" w:fill="auto"/>
                          <w:lang w:val="cs-CZ" w:eastAsia="cs-CZ" w:bidi="cs-CZ"/>
                        </w:rPr>
                        <w:t xml:space="preserve">pověřeným pracovníkům </w:t>
                      </w:r>
                      <w:r>
                        <w:rPr>
                          <w:spacing w:val="0"/>
                          <w:w w:val="100"/>
                          <w:position w:val="0"/>
                          <w:shd w:val="clear" w:color="auto" w:fill="auto"/>
                          <w:lang w:val="en-US" w:eastAsia="en-US" w:bidi="en-US"/>
                        </w:rPr>
                        <w:t xml:space="preserve">TMCZ, </w:t>
                      </w:r>
                      <w:r>
                        <w:rPr>
                          <w:spacing w:val="0"/>
                          <w:w w:val="100"/>
                          <w:position w:val="0"/>
                          <w:shd w:val="clear" w:color="auto" w:fill="auto"/>
                          <w:lang w:val="cs-CZ" w:eastAsia="cs-CZ" w:bidi="cs-CZ"/>
                        </w:rPr>
                        <w:t>orgánům pojišťovny,</w:t>
                      </w:r>
                    </w:p>
                    <w:p>
                      <w:pPr>
                        <w:pStyle w:val="Style20"/>
                        <w:keepNext w:val="0"/>
                        <w:keepLines w:val="0"/>
                        <w:widowControl w:val="0"/>
                        <w:shd w:val="clear" w:color="auto" w:fill="auto"/>
                        <w:tabs>
                          <w:tab w:pos="5348" w:val="left"/>
                        </w:tabs>
                        <w:bidi w:val="0"/>
                        <w:spacing w:before="0" w:after="0" w:line="334" w:lineRule="auto"/>
                        <w:ind w:left="860" w:right="0" w:firstLine="20"/>
                        <w:jc w:val="both"/>
                      </w:pPr>
                      <w:r>
                        <w:rPr>
                          <w:spacing w:val="0"/>
                          <w:w w:val="100"/>
                          <w:position w:val="0"/>
                          <w:shd w:val="clear" w:color="auto" w:fill="auto"/>
                          <w:lang w:val="cs-CZ" w:eastAsia="cs-CZ" w:bidi="cs-CZ"/>
                        </w:rPr>
                        <w:t xml:space="preserve">popř. jiným příslušným orgánům </w:t>
                      </w:r>
                      <w:r>
                        <w:rPr>
                          <w:spacing w:val="0"/>
                          <w:w w:val="100"/>
                          <w:position w:val="0"/>
                          <w:shd w:val="clear" w:color="auto" w:fill="auto"/>
                          <w:lang w:val="en-US" w:eastAsia="en-US" w:bidi="en-US"/>
                        </w:rPr>
                        <w:t xml:space="preserve">na jejich </w:t>
                      </w:r>
                      <w:r>
                        <w:rPr>
                          <w:spacing w:val="0"/>
                          <w:w w:val="100"/>
                          <w:position w:val="0"/>
                          <w:shd w:val="clear" w:color="auto" w:fill="auto"/>
                          <w:lang w:val="cs-CZ" w:eastAsia="cs-CZ" w:bidi="cs-CZ"/>
                        </w:rPr>
                        <w:t>vyžádání neprodleně umožnit šetření okolností předmětné udá</w:t>
                        <w:softHyphen/>
                        <w:t>losti;</w:t>
                      </w:r>
                      <w:r>
                        <w:rPr>
                          <w:spacing w:val="0"/>
                          <w:w w:val="100"/>
                          <w:position w:val="0"/>
                          <w:shd w:val="clear" w:color="auto" w:fill="auto"/>
                          <w:lang w:val="en-US" w:eastAsia="en-US" w:bidi="en-US"/>
                        </w:rPr>
                        <w:t xml:space="preserve"> a</w:t>
                        <w:tab/>
                      </w:r>
                      <w:r>
                        <w:rPr>
                          <w:b/>
                          <w:bCs/>
                          <w:spacing w:val="0"/>
                          <w:w w:val="100"/>
                          <w:position w:val="0"/>
                          <w:shd w:val="clear" w:color="auto" w:fill="auto"/>
                          <w:lang w:val="en-US" w:eastAsia="en-US" w:bidi="en-US"/>
                        </w:rPr>
                        <w:t>9.8</w:t>
                      </w:r>
                    </w:p>
                    <w:p>
                      <w:pPr>
                        <w:pStyle w:val="Style20"/>
                        <w:keepNext w:val="0"/>
                        <w:keepLines w:val="0"/>
                        <w:widowControl w:val="0"/>
                        <w:numPr>
                          <w:ilvl w:val="0"/>
                          <w:numId w:val="67"/>
                        </w:numPr>
                        <w:shd w:val="clear" w:color="auto" w:fill="auto"/>
                        <w:tabs>
                          <w:tab w:pos="868" w:val="left"/>
                        </w:tabs>
                        <w:bidi w:val="0"/>
                        <w:spacing w:before="0" w:after="0" w:line="334" w:lineRule="auto"/>
                        <w:ind w:left="860" w:right="0" w:hanging="280"/>
                        <w:jc w:val="both"/>
                      </w:pPr>
                      <w:r>
                        <w:rPr>
                          <w:spacing w:val="0"/>
                          <w:w w:val="100"/>
                          <w:position w:val="0"/>
                          <w:shd w:val="clear" w:color="auto" w:fill="auto"/>
                          <w:lang w:val="cs-CZ" w:eastAsia="cs-CZ" w:bidi="cs-CZ"/>
                        </w:rPr>
                        <w:t xml:space="preserve">prokázat výši skutečné újmy, jakož </w:t>
                      </w:r>
                      <w:r>
                        <w:rPr>
                          <w:spacing w:val="0"/>
                          <w:w w:val="100"/>
                          <w:position w:val="0"/>
                          <w:shd w:val="clear" w:color="auto" w:fill="auto"/>
                          <w:lang w:val="en-US" w:eastAsia="en-US" w:bidi="en-US"/>
                        </w:rPr>
                        <w:t xml:space="preserve">i </w:t>
                      </w:r>
                      <w:r>
                        <w:rPr>
                          <w:spacing w:val="0"/>
                          <w:w w:val="100"/>
                          <w:position w:val="0"/>
                          <w:shd w:val="clear" w:color="auto" w:fill="auto"/>
                          <w:lang w:val="cs-CZ" w:eastAsia="cs-CZ" w:bidi="cs-CZ"/>
                        </w:rPr>
                        <w:t xml:space="preserve">svá opatření </w:t>
                      </w:r>
                      <w:r>
                        <w:rPr>
                          <w:spacing w:val="0"/>
                          <w:w w:val="100"/>
                          <w:position w:val="0"/>
                          <w:shd w:val="clear" w:color="auto" w:fill="auto"/>
                          <w:lang w:val="en-US" w:eastAsia="en-US" w:bidi="en-US"/>
                        </w:rPr>
                        <w:t xml:space="preserve">k </w:t>
                      </w:r>
                      <w:r>
                        <w:rPr>
                          <w:spacing w:val="0"/>
                          <w:w w:val="100"/>
                          <w:position w:val="0"/>
                          <w:shd w:val="clear" w:color="auto" w:fill="auto"/>
                          <w:lang w:val="cs-CZ" w:eastAsia="cs-CZ" w:bidi="cs-CZ"/>
                        </w:rPr>
                        <w:t>od</w:t>
                        <w:softHyphen/>
                      </w:r>
                      <w:r>
                        <w:rPr>
                          <w:spacing w:val="0"/>
                          <w:w w:val="100"/>
                          <w:position w:val="0"/>
                          <w:shd w:val="clear" w:color="auto" w:fill="auto"/>
                          <w:lang w:val="en-US" w:eastAsia="en-US" w:bidi="en-US"/>
                        </w:rPr>
                      </w:r>
                      <w:r>
                        <w:rPr>
                          <w:spacing w:val="0"/>
                          <w:w w:val="100"/>
                          <w:position w:val="0"/>
                          <w:shd w:val="clear" w:color="auto" w:fill="auto"/>
                          <w:lang w:val="cs-CZ" w:eastAsia="cs-CZ" w:bidi="cs-CZ"/>
                        </w:rPr>
                        <w:t xml:space="preserve">vrácení újmy </w:t>
                      </w:r>
                      <w:r>
                        <w:rPr>
                          <w:spacing w:val="0"/>
                          <w:w w:val="100"/>
                          <w:position w:val="0"/>
                          <w:shd w:val="clear" w:color="auto" w:fill="auto"/>
                          <w:lang w:val="en-US" w:eastAsia="en-US" w:bidi="en-US"/>
                        </w:rPr>
                        <w:t xml:space="preserve">nebo k </w:t>
                      </w:r>
                      <w:r>
                        <w:rPr>
                          <w:spacing w:val="0"/>
                          <w:w w:val="100"/>
                          <w:position w:val="0"/>
                          <w:shd w:val="clear" w:color="auto" w:fill="auto"/>
                          <w:lang w:val="cs-CZ" w:eastAsia="cs-CZ" w:bidi="cs-CZ"/>
                        </w:rPr>
                        <w:t>jejímu zmírnění.</w:t>
                      </w:r>
                    </w:p>
                    <w:p>
                      <w:pPr>
                        <w:pStyle w:val="Style20"/>
                        <w:keepNext w:val="0"/>
                        <w:keepLines w:val="0"/>
                        <w:widowControl w:val="0"/>
                        <w:shd w:val="clear" w:color="auto" w:fill="auto"/>
                        <w:bidi w:val="0"/>
                        <w:spacing w:before="0" w:after="200" w:line="334" w:lineRule="auto"/>
                        <w:ind w:left="580" w:right="0" w:firstLine="0"/>
                        <w:jc w:val="both"/>
                      </w:pPr>
                      <w:r>
                        <w:rPr>
                          <w:spacing w:val="0"/>
                          <w:w w:val="100"/>
                          <w:position w:val="0"/>
                          <w:shd w:val="clear" w:color="auto" w:fill="auto"/>
                          <w:lang w:val="en-US" w:eastAsia="en-US" w:bidi="en-US"/>
                        </w:rPr>
                        <w:t xml:space="preserve">TMCZ </w:t>
                      </w:r>
                      <w:r>
                        <w:rPr>
                          <w:spacing w:val="0"/>
                          <w:w w:val="100"/>
                          <w:position w:val="0"/>
                          <w:shd w:val="clear" w:color="auto" w:fill="auto"/>
                          <w:lang w:val="cs-CZ" w:eastAsia="cs-CZ" w:bidi="cs-CZ"/>
                        </w:rPr>
                        <w:t xml:space="preserve">není </w:t>
                      </w:r>
                      <w:r>
                        <w:rPr>
                          <w:spacing w:val="0"/>
                          <w:w w:val="100"/>
                          <w:position w:val="0"/>
                          <w:shd w:val="clear" w:color="auto" w:fill="auto"/>
                          <w:lang w:val="en-US" w:eastAsia="en-US" w:bidi="en-US"/>
                        </w:rPr>
                        <w:t xml:space="preserve">povinen nahradit </w:t>
                      </w:r>
                      <w:r>
                        <w:rPr>
                          <w:spacing w:val="0"/>
                          <w:w w:val="100"/>
                          <w:position w:val="0"/>
                          <w:shd w:val="clear" w:color="auto" w:fill="auto"/>
                          <w:lang w:val="cs-CZ" w:eastAsia="cs-CZ" w:bidi="cs-CZ"/>
                        </w:rPr>
                        <w:t xml:space="preserve">újmu, která </w:t>
                      </w:r>
                      <w:r>
                        <w:rPr>
                          <w:spacing w:val="0"/>
                          <w:w w:val="100"/>
                          <w:position w:val="0"/>
                          <w:shd w:val="clear" w:color="auto" w:fill="auto"/>
                          <w:lang w:val="en-US" w:eastAsia="en-US" w:bidi="en-US"/>
                        </w:rPr>
                        <w:t xml:space="preserve">vznikla </w:t>
                      </w:r>
                      <w:r>
                        <w:rPr>
                          <w:spacing w:val="0"/>
                          <w:w w:val="100"/>
                          <w:position w:val="0"/>
                          <w:shd w:val="clear" w:color="auto" w:fill="auto"/>
                          <w:lang w:val="cs-CZ" w:eastAsia="cs-CZ" w:bidi="cs-CZ"/>
                        </w:rPr>
                        <w:t xml:space="preserve">tím, že Smluvní </w:t>
                      </w:r>
                      <w:r>
                        <w:rPr>
                          <w:spacing w:val="0"/>
                          <w:w w:val="100"/>
                          <w:position w:val="0"/>
                          <w:shd w:val="clear" w:color="auto" w:fill="auto"/>
                          <w:lang w:val="en-US" w:eastAsia="en-US" w:bidi="en-US"/>
                        </w:rPr>
                        <w:t xml:space="preserve">partner tyto </w:t>
                      </w:r>
                      <w:r>
                        <w:rPr>
                          <w:spacing w:val="0"/>
                          <w:w w:val="100"/>
                          <w:position w:val="0"/>
                          <w:shd w:val="clear" w:color="auto" w:fill="auto"/>
                          <w:lang w:val="cs-CZ" w:eastAsia="cs-CZ" w:bidi="cs-CZ"/>
                        </w:rPr>
                        <w:t xml:space="preserve">své </w:t>
                      </w:r>
                      <w:r>
                        <w:rPr>
                          <w:spacing w:val="0"/>
                          <w:w w:val="100"/>
                          <w:position w:val="0"/>
                          <w:shd w:val="clear" w:color="auto" w:fill="auto"/>
                          <w:lang w:val="en-US" w:eastAsia="en-US" w:bidi="en-US"/>
                        </w:rPr>
                        <w:t>povinnosti nesplnil.</w:t>
                      </w:r>
                    </w:p>
                    <w:p>
                      <w:pPr>
                        <w:pStyle w:val="Style20"/>
                        <w:keepNext w:val="0"/>
                        <w:keepLines w:val="0"/>
                        <w:widowControl w:val="0"/>
                        <w:numPr>
                          <w:ilvl w:val="0"/>
                          <w:numId w:val="65"/>
                        </w:numPr>
                        <w:shd w:val="clear" w:color="auto" w:fill="auto"/>
                        <w:tabs>
                          <w:tab w:pos="576" w:val="left"/>
                        </w:tabs>
                        <w:bidi w:val="0"/>
                        <w:spacing w:before="0" w:after="0" w:line="334" w:lineRule="auto"/>
                        <w:ind w:left="580" w:right="0" w:hanging="580"/>
                        <w:jc w:val="both"/>
                      </w:pPr>
                      <w:r>
                        <w:rPr>
                          <w:spacing w:val="0"/>
                          <w:w w:val="100"/>
                          <w:position w:val="0"/>
                          <w:shd w:val="clear" w:color="auto" w:fill="auto"/>
                          <w:lang w:val="cs-CZ" w:eastAsia="cs-CZ" w:bidi="cs-CZ"/>
                        </w:rPr>
                        <w:t xml:space="preserve">Smluvní </w:t>
                      </w:r>
                      <w:r>
                        <w:rPr>
                          <w:spacing w:val="0"/>
                          <w:w w:val="100"/>
                          <w:position w:val="0"/>
                          <w:shd w:val="clear" w:color="auto" w:fill="auto"/>
                          <w:lang w:val="en-US" w:eastAsia="en-US" w:bidi="en-US"/>
                        </w:rPr>
                        <w:t xml:space="preserve">strany se dohodly, </w:t>
                      </w:r>
                      <w:r>
                        <w:rPr>
                          <w:spacing w:val="0"/>
                          <w:w w:val="100"/>
                          <w:position w:val="0"/>
                          <w:shd w:val="clear" w:color="auto" w:fill="auto"/>
                          <w:lang w:val="cs-CZ" w:eastAsia="cs-CZ" w:bidi="cs-CZ"/>
                        </w:rPr>
                        <w:t xml:space="preserve">že omezují výši újmy, která může Smluvnímu </w:t>
                      </w:r>
                      <w:r>
                        <w:rPr>
                          <w:spacing w:val="0"/>
                          <w:w w:val="100"/>
                          <w:position w:val="0"/>
                          <w:shd w:val="clear" w:color="auto" w:fill="auto"/>
                          <w:lang w:val="en-US" w:eastAsia="en-US" w:bidi="en-US"/>
                        </w:rPr>
                        <w:t xml:space="preserve">partnerovi </w:t>
                      </w:r>
                      <w:r>
                        <w:rPr>
                          <w:spacing w:val="0"/>
                          <w:w w:val="100"/>
                          <w:position w:val="0"/>
                          <w:shd w:val="clear" w:color="auto" w:fill="auto"/>
                          <w:lang w:val="cs-CZ" w:eastAsia="cs-CZ" w:bidi="cs-CZ"/>
                        </w:rPr>
                        <w:t xml:space="preserve">při plnění </w:t>
                      </w:r>
                      <w:r>
                        <w:rPr>
                          <w:spacing w:val="0"/>
                          <w:w w:val="100"/>
                          <w:position w:val="0"/>
                          <w:shd w:val="clear" w:color="auto" w:fill="auto"/>
                          <w:lang w:val="en-US" w:eastAsia="en-US" w:bidi="en-US"/>
                        </w:rPr>
                        <w:t xml:space="preserve">Smlouvy </w:t>
                      </w:r>
                      <w:r>
                        <w:rPr>
                          <w:spacing w:val="0"/>
                          <w:w w:val="100"/>
                          <w:position w:val="0"/>
                          <w:shd w:val="clear" w:color="auto" w:fill="auto"/>
                          <w:lang w:val="cs-CZ" w:eastAsia="cs-CZ" w:bidi="cs-CZ"/>
                        </w:rPr>
                        <w:t>vznik</w:t>
                        <w:softHyphen/>
                      </w:r>
                      <w:r>
                        <w:rPr>
                          <w:spacing w:val="0"/>
                          <w:w w:val="100"/>
                          <w:position w:val="0"/>
                          <w:shd w:val="clear" w:color="auto" w:fill="auto"/>
                          <w:lang w:val="en-US" w:eastAsia="en-US" w:bidi="en-US"/>
                        </w:rPr>
                      </w:r>
                      <w:r>
                        <w:rPr>
                          <w:spacing w:val="0"/>
                          <w:w w:val="100"/>
                          <w:position w:val="0"/>
                          <w:shd w:val="clear" w:color="auto" w:fill="auto"/>
                          <w:lang w:val="cs-CZ" w:eastAsia="cs-CZ" w:bidi="cs-CZ"/>
                        </w:rPr>
                        <w:t>nout, a to na celkovou částku 120 000 Kč. Smluvní partner nemá nárok na náhradu újmy vzniklé v důsledku porušení povinností TMCZ, je-li za takové porušení sjednána smluv</w:t>
                        <w:softHyphen/>
                        <w:t>ní sankce (např. v podobě smluvní pokuty nebo slevy z ceny Služby v rámci SLA).</w:t>
                      </w:r>
                    </w:p>
                    <w:p>
                      <w:pPr>
                        <w:pStyle w:val="Style20"/>
                        <w:keepNext w:val="0"/>
                        <w:keepLines w:val="0"/>
                        <w:widowControl w:val="0"/>
                        <w:shd w:val="clear" w:color="auto" w:fill="auto"/>
                        <w:bidi w:val="0"/>
                        <w:spacing w:before="0" w:after="0" w:line="334" w:lineRule="auto"/>
                        <w:ind w:left="0" w:right="0" w:firstLine="0"/>
                        <w:jc w:val="right"/>
                      </w:pPr>
                      <w:r>
                        <w:rPr>
                          <w:b/>
                          <w:bCs/>
                          <w:spacing w:val="0"/>
                          <w:w w:val="100"/>
                          <w:position w:val="0"/>
                          <w:shd w:val="clear" w:color="auto" w:fill="auto"/>
                          <w:lang w:val="cs-CZ" w:eastAsia="cs-CZ" w:bidi="cs-CZ"/>
                        </w:rPr>
                        <w:t>9.9</w:t>
                      </w:r>
                    </w:p>
                    <w:p>
                      <w:pPr>
                        <w:pStyle w:val="Style20"/>
                        <w:keepNext w:val="0"/>
                        <w:keepLines w:val="0"/>
                        <w:widowControl w:val="0"/>
                        <w:numPr>
                          <w:ilvl w:val="0"/>
                          <w:numId w:val="65"/>
                        </w:numPr>
                        <w:shd w:val="clear" w:color="auto" w:fill="auto"/>
                        <w:tabs>
                          <w:tab w:pos="566" w:val="left"/>
                        </w:tabs>
                        <w:bidi w:val="0"/>
                        <w:spacing w:before="0" w:after="0" w:line="334" w:lineRule="auto"/>
                        <w:ind w:left="580" w:right="0" w:hanging="580"/>
                        <w:jc w:val="both"/>
                      </w:pPr>
                      <w:r>
                        <w:rPr>
                          <w:spacing w:val="0"/>
                          <w:w w:val="100"/>
                          <w:position w:val="0"/>
                          <w:shd w:val="clear" w:color="auto" w:fill="auto"/>
                          <w:lang w:val="cs-CZ" w:eastAsia="cs-CZ" w:bidi="cs-CZ"/>
                        </w:rPr>
                        <w:t>TMCZ není v prodlení s plněním svých povinností (zejm. není v prodlení se zřízením, změnou či poskytováním Služby ani s odstraněním Poruchy, vady či výpadku Služby) v případě, že k prodlení došlo v důsledku:</w:t>
                      </w:r>
                    </w:p>
                    <w:p>
                      <w:pPr>
                        <w:pStyle w:val="Style20"/>
                        <w:keepNext w:val="0"/>
                        <w:keepLines w:val="0"/>
                        <w:widowControl w:val="0"/>
                        <w:numPr>
                          <w:ilvl w:val="0"/>
                          <w:numId w:val="69"/>
                        </w:numPr>
                        <w:shd w:val="clear" w:color="auto" w:fill="auto"/>
                        <w:tabs>
                          <w:tab w:pos="849" w:val="left"/>
                        </w:tabs>
                        <w:bidi w:val="0"/>
                        <w:spacing w:before="0" w:after="0" w:line="334" w:lineRule="auto"/>
                        <w:ind w:left="860" w:right="0" w:hanging="280"/>
                        <w:jc w:val="both"/>
                      </w:pPr>
                      <w:r>
                        <w:rPr>
                          <w:spacing w:val="0"/>
                          <w:w w:val="100"/>
                          <w:position w:val="0"/>
                          <w:shd w:val="clear" w:color="auto" w:fill="auto"/>
                          <w:lang w:val="cs-CZ" w:eastAsia="cs-CZ" w:bidi="cs-CZ"/>
                        </w:rPr>
                        <w:t>jednání TMCZ, k němuž je TMCZ oprávněn dle smluv</w:t>
                        <w:softHyphen/>
                        <w:t>ních ujednání nebo právních předpisů; nebo</w:t>
                      </w:r>
                    </w:p>
                    <w:p>
                      <w:pPr>
                        <w:pStyle w:val="Style20"/>
                        <w:keepNext w:val="0"/>
                        <w:keepLines w:val="0"/>
                        <w:widowControl w:val="0"/>
                        <w:numPr>
                          <w:ilvl w:val="0"/>
                          <w:numId w:val="69"/>
                        </w:numPr>
                        <w:shd w:val="clear" w:color="auto" w:fill="auto"/>
                        <w:tabs>
                          <w:tab w:pos="863" w:val="left"/>
                        </w:tabs>
                        <w:bidi w:val="0"/>
                        <w:spacing w:before="0" w:after="0" w:line="334" w:lineRule="auto"/>
                        <w:ind w:left="0" w:right="0" w:firstLine="580"/>
                        <w:jc w:val="left"/>
                      </w:pPr>
                      <w:r>
                        <w:rPr>
                          <w:spacing w:val="0"/>
                          <w:w w:val="100"/>
                          <w:position w:val="0"/>
                          <w:shd w:val="clear" w:color="auto" w:fill="auto"/>
                          <w:lang w:val="cs-CZ" w:eastAsia="cs-CZ" w:bidi="cs-CZ"/>
                        </w:rPr>
                        <w:t>provádění plánovaných údržbových prací; nebo</w:t>
                      </w:r>
                    </w:p>
                    <w:p>
                      <w:pPr>
                        <w:pStyle w:val="Style20"/>
                        <w:keepNext w:val="0"/>
                        <w:keepLines w:val="0"/>
                        <w:widowControl w:val="0"/>
                        <w:numPr>
                          <w:ilvl w:val="0"/>
                          <w:numId w:val="69"/>
                        </w:numPr>
                        <w:shd w:val="clear" w:color="auto" w:fill="auto"/>
                        <w:tabs>
                          <w:tab w:pos="868" w:val="left"/>
                        </w:tabs>
                        <w:bidi w:val="0"/>
                        <w:spacing w:before="0" w:after="0" w:line="334" w:lineRule="auto"/>
                        <w:ind w:left="860" w:right="0" w:hanging="280"/>
                        <w:jc w:val="both"/>
                      </w:pPr>
                      <w:r>
                        <w:rPr>
                          <w:spacing w:val="0"/>
                          <w:w w:val="100"/>
                          <w:position w:val="0"/>
                          <w:shd w:val="clear" w:color="auto" w:fill="auto"/>
                          <w:lang w:val="cs-CZ" w:eastAsia="cs-CZ" w:bidi="cs-CZ"/>
                        </w:rPr>
                        <w:t>rozhodnutí nebo nevydání povolení ze strany soudu, správního úřadu, orgánu veřejné moci nebo jiného oprávněného subjektu či třetí strany nebo provozova</w:t>
                        <w:softHyphen/>
                        <w:t>telů dopravní či technické infrastruktury ve veřejném zájmu; nebo</w:t>
                      </w:r>
                    </w:p>
                    <w:p>
                      <w:pPr>
                        <w:pStyle w:val="Style20"/>
                        <w:keepNext w:val="0"/>
                        <w:keepLines w:val="0"/>
                        <w:widowControl w:val="0"/>
                        <w:numPr>
                          <w:ilvl w:val="0"/>
                          <w:numId w:val="69"/>
                        </w:numPr>
                        <w:shd w:val="clear" w:color="auto" w:fill="auto"/>
                        <w:tabs>
                          <w:tab w:pos="863" w:val="left"/>
                        </w:tabs>
                        <w:bidi w:val="0"/>
                        <w:spacing w:before="0" w:after="0" w:line="334" w:lineRule="auto"/>
                        <w:ind w:left="860" w:right="0" w:hanging="280"/>
                        <w:jc w:val="both"/>
                      </w:pPr>
                      <w:r>
                        <w:rPr>
                          <w:spacing w:val="0"/>
                          <w:w w:val="100"/>
                          <w:position w:val="0"/>
                          <w:shd w:val="clear" w:color="auto" w:fill="auto"/>
                          <w:lang w:val="cs-CZ" w:eastAsia="cs-CZ" w:bidi="cs-CZ"/>
                        </w:rPr>
                        <w:t>ohrožení bezpečnosti komunikační sítě nebo Služeb; nebo</w:t>
                      </w:r>
                    </w:p>
                    <w:p>
                      <w:pPr>
                        <w:pStyle w:val="Style20"/>
                        <w:keepNext w:val="0"/>
                        <w:keepLines w:val="0"/>
                        <w:widowControl w:val="0"/>
                        <w:numPr>
                          <w:ilvl w:val="0"/>
                          <w:numId w:val="69"/>
                        </w:numPr>
                        <w:shd w:val="clear" w:color="auto" w:fill="auto"/>
                        <w:tabs>
                          <w:tab w:pos="858" w:val="left"/>
                        </w:tabs>
                        <w:bidi w:val="0"/>
                        <w:spacing w:before="0" w:after="0" w:line="334" w:lineRule="auto"/>
                        <w:ind w:left="860" w:right="0" w:hanging="280"/>
                        <w:jc w:val="both"/>
                      </w:pPr>
                      <w:r>
                        <w:rPr>
                          <w:spacing w:val="0"/>
                          <w:w w:val="100"/>
                          <w:position w:val="0"/>
                          <w:shd w:val="clear" w:color="auto" w:fill="auto"/>
                          <w:lang w:val="cs-CZ" w:eastAsia="cs-CZ" w:bidi="cs-CZ"/>
                        </w:rPr>
                        <w:t>výpadku napájení či nevyhovujících klimatických pod</w:t>
                        <w:softHyphen/>
                        <w:t>mínek v místě ukončení Služby, které zajišťuje Smluvní partner; nebo</w:t>
                      </w:r>
                    </w:p>
                    <w:p>
                      <w:pPr>
                        <w:pStyle w:val="Style20"/>
                        <w:keepNext w:val="0"/>
                        <w:keepLines w:val="0"/>
                        <w:widowControl w:val="0"/>
                        <w:numPr>
                          <w:ilvl w:val="0"/>
                          <w:numId w:val="69"/>
                        </w:numPr>
                        <w:shd w:val="clear" w:color="auto" w:fill="auto"/>
                        <w:tabs>
                          <w:tab w:pos="863" w:val="left"/>
                        </w:tabs>
                        <w:bidi w:val="0"/>
                        <w:spacing w:before="0" w:after="0" w:line="334" w:lineRule="auto"/>
                        <w:ind w:left="860" w:right="0" w:hanging="280"/>
                        <w:jc w:val="both"/>
                      </w:pPr>
                      <w:r>
                        <w:rPr>
                          <w:spacing w:val="0"/>
                          <w:w w:val="100"/>
                          <w:position w:val="0"/>
                          <w:shd w:val="clear" w:color="auto" w:fill="auto"/>
                          <w:lang w:val="cs-CZ" w:eastAsia="cs-CZ" w:bidi="cs-CZ"/>
                        </w:rPr>
                        <w:t>znemožnění pracovníkům TMCZ přístupu za účelem opravy Poruchy, zřízení, změny či ukončení Služby; nebo</w:t>
                      </w:r>
                    </w:p>
                    <w:p>
                      <w:pPr>
                        <w:pStyle w:val="Style20"/>
                        <w:keepNext w:val="0"/>
                        <w:keepLines w:val="0"/>
                        <w:widowControl w:val="0"/>
                        <w:numPr>
                          <w:ilvl w:val="0"/>
                          <w:numId w:val="69"/>
                        </w:numPr>
                        <w:shd w:val="clear" w:color="auto" w:fill="auto"/>
                        <w:tabs>
                          <w:tab w:pos="878" w:val="left"/>
                        </w:tabs>
                        <w:bidi w:val="0"/>
                        <w:spacing w:before="0" w:after="0" w:line="334" w:lineRule="auto"/>
                        <w:ind w:left="0" w:right="0" w:firstLine="580"/>
                        <w:jc w:val="left"/>
                      </w:pPr>
                      <w:r>
                        <w:rPr>
                          <w:spacing w:val="0"/>
                          <w:w w:val="100"/>
                          <w:position w:val="0"/>
                          <w:shd w:val="clear" w:color="auto" w:fill="auto"/>
                          <w:lang w:val="cs-CZ" w:eastAsia="cs-CZ" w:bidi="cs-CZ"/>
                        </w:rPr>
                        <w:t>poruchy Zařízení Smluvního partnera; nebo</w:t>
                      </w:r>
                    </w:p>
                    <w:p>
                      <w:pPr>
                        <w:pStyle w:val="Style20"/>
                        <w:keepNext w:val="0"/>
                        <w:keepLines w:val="0"/>
                        <w:widowControl w:val="0"/>
                        <w:numPr>
                          <w:ilvl w:val="0"/>
                          <w:numId w:val="69"/>
                        </w:numPr>
                        <w:shd w:val="clear" w:color="auto" w:fill="auto"/>
                        <w:tabs>
                          <w:tab w:pos="858" w:val="left"/>
                        </w:tabs>
                        <w:bidi w:val="0"/>
                        <w:spacing w:before="0" w:after="0" w:line="334" w:lineRule="auto"/>
                        <w:ind w:left="860" w:right="0" w:hanging="280"/>
                        <w:jc w:val="both"/>
                      </w:pPr>
                      <w:r>
                        <w:rPr>
                          <w:spacing w:val="0"/>
                          <w:w w:val="100"/>
                          <w:position w:val="0"/>
                          <w:shd w:val="clear" w:color="auto" w:fill="auto"/>
                          <w:lang w:val="cs-CZ" w:eastAsia="cs-CZ" w:bidi="cs-CZ"/>
                        </w:rPr>
                        <w:t>skutečností uvedených v odst. 9.8 těchto Podmínek Firemního řešení; nebo</w:t>
                      </w:r>
                    </w:p>
                    <w:p>
                      <w:pPr>
                        <w:pStyle w:val="Style20"/>
                        <w:keepNext w:val="0"/>
                        <w:keepLines w:val="0"/>
                        <w:widowControl w:val="0"/>
                        <w:numPr>
                          <w:ilvl w:val="0"/>
                          <w:numId w:val="69"/>
                        </w:numPr>
                        <w:shd w:val="clear" w:color="auto" w:fill="auto"/>
                        <w:tabs>
                          <w:tab w:pos="863" w:val="left"/>
                        </w:tabs>
                        <w:bidi w:val="0"/>
                        <w:spacing w:before="0" w:after="200" w:line="334" w:lineRule="auto"/>
                        <w:ind w:left="0" w:right="0" w:firstLine="580"/>
                        <w:jc w:val="left"/>
                      </w:pPr>
                      <w:r>
                        <w:rPr>
                          <w:spacing w:val="0"/>
                          <w:w w:val="100"/>
                          <w:position w:val="0"/>
                          <w:shd w:val="clear" w:color="auto" w:fill="auto"/>
                          <w:lang w:val="cs-CZ" w:eastAsia="cs-CZ" w:bidi="cs-CZ"/>
                        </w:rPr>
                        <w:t>porušení povinností na straně Smluvního partnera.</w:t>
                      </w:r>
                    </w:p>
                    <w:p>
                      <w:pPr>
                        <w:pStyle w:val="Style20"/>
                        <w:keepNext w:val="0"/>
                        <w:keepLines w:val="0"/>
                        <w:widowControl w:val="0"/>
                        <w:numPr>
                          <w:ilvl w:val="0"/>
                          <w:numId w:val="65"/>
                        </w:numPr>
                        <w:shd w:val="clear" w:color="auto" w:fill="auto"/>
                        <w:tabs>
                          <w:tab w:pos="566" w:val="left"/>
                        </w:tabs>
                        <w:bidi w:val="0"/>
                        <w:spacing w:before="0" w:after="200" w:line="334" w:lineRule="auto"/>
                        <w:ind w:left="580" w:right="0" w:hanging="580"/>
                        <w:jc w:val="both"/>
                      </w:pPr>
                      <w:r>
                        <w:rPr>
                          <w:spacing w:val="0"/>
                          <w:w w:val="100"/>
                          <w:position w:val="0"/>
                          <w:shd w:val="clear" w:color="auto" w:fill="auto"/>
                          <w:lang w:val="cs-CZ" w:eastAsia="cs-CZ" w:bidi="cs-CZ"/>
                        </w:rPr>
                        <w:t>TMCZ je oprávněn přerušit poskytování Služby při pro</w:t>
                        <w:softHyphen/>
                        <w:t>vádění plánované údržby. TMCZ je povinen oznámit Smluvnímu partnerovi předem termín plánované údrž</w:t>
                        <w:softHyphen/>
                        <w:t>by. TMCZ vynaloží veškeré úsilí, aby plánovaná údržba probíhala v časech, které budou pro Smluvního partnera</w:t>
                      </w:r>
                    </w:p>
                  </w:txbxContent>
                </v:textbox>
                <w10:wrap type="square" anchorx="page" anchory="margin"/>
              </v:shape>
            </w:pict>
          </mc:Fallback>
        </mc:AlternateContent>
      </w:r>
      <w:r>
        <w:t xml:space="preserve">vyhovující. Přerušení poskytování Služby potrvá pouze po dobu nezbytně nutnou k provedení </w:t>
      </w:r>
      <w:r>
        <w:t>plánované údržby. Přerušení poskytování Služby, k němuž dojde při pláno</w:t>
      </w:r>
      <w:r>
        <w:softHyphen/>
        <w:t>vané údržbě, není považováno za prodlení TMCZ s po</w:t>
      </w:r>
      <w:r>
        <w:softHyphen/>
        <w:t>skytováním Služeb ani za prodlení TMCZ s plněním jeho povinností a nezapočítává se do doby nedostupnosti Služby.</w:t>
      </w:r>
    </w:p>
    <w:p w:rsidR="00215B20" w:rsidRDefault="00FD0AA3">
      <w:pPr>
        <w:pStyle w:val="Zkladntext1"/>
        <w:shd w:val="clear" w:color="auto" w:fill="auto"/>
        <w:spacing w:after="220" w:line="334" w:lineRule="auto"/>
        <w:jc w:val="both"/>
      </w:pPr>
      <w:r>
        <w:t>Za Poruchu se u zálo</w:t>
      </w:r>
      <w:r>
        <w:t>hovaných Služeb nepovažují případy, kdy dojde k výpadku primárního připojení - Služby, pokud dojde k přepojení na záložní připojení - Službu.</w:t>
      </w:r>
    </w:p>
    <w:p w:rsidR="00215B20" w:rsidRDefault="00FD0AA3">
      <w:pPr>
        <w:pStyle w:val="Zkladntext1"/>
        <w:shd w:val="clear" w:color="auto" w:fill="auto"/>
        <w:spacing w:after="220" w:line="334" w:lineRule="auto"/>
        <w:jc w:val="both"/>
      </w:pPr>
      <w:r>
        <w:t>TMCZ není v prodlení, bránila-li mu v splnění povinnos</w:t>
      </w:r>
      <w:r>
        <w:softHyphen/>
        <w:t>ti některá z překážek vylučujících povinnost k náhradě škod</w:t>
      </w:r>
      <w:r>
        <w:t>y ve smyslu § 2913 odst. 2 občanského zákoníku (např. vzpoura, stávka nebo civilní nepokoje, válečná ope</w:t>
      </w:r>
      <w:r>
        <w:softHyphen/>
        <w:t>race, případ nouze na celostátní nebo místní úrovni, požár, záplava, povodeň, extrémně nepříznivé počasí a jeho ná</w:t>
      </w:r>
      <w:r>
        <w:softHyphen/>
        <w:t>sledky, exploze či sesuv půdy). O do</w:t>
      </w:r>
      <w:r>
        <w:t>bu, po kterou překážky dle předchozí věty trvají, a o dobu nutnou k obnovení po</w:t>
      </w:r>
      <w:r>
        <w:softHyphen/>
        <w:t>skytování Služeb se též prodlužují veškeré smluvně sjed</w:t>
      </w:r>
      <w:r>
        <w:softHyphen/>
        <w:t>nané lhůty a doby. TMCZ není v prodlení se zřízením ani poskytováním Služeb rovněž v případě, že prodlení nebylo ze stra</w:t>
      </w:r>
      <w:r>
        <w:t>ny TMCZ zaviněno.</w:t>
      </w:r>
    </w:p>
    <w:p w:rsidR="00215B20" w:rsidRDefault="00FD0AA3">
      <w:pPr>
        <w:pStyle w:val="Zkladntext1"/>
        <w:shd w:val="clear" w:color="auto" w:fill="auto"/>
        <w:spacing w:after="0" w:line="334" w:lineRule="auto"/>
        <w:jc w:val="both"/>
      </w:pPr>
      <w:r>
        <w:t>Za podstatné porušení povinnosti se výslovně, nikoliv však výlučně, považuje každá z následujících skutečností:</w:t>
      </w:r>
    </w:p>
    <w:p w:rsidR="00215B20" w:rsidRDefault="00FD0AA3">
      <w:pPr>
        <w:pStyle w:val="Zkladntext1"/>
        <w:numPr>
          <w:ilvl w:val="0"/>
          <w:numId w:val="39"/>
        </w:numPr>
        <w:shd w:val="clear" w:color="auto" w:fill="auto"/>
        <w:tabs>
          <w:tab w:val="left" w:pos="290"/>
        </w:tabs>
        <w:spacing w:after="0" w:line="334" w:lineRule="auto"/>
        <w:ind w:left="300" w:hanging="300"/>
        <w:jc w:val="both"/>
      </w:pPr>
      <w:r>
        <w:t>prodlení se zaplacením ceny Služby po dobu delší než 30 dní;</w:t>
      </w:r>
    </w:p>
    <w:p w:rsidR="00215B20" w:rsidRDefault="00FD0AA3">
      <w:pPr>
        <w:pStyle w:val="Zkladntext1"/>
        <w:numPr>
          <w:ilvl w:val="0"/>
          <w:numId w:val="39"/>
        </w:numPr>
        <w:shd w:val="clear" w:color="auto" w:fill="auto"/>
        <w:tabs>
          <w:tab w:val="left" w:pos="290"/>
        </w:tabs>
        <w:spacing w:after="0" w:line="334" w:lineRule="auto"/>
        <w:jc w:val="both"/>
      </w:pPr>
      <w:r>
        <w:t>neoprávněný zásah do Zařízení TMCZ;</w:t>
      </w:r>
    </w:p>
    <w:p w:rsidR="00215B20" w:rsidRDefault="00FD0AA3">
      <w:pPr>
        <w:pStyle w:val="Zkladntext1"/>
        <w:numPr>
          <w:ilvl w:val="0"/>
          <w:numId w:val="39"/>
        </w:numPr>
        <w:shd w:val="clear" w:color="auto" w:fill="auto"/>
        <w:tabs>
          <w:tab w:val="left" w:pos="290"/>
        </w:tabs>
        <w:spacing w:after="0" w:line="334" w:lineRule="auto"/>
        <w:jc w:val="both"/>
      </w:pPr>
      <w:r>
        <w:t>neumožnění přístupu TMCZ k je</w:t>
      </w:r>
      <w:r>
        <w:t>ho Zařízení;</w:t>
      </w:r>
    </w:p>
    <w:p w:rsidR="00215B20" w:rsidRDefault="00FD0AA3">
      <w:pPr>
        <w:pStyle w:val="Zkladntext1"/>
        <w:numPr>
          <w:ilvl w:val="0"/>
          <w:numId w:val="39"/>
        </w:numPr>
        <w:shd w:val="clear" w:color="auto" w:fill="auto"/>
        <w:tabs>
          <w:tab w:val="left" w:pos="290"/>
        </w:tabs>
        <w:spacing w:after="0" w:line="334" w:lineRule="auto"/>
        <w:ind w:left="300" w:hanging="300"/>
        <w:jc w:val="both"/>
      </w:pPr>
      <w:r>
        <w:t>užití neschváleného Zařízení ze strany Smluvního partnera;</w:t>
      </w:r>
    </w:p>
    <w:p w:rsidR="00215B20" w:rsidRDefault="00FD0AA3">
      <w:pPr>
        <w:pStyle w:val="Zkladntext1"/>
        <w:numPr>
          <w:ilvl w:val="0"/>
          <w:numId w:val="39"/>
        </w:numPr>
        <w:shd w:val="clear" w:color="auto" w:fill="auto"/>
        <w:tabs>
          <w:tab w:val="left" w:pos="290"/>
        </w:tabs>
        <w:spacing w:after="0" w:line="334" w:lineRule="auto"/>
        <w:jc w:val="both"/>
      </w:pPr>
      <w:r>
        <w:t>užívání Služby v rozporu s právními předpisy;</w:t>
      </w:r>
    </w:p>
    <w:p w:rsidR="00215B20" w:rsidRDefault="00FD0AA3">
      <w:pPr>
        <w:pStyle w:val="Zkladntext1"/>
        <w:numPr>
          <w:ilvl w:val="0"/>
          <w:numId w:val="39"/>
        </w:numPr>
        <w:shd w:val="clear" w:color="auto" w:fill="auto"/>
        <w:tabs>
          <w:tab w:val="left" w:pos="290"/>
        </w:tabs>
        <w:spacing w:after="0" w:line="334" w:lineRule="auto"/>
        <w:ind w:left="300" w:hanging="300"/>
        <w:jc w:val="both"/>
      </w:pPr>
      <w:r>
        <w:t>užívání Služby Smluvním partnerem způsobem ohro</w:t>
      </w:r>
      <w:r>
        <w:softHyphen/>
        <w:t>žujícím bezpečnost dat nebo informačních systémů jiných subjektů;</w:t>
      </w:r>
    </w:p>
    <w:p w:rsidR="00215B20" w:rsidRDefault="00FD0AA3">
      <w:pPr>
        <w:pStyle w:val="Zkladntext1"/>
        <w:numPr>
          <w:ilvl w:val="0"/>
          <w:numId w:val="39"/>
        </w:numPr>
        <w:shd w:val="clear" w:color="auto" w:fill="auto"/>
        <w:tabs>
          <w:tab w:val="left" w:pos="298"/>
        </w:tabs>
        <w:spacing w:after="0" w:line="334" w:lineRule="auto"/>
        <w:ind w:left="300" w:hanging="300"/>
        <w:jc w:val="both"/>
      </w:pPr>
      <w:r>
        <w:t xml:space="preserve">uvedení nepravdivých </w:t>
      </w:r>
      <w:r>
        <w:t>údajů při uzavírání Smluvního dokumentu;</w:t>
      </w:r>
    </w:p>
    <w:p w:rsidR="00215B20" w:rsidRDefault="00FD0AA3">
      <w:pPr>
        <w:pStyle w:val="Zkladntext1"/>
        <w:numPr>
          <w:ilvl w:val="0"/>
          <w:numId w:val="39"/>
        </w:numPr>
        <w:shd w:val="clear" w:color="auto" w:fill="auto"/>
        <w:tabs>
          <w:tab w:val="left" w:pos="298"/>
        </w:tabs>
        <w:spacing w:after="0" w:line="334" w:lineRule="auto"/>
        <w:ind w:left="300" w:hanging="300"/>
        <w:jc w:val="both"/>
      </w:pPr>
      <w:r>
        <w:t>porušení licenčních podmínek ze strany Smluvního partnera ve vztahu k softwaru, který je provozován v rámci Služby;</w:t>
      </w:r>
    </w:p>
    <w:p w:rsidR="00215B20" w:rsidRDefault="00FD0AA3">
      <w:pPr>
        <w:pStyle w:val="Zkladntext1"/>
        <w:numPr>
          <w:ilvl w:val="0"/>
          <w:numId w:val="39"/>
        </w:numPr>
        <w:shd w:val="clear" w:color="auto" w:fill="auto"/>
        <w:tabs>
          <w:tab w:val="left" w:pos="298"/>
        </w:tabs>
        <w:spacing w:after="0" w:line="334" w:lineRule="auto"/>
        <w:ind w:left="300" w:hanging="300"/>
        <w:jc w:val="both"/>
      </w:pPr>
      <w:r>
        <w:t>porušení kterékoliv povinnosti v článku 3 těchto Podmínek Firemního řešení;</w:t>
      </w:r>
    </w:p>
    <w:p w:rsidR="00215B20" w:rsidRDefault="00FD0AA3">
      <w:pPr>
        <w:pStyle w:val="Zkladntext1"/>
        <w:numPr>
          <w:ilvl w:val="0"/>
          <w:numId w:val="39"/>
        </w:numPr>
        <w:shd w:val="clear" w:color="auto" w:fill="auto"/>
        <w:tabs>
          <w:tab w:val="left" w:pos="298"/>
        </w:tabs>
        <w:spacing w:after="0" w:line="334" w:lineRule="auto"/>
        <w:ind w:left="300" w:hanging="300"/>
        <w:jc w:val="both"/>
      </w:pPr>
      <w:r>
        <w:t>porušení kterékoliv pov</w:t>
      </w:r>
      <w:r>
        <w:t>innosti v odst. 6.4 nebo 6.5 nebo 6.6 těchto Podmínek Firemního řešení;</w:t>
      </w:r>
    </w:p>
    <w:p w:rsidR="00215B20" w:rsidRDefault="00FD0AA3">
      <w:pPr>
        <w:pStyle w:val="Zkladntext1"/>
        <w:numPr>
          <w:ilvl w:val="0"/>
          <w:numId w:val="39"/>
        </w:numPr>
        <w:shd w:val="clear" w:color="auto" w:fill="auto"/>
        <w:tabs>
          <w:tab w:val="left" w:pos="298"/>
        </w:tabs>
        <w:spacing w:after="0" w:line="334" w:lineRule="auto"/>
        <w:ind w:left="300" w:hanging="300"/>
        <w:jc w:val="both"/>
      </w:pPr>
      <w:r>
        <w:t>porušení kterékoliv povinnosti v odst. 8.3 těchto Podmínek Firemního řešení;</w:t>
      </w:r>
    </w:p>
    <w:p w:rsidR="00215B20" w:rsidRDefault="00FD0AA3">
      <w:pPr>
        <w:pStyle w:val="Zkladntext1"/>
        <w:numPr>
          <w:ilvl w:val="0"/>
          <w:numId w:val="39"/>
        </w:numPr>
        <w:shd w:val="clear" w:color="auto" w:fill="auto"/>
        <w:tabs>
          <w:tab w:val="left" w:pos="298"/>
        </w:tabs>
        <w:spacing w:after="0" w:line="334" w:lineRule="auto"/>
        <w:ind w:left="300" w:hanging="300"/>
        <w:jc w:val="both"/>
      </w:pPr>
      <w:r>
        <w:t>porušení kterékoliv povinnosti v odst. 12.9 těchto Podmínek Firemního řešení.</w:t>
      </w:r>
    </w:p>
    <w:p w:rsidR="00215B20" w:rsidRDefault="00FD0AA3">
      <w:pPr>
        <w:pStyle w:val="Zkladntext1"/>
        <w:numPr>
          <w:ilvl w:val="0"/>
          <w:numId w:val="39"/>
        </w:numPr>
        <w:shd w:val="clear" w:color="auto" w:fill="auto"/>
        <w:tabs>
          <w:tab w:val="left" w:pos="327"/>
        </w:tabs>
        <w:spacing w:after="0" w:line="334" w:lineRule="auto"/>
        <w:ind w:left="300" w:hanging="300"/>
        <w:jc w:val="both"/>
      </w:pPr>
      <w:r>
        <w:t>porušení kterékoliv povinnost</w:t>
      </w:r>
      <w:r>
        <w:t>i v čl. 16 těchto Podmínek Firemního řešení.</w:t>
      </w:r>
    </w:p>
    <w:p w:rsidR="00215B20" w:rsidRDefault="00FD0AA3">
      <w:pPr>
        <w:pStyle w:val="Zkladntext1"/>
        <w:shd w:val="clear" w:color="auto" w:fill="auto"/>
        <w:spacing w:after="220" w:line="334" w:lineRule="auto"/>
        <w:jc w:val="both"/>
        <w:sectPr w:rsidR="00215B20">
          <w:headerReference w:type="even" r:id="rId142"/>
          <w:headerReference w:type="default" r:id="rId143"/>
          <w:footerReference w:type="even" r:id="rId144"/>
          <w:footerReference w:type="default" r:id="rId145"/>
          <w:type w:val="continuous"/>
          <w:pgSz w:w="11900" w:h="16840"/>
          <w:pgMar w:top="1974" w:right="809" w:bottom="1364" w:left="809" w:header="0" w:footer="3" w:gutter="0"/>
          <w:cols w:num="2" w:space="427"/>
          <w:noEndnote/>
          <w:docGrid w:linePitch="360"/>
        </w:sectPr>
      </w:pPr>
      <w:r>
        <w:t xml:space="preserve">Další případy porušení povinnosti Smluvním partnerem, které jsou </w:t>
      </w:r>
      <w:r>
        <w:t>považovány ve smyslu Smlouvy za podstatné porušení, mohou být výslovně stanoveny ve Smluvních dokumentech, zejména však ve Smlouvě.</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4675"/>
        <w:gridCol w:w="720"/>
        <w:gridCol w:w="4416"/>
      </w:tblGrid>
      <w:tr w:rsidR="00215B20">
        <w:tblPrEx>
          <w:tblCellMar>
            <w:top w:w="0" w:type="dxa"/>
            <w:bottom w:w="0" w:type="dxa"/>
          </w:tblCellMar>
        </w:tblPrEx>
        <w:trPr>
          <w:trHeight w:hRule="exact" w:val="2266"/>
          <w:jc w:val="center"/>
        </w:trPr>
        <w:tc>
          <w:tcPr>
            <w:tcW w:w="451" w:type="dxa"/>
            <w:shd w:val="clear" w:color="auto" w:fill="FFFFFF"/>
          </w:tcPr>
          <w:p w:rsidR="00215B20" w:rsidRDefault="00FD0AA3">
            <w:pPr>
              <w:pStyle w:val="Jin0"/>
              <w:shd w:val="clear" w:color="auto" w:fill="auto"/>
              <w:spacing w:after="0" w:line="240" w:lineRule="auto"/>
            </w:pPr>
            <w:r>
              <w:rPr>
                <w:b/>
                <w:bCs/>
              </w:rPr>
              <w:lastRenderedPageBreak/>
              <w:t>9.10</w:t>
            </w:r>
          </w:p>
        </w:tc>
        <w:tc>
          <w:tcPr>
            <w:tcW w:w="4675" w:type="dxa"/>
            <w:shd w:val="clear" w:color="auto" w:fill="FFFFFF"/>
          </w:tcPr>
          <w:p w:rsidR="00215B20" w:rsidRDefault="00FD0AA3">
            <w:pPr>
              <w:pStyle w:val="Jin0"/>
              <w:shd w:val="clear" w:color="auto" w:fill="auto"/>
              <w:spacing w:after="0" w:line="334" w:lineRule="auto"/>
              <w:jc w:val="both"/>
            </w:pPr>
            <w:r>
              <w:t>V případě podstatného porušení povinnosti je TMCZ opráv</w:t>
            </w:r>
            <w:r>
              <w:softHyphen/>
              <w:t>něn omezit či přerušit poskytování Služeb, aniž by to zname</w:t>
            </w:r>
            <w:r>
              <w:softHyphen/>
              <w:t>nal</w:t>
            </w:r>
            <w:r>
              <w:t>o prodlení na jeho straně, a/nebo odstoupit od Smlouvy, Specifikace služby, Dohody o cenových podmínkách nebo Účastnické smlouvy či od jejich části ve vztahu k některé Službě. Tímto odstoupením nejsou dotčena práva TMCZ na zaplacení smluvních sankcí, úroku</w:t>
            </w:r>
            <w:r>
              <w:t xml:space="preserve"> z prodlení, finančního vypořádání ani práva na náhradu újmy, popř. zajištění dluhu Smluvního partnera či Oprávněné osoby.</w:t>
            </w:r>
          </w:p>
        </w:tc>
        <w:tc>
          <w:tcPr>
            <w:tcW w:w="720" w:type="dxa"/>
            <w:shd w:val="clear" w:color="auto" w:fill="FFFFFF"/>
            <w:vAlign w:val="bottom"/>
          </w:tcPr>
          <w:p w:rsidR="00215B20" w:rsidRDefault="00FD0AA3">
            <w:pPr>
              <w:pStyle w:val="Jin0"/>
              <w:shd w:val="clear" w:color="auto" w:fill="auto"/>
              <w:spacing w:after="0" w:line="240" w:lineRule="auto"/>
              <w:ind w:firstLine="240"/>
            </w:pPr>
            <w:r>
              <w:rPr>
                <w:b/>
                <w:bCs/>
              </w:rPr>
              <w:t>10.2</w:t>
            </w:r>
          </w:p>
        </w:tc>
        <w:tc>
          <w:tcPr>
            <w:tcW w:w="4416" w:type="dxa"/>
            <w:shd w:val="clear" w:color="auto" w:fill="FFFFFF"/>
          </w:tcPr>
          <w:p w:rsidR="00215B20" w:rsidRDefault="00FD0AA3">
            <w:pPr>
              <w:pStyle w:val="Jin0"/>
              <w:shd w:val="clear" w:color="auto" w:fill="auto"/>
              <w:spacing w:after="200" w:line="334" w:lineRule="auto"/>
              <w:jc w:val="both"/>
            </w:pPr>
            <w:r>
              <w:t xml:space="preserve">službu SLA, která stanovuje zejména podmínky pro kvalitu Služby, odstranění Poruch Služby a případně sankce při nesplnění </w:t>
            </w:r>
            <w:r>
              <w:t>termínů pro odstranění Poruchy či nedostup</w:t>
            </w:r>
            <w:r>
              <w:softHyphen/>
              <w:t>nosti Služby. Další podmínky poskytnutí doplňkové služby SLA jsou stanoveny zejména v Popisu služby SLA.</w:t>
            </w:r>
          </w:p>
          <w:p w:rsidR="00215B20" w:rsidRDefault="00FD0AA3">
            <w:pPr>
              <w:pStyle w:val="Jin0"/>
              <w:shd w:val="clear" w:color="auto" w:fill="auto"/>
              <w:spacing w:after="0" w:line="334" w:lineRule="auto"/>
              <w:jc w:val="both"/>
            </w:pPr>
            <w:r>
              <w:t>Není-li SLA sjednáno, zavazuje se TMCZ odstraňovat Poruchy Služby v co nejkratším čase po jejím nahlášení Sm</w:t>
            </w:r>
            <w:r>
              <w:t>luvním partnerem.</w:t>
            </w:r>
          </w:p>
        </w:tc>
      </w:tr>
      <w:tr w:rsidR="00215B20">
        <w:tblPrEx>
          <w:tblCellMar>
            <w:top w:w="0" w:type="dxa"/>
            <w:bottom w:w="0" w:type="dxa"/>
          </w:tblCellMar>
        </w:tblPrEx>
        <w:trPr>
          <w:trHeight w:hRule="exact" w:val="1075"/>
          <w:jc w:val="center"/>
        </w:trPr>
        <w:tc>
          <w:tcPr>
            <w:tcW w:w="451" w:type="dxa"/>
            <w:shd w:val="clear" w:color="auto" w:fill="FFFFFF"/>
          </w:tcPr>
          <w:p w:rsidR="00215B20" w:rsidRDefault="00FD0AA3">
            <w:pPr>
              <w:pStyle w:val="Jin0"/>
              <w:shd w:val="clear" w:color="auto" w:fill="auto"/>
              <w:spacing w:before="120" w:after="0" w:line="240" w:lineRule="auto"/>
            </w:pPr>
            <w:r>
              <w:rPr>
                <w:b/>
                <w:bCs/>
              </w:rPr>
              <w:t>9.11</w:t>
            </w:r>
          </w:p>
        </w:tc>
        <w:tc>
          <w:tcPr>
            <w:tcW w:w="4675" w:type="dxa"/>
            <w:shd w:val="clear" w:color="auto" w:fill="FFFFFF"/>
            <w:vAlign w:val="bottom"/>
          </w:tcPr>
          <w:p w:rsidR="00215B20" w:rsidRDefault="00FD0AA3">
            <w:pPr>
              <w:pStyle w:val="Jin0"/>
              <w:shd w:val="clear" w:color="auto" w:fill="auto"/>
              <w:spacing w:after="0" w:line="334" w:lineRule="auto"/>
              <w:jc w:val="both"/>
            </w:pPr>
            <w:r>
              <w:t>TMCZ je dále oprávněn vypovědět Smlouvu nebo zcela či částečně vypovědět Smluvní dokumenty ve vztahu ke kte</w:t>
            </w:r>
            <w:r>
              <w:softHyphen/>
              <w:t>rékoliv Službě v případě, že:</w:t>
            </w:r>
          </w:p>
          <w:p w:rsidR="00215B20" w:rsidRDefault="00FD0AA3">
            <w:pPr>
              <w:pStyle w:val="Jin0"/>
              <w:shd w:val="clear" w:color="auto" w:fill="auto"/>
              <w:spacing w:after="0" w:line="334" w:lineRule="auto"/>
              <w:jc w:val="both"/>
            </w:pPr>
            <w:r>
              <w:t>a) je vůči Smluvnímu partnerovi vedeno insolvenční říze-</w:t>
            </w:r>
          </w:p>
        </w:tc>
        <w:tc>
          <w:tcPr>
            <w:tcW w:w="720" w:type="dxa"/>
            <w:shd w:val="clear" w:color="auto" w:fill="FFFFFF"/>
          </w:tcPr>
          <w:p w:rsidR="00215B20" w:rsidRDefault="00FD0AA3">
            <w:pPr>
              <w:pStyle w:val="Jin0"/>
              <w:shd w:val="clear" w:color="auto" w:fill="auto"/>
              <w:spacing w:before="120" w:after="0" w:line="240" w:lineRule="auto"/>
              <w:ind w:firstLine="240"/>
            </w:pPr>
            <w:r>
              <w:rPr>
                <w:b/>
                <w:bCs/>
              </w:rPr>
              <w:t>10.3</w:t>
            </w:r>
          </w:p>
        </w:tc>
        <w:tc>
          <w:tcPr>
            <w:tcW w:w="4416" w:type="dxa"/>
            <w:shd w:val="clear" w:color="auto" w:fill="FFFFFF"/>
            <w:vAlign w:val="center"/>
          </w:tcPr>
          <w:p w:rsidR="00215B20" w:rsidRDefault="00FD0AA3">
            <w:pPr>
              <w:pStyle w:val="Jin0"/>
              <w:shd w:val="clear" w:color="auto" w:fill="auto"/>
              <w:spacing w:after="0" w:line="334" w:lineRule="auto"/>
              <w:jc w:val="both"/>
            </w:pPr>
            <w:r>
              <w:t xml:space="preserve">Oznamování Poruchy - Servisní </w:t>
            </w:r>
            <w:r>
              <w:t>požadavek provádí Smluvní partner prostřednictvím Kontaktních osob a je</w:t>
            </w:r>
            <w:r>
              <w:softHyphen/>
              <w:t>jich příslušných kontaktních údajů.</w:t>
            </w:r>
          </w:p>
        </w:tc>
      </w:tr>
      <w:tr w:rsidR="00215B20">
        <w:tblPrEx>
          <w:tblCellMar>
            <w:top w:w="0" w:type="dxa"/>
            <w:bottom w:w="0" w:type="dxa"/>
          </w:tblCellMar>
        </w:tblPrEx>
        <w:trPr>
          <w:trHeight w:hRule="exact" w:val="715"/>
          <w:jc w:val="center"/>
        </w:trPr>
        <w:tc>
          <w:tcPr>
            <w:tcW w:w="451" w:type="dxa"/>
            <w:shd w:val="clear" w:color="auto" w:fill="FFFFFF"/>
          </w:tcPr>
          <w:p w:rsidR="00215B20" w:rsidRDefault="00215B20">
            <w:pPr>
              <w:rPr>
                <w:sz w:val="10"/>
                <w:szCs w:val="10"/>
              </w:rPr>
            </w:pPr>
          </w:p>
        </w:tc>
        <w:tc>
          <w:tcPr>
            <w:tcW w:w="4675" w:type="dxa"/>
            <w:shd w:val="clear" w:color="auto" w:fill="FFFFFF"/>
          </w:tcPr>
          <w:p w:rsidR="00215B20" w:rsidRDefault="00FD0AA3">
            <w:pPr>
              <w:pStyle w:val="Jin0"/>
              <w:shd w:val="clear" w:color="auto" w:fill="auto"/>
              <w:spacing w:after="0" w:line="334" w:lineRule="auto"/>
              <w:ind w:firstLine="400"/>
            </w:pPr>
            <w:proofErr w:type="gramStart"/>
            <w:r>
              <w:t>ní</w:t>
            </w:r>
            <w:proofErr w:type="gramEnd"/>
            <w:r>
              <w:t>; nebo</w:t>
            </w:r>
          </w:p>
          <w:p w:rsidR="00215B20" w:rsidRDefault="00FD0AA3">
            <w:pPr>
              <w:pStyle w:val="Jin0"/>
              <w:shd w:val="clear" w:color="auto" w:fill="auto"/>
              <w:spacing w:after="0" w:line="334" w:lineRule="auto"/>
              <w:ind w:left="400" w:hanging="400"/>
              <w:jc w:val="both"/>
            </w:pPr>
            <w:r>
              <w:t>b) na majetek Smluvního partnera je nařízena exekuce; nebo</w:t>
            </w:r>
          </w:p>
        </w:tc>
        <w:tc>
          <w:tcPr>
            <w:tcW w:w="720" w:type="dxa"/>
            <w:shd w:val="clear" w:color="auto" w:fill="FFFFFF"/>
          </w:tcPr>
          <w:p w:rsidR="00215B20" w:rsidRDefault="00FD0AA3">
            <w:pPr>
              <w:pStyle w:val="Jin0"/>
              <w:shd w:val="clear" w:color="auto" w:fill="auto"/>
              <w:spacing w:after="0" w:line="240" w:lineRule="auto"/>
              <w:ind w:firstLine="240"/>
            </w:pPr>
            <w:r>
              <w:rPr>
                <w:b/>
                <w:bCs/>
              </w:rPr>
              <w:t>10.4</w:t>
            </w:r>
          </w:p>
        </w:tc>
        <w:tc>
          <w:tcPr>
            <w:tcW w:w="4416" w:type="dxa"/>
            <w:shd w:val="clear" w:color="auto" w:fill="FFFFFF"/>
          </w:tcPr>
          <w:p w:rsidR="00215B20" w:rsidRDefault="00FD0AA3">
            <w:pPr>
              <w:pStyle w:val="Jin0"/>
              <w:shd w:val="clear" w:color="auto" w:fill="auto"/>
              <w:spacing w:after="0" w:line="334" w:lineRule="auto"/>
              <w:jc w:val="both"/>
            </w:pPr>
            <w:r>
              <w:t>Služba je poskytována v kvalitě sjednané v rámci SLA, je-li SLA sjednáno.</w:t>
            </w:r>
          </w:p>
        </w:tc>
      </w:tr>
      <w:tr w:rsidR="00215B20">
        <w:tblPrEx>
          <w:tblCellMar>
            <w:top w:w="0" w:type="dxa"/>
            <w:bottom w:w="0" w:type="dxa"/>
          </w:tblCellMar>
        </w:tblPrEx>
        <w:trPr>
          <w:trHeight w:hRule="exact" w:val="2285"/>
          <w:jc w:val="center"/>
        </w:trPr>
        <w:tc>
          <w:tcPr>
            <w:tcW w:w="451" w:type="dxa"/>
            <w:shd w:val="clear" w:color="auto" w:fill="FFFFFF"/>
          </w:tcPr>
          <w:p w:rsidR="00215B20" w:rsidRDefault="00215B20">
            <w:pPr>
              <w:rPr>
                <w:sz w:val="10"/>
                <w:szCs w:val="10"/>
              </w:rPr>
            </w:pPr>
          </w:p>
        </w:tc>
        <w:tc>
          <w:tcPr>
            <w:tcW w:w="4675" w:type="dxa"/>
            <w:shd w:val="clear" w:color="auto" w:fill="FFFFFF"/>
          </w:tcPr>
          <w:p w:rsidR="00215B20" w:rsidRDefault="00FD0AA3">
            <w:pPr>
              <w:pStyle w:val="Jin0"/>
              <w:numPr>
                <w:ilvl w:val="0"/>
                <w:numId w:val="40"/>
              </w:numPr>
              <w:shd w:val="clear" w:color="auto" w:fill="auto"/>
              <w:tabs>
                <w:tab w:val="left" w:pos="298"/>
              </w:tabs>
              <w:spacing w:after="0" w:line="334" w:lineRule="auto"/>
              <w:ind w:left="400" w:hanging="400"/>
              <w:jc w:val="both"/>
            </w:pPr>
            <w:r>
              <w:t>nastanou-li závažné technické nebo provozní důvody, zejména hrozí-li nebo dojde-li k narušení bezpečnosti a integrity sítě nebo dojde-li k narušení bezpečnosti Služeb;</w:t>
            </w:r>
          </w:p>
          <w:p w:rsidR="00215B20" w:rsidRDefault="00FD0AA3">
            <w:pPr>
              <w:pStyle w:val="Jin0"/>
              <w:numPr>
                <w:ilvl w:val="0"/>
                <w:numId w:val="41"/>
              </w:numPr>
              <w:shd w:val="clear" w:color="auto" w:fill="auto"/>
              <w:tabs>
                <w:tab w:val="left" w:pos="288"/>
              </w:tabs>
              <w:spacing w:after="0" w:line="334" w:lineRule="auto"/>
              <w:ind w:left="400" w:hanging="400"/>
              <w:jc w:val="both"/>
            </w:pPr>
            <w:r>
              <w:t>nastane-li krizový stav, zejména branná pohotovost stá</w:t>
            </w:r>
            <w:r>
              <w:softHyphen/>
              <w:t xml:space="preserve">tu, živelní pohroma nebo </w:t>
            </w:r>
            <w:r>
              <w:t>ohrožení bezpečnosti státu;</w:t>
            </w:r>
          </w:p>
          <w:p w:rsidR="00215B20" w:rsidRDefault="00FD0AA3">
            <w:pPr>
              <w:pStyle w:val="Jin0"/>
              <w:shd w:val="clear" w:color="auto" w:fill="auto"/>
              <w:spacing w:after="0" w:line="334" w:lineRule="auto"/>
              <w:jc w:val="both"/>
            </w:pPr>
            <w:r>
              <w:t>V takovém případě je výpověď účinná jejím doručením Smluvnímu partnerovi, případně dnem pozdějším, v tako</w:t>
            </w:r>
            <w:r>
              <w:softHyphen/>
              <w:t>vé výpovědi uvedeném.</w:t>
            </w:r>
          </w:p>
        </w:tc>
        <w:tc>
          <w:tcPr>
            <w:tcW w:w="720" w:type="dxa"/>
            <w:shd w:val="clear" w:color="auto" w:fill="FFFFFF"/>
          </w:tcPr>
          <w:p w:rsidR="00215B20" w:rsidRDefault="00FD0AA3">
            <w:pPr>
              <w:pStyle w:val="Jin0"/>
              <w:shd w:val="clear" w:color="auto" w:fill="auto"/>
              <w:spacing w:after="0" w:line="240" w:lineRule="auto"/>
              <w:ind w:firstLine="240"/>
            </w:pPr>
            <w:r>
              <w:rPr>
                <w:b/>
                <w:bCs/>
              </w:rPr>
              <w:t>10.5</w:t>
            </w:r>
          </w:p>
        </w:tc>
        <w:tc>
          <w:tcPr>
            <w:tcW w:w="4416" w:type="dxa"/>
            <w:shd w:val="clear" w:color="auto" w:fill="FFFFFF"/>
          </w:tcPr>
          <w:p w:rsidR="00215B20" w:rsidRDefault="00FD0AA3">
            <w:pPr>
              <w:pStyle w:val="Jin0"/>
              <w:shd w:val="clear" w:color="auto" w:fill="auto"/>
              <w:spacing w:after="80" w:line="334" w:lineRule="auto"/>
              <w:jc w:val="both"/>
            </w:pPr>
            <w:r>
              <w:t>Z kumulovaných provozních dob Služby, kdy parametry Služby v průběhu kalendářního měsíce nebyly</w:t>
            </w:r>
            <w:r>
              <w:t xml:space="preserve"> v povole</w:t>
            </w:r>
            <w:r>
              <w:softHyphen/>
              <w:t>ných mezích hodnot parametrů provozu Služby, se vypo</w:t>
            </w:r>
            <w:r>
              <w:softHyphen/>
              <w:t>čte měsíční dostupnost služby jako podíl:</w:t>
            </w:r>
          </w:p>
          <w:p w:rsidR="00215B20" w:rsidRDefault="00FD0AA3">
            <w:pPr>
              <w:pStyle w:val="Jin0"/>
              <w:shd w:val="clear" w:color="auto" w:fill="auto"/>
              <w:spacing w:after="0" w:line="240" w:lineRule="auto"/>
              <w:jc w:val="center"/>
            </w:pPr>
            <w:r>
              <w:t>(TS-TN)</w:t>
            </w:r>
          </w:p>
          <w:p w:rsidR="00215B20" w:rsidRDefault="00FD0AA3">
            <w:pPr>
              <w:pStyle w:val="Jin0"/>
              <w:shd w:val="clear" w:color="auto" w:fill="auto"/>
              <w:tabs>
                <w:tab w:val="left" w:pos="2314"/>
              </w:tabs>
              <w:spacing w:after="0" w:line="180" w:lineRule="auto"/>
            </w:pPr>
            <w:r>
              <w:t>dostupnost služby =</w:t>
            </w:r>
            <w:r>
              <w:tab/>
              <w:t>x 100 %</w:t>
            </w:r>
          </w:p>
          <w:p w:rsidR="00215B20" w:rsidRDefault="00FD0AA3">
            <w:pPr>
              <w:pStyle w:val="Jin0"/>
              <w:shd w:val="clear" w:color="auto" w:fill="auto"/>
              <w:spacing w:after="80" w:line="226" w:lineRule="auto"/>
              <w:jc w:val="center"/>
            </w:pPr>
            <w:r>
              <w:t>TN</w:t>
            </w:r>
          </w:p>
          <w:p w:rsidR="00215B20" w:rsidRDefault="00FD0AA3">
            <w:pPr>
              <w:pStyle w:val="Jin0"/>
              <w:shd w:val="clear" w:color="auto" w:fill="auto"/>
              <w:spacing w:after="0" w:line="334" w:lineRule="auto"/>
              <w:jc w:val="both"/>
            </w:pPr>
            <w:r>
              <w:t>kde: TS = doba trvání služby v měsících</w:t>
            </w:r>
          </w:p>
          <w:p w:rsidR="00215B20" w:rsidRDefault="00FD0AA3">
            <w:pPr>
              <w:pStyle w:val="Jin0"/>
              <w:shd w:val="clear" w:color="auto" w:fill="auto"/>
              <w:spacing w:after="80" w:line="334" w:lineRule="auto"/>
              <w:ind w:firstLine="420"/>
            </w:pPr>
            <w:r>
              <w:t>TN = doba nedostupné služby</w:t>
            </w:r>
          </w:p>
        </w:tc>
      </w:tr>
      <w:tr w:rsidR="00215B20">
        <w:tblPrEx>
          <w:tblCellMar>
            <w:top w:w="0" w:type="dxa"/>
            <w:bottom w:w="0" w:type="dxa"/>
          </w:tblCellMar>
        </w:tblPrEx>
        <w:trPr>
          <w:trHeight w:hRule="exact" w:val="840"/>
          <w:jc w:val="center"/>
        </w:trPr>
        <w:tc>
          <w:tcPr>
            <w:tcW w:w="451" w:type="dxa"/>
            <w:shd w:val="clear" w:color="auto" w:fill="FFFFFF"/>
          </w:tcPr>
          <w:p w:rsidR="00215B20" w:rsidRDefault="00FD0AA3">
            <w:pPr>
              <w:pStyle w:val="Jin0"/>
              <w:shd w:val="clear" w:color="auto" w:fill="auto"/>
              <w:spacing w:before="120" w:after="0" w:line="240" w:lineRule="auto"/>
            </w:pPr>
            <w:r>
              <w:rPr>
                <w:b/>
                <w:bCs/>
              </w:rPr>
              <w:t>9.12</w:t>
            </w:r>
          </w:p>
        </w:tc>
        <w:tc>
          <w:tcPr>
            <w:tcW w:w="4675" w:type="dxa"/>
            <w:shd w:val="clear" w:color="auto" w:fill="FFFFFF"/>
            <w:vAlign w:val="bottom"/>
          </w:tcPr>
          <w:p w:rsidR="00215B20" w:rsidRDefault="00FD0AA3">
            <w:pPr>
              <w:pStyle w:val="Jin0"/>
              <w:shd w:val="clear" w:color="auto" w:fill="auto"/>
              <w:spacing w:after="0" w:line="334" w:lineRule="auto"/>
              <w:jc w:val="both"/>
            </w:pPr>
            <w:r>
              <w:t xml:space="preserve">TMCZ je oprávněn rovněž přerušit či </w:t>
            </w:r>
            <w:r>
              <w:t>omezit poskytování Služby v případech stanovených v příslušných právních předpisech (např. § 99 odst. 3 zákona č. 127/2005 Sb. -</w:t>
            </w:r>
          </w:p>
        </w:tc>
        <w:tc>
          <w:tcPr>
            <w:tcW w:w="720" w:type="dxa"/>
            <w:shd w:val="clear" w:color="auto" w:fill="FFFFFF"/>
          </w:tcPr>
          <w:p w:rsidR="00215B20" w:rsidRDefault="00FD0AA3">
            <w:pPr>
              <w:pStyle w:val="Jin0"/>
              <w:shd w:val="clear" w:color="auto" w:fill="auto"/>
              <w:spacing w:before="120" w:after="0" w:line="240" w:lineRule="auto"/>
              <w:ind w:firstLine="240"/>
            </w:pPr>
            <w:r>
              <w:rPr>
                <w:b/>
                <w:bCs/>
              </w:rPr>
              <w:t>10.6</w:t>
            </w:r>
          </w:p>
        </w:tc>
        <w:tc>
          <w:tcPr>
            <w:tcW w:w="4416" w:type="dxa"/>
            <w:shd w:val="clear" w:color="auto" w:fill="FFFFFF"/>
            <w:vAlign w:val="center"/>
          </w:tcPr>
          <w:p w:rsidR="00215B20" w:rsidRDefault="00FD0AA3">
            <w:pPr>
              <w:pStyle w:val="Jin0"/>
              <w:shd w:val="clear" w:color="auto" w:fill="auto"/>
              <w:spacing w:after="0" w:line="334" w:lineRule="auto"/>
              <w:jc w:val="both"/>
            </w:pPr>
            <w:r>
              <w:t>Doby se počítají na celé minuty, dostupnost služby se vy</w:t>
            </w:r>
            <w:r>
              <w:softHyphen/>
              <w:t>jádří v procentech zaokrouhleně na dvě desetinná místa.</w:t>
            </w:r>
          </w:p>
        </w:tc>
      </w:tr>
      <w:tr w:rsidR="00215B20">
        <w:tblPrEx>
          <w:tblCellMar>
            <w:top w:w="0" w:type="dxa"/>
            <w:bottom w:w="0" w:type="dxa"/>
          </w:tblCellMar>
        </w:tblPrEx>
        <w:trPr>
          <w:trHeight w:hRule="exact" w:val="965"/>
          <w:jc w:val="center"/>
        </w:trPr>
        <w:tc>
          <w:tcPr>
            <w:tcW w:w="451" w:type="dxa"/>
            <w:shd w:val="clear" w:color="auto" w:fill="FFFFFF"/>
          </w:tcPr>
          <w:p w:rsidR="00215B20" w:rsidRDefault="00215B20">
            <w:pPr>
              <w:rPr>
                <w:sz w:val="10"/>
                <w:szCs w:val="10"/>
              </w:rPr>
            </w:pPr>
          </w:p>
        </w:tc>
        <w:tc>
          <w:tcPr>
            <w:tcW w:w="4675" w:type="dxa"/>
            <w:shd w:val="clear" w:color="auto" w:fill="FFFFFF"/>
            <w:vAlign w:val="bottom"/>
          </w:tcPr>
          <w:p w:rsidR="00215B20" w:rsidRDefault="00FD0AA3">
            <w:pPr>
              <w:pStyle w:val="Jin0"/>
              <w:shd w:val="clear" w:color="auto" w:fill="auto"/>
              <w:spacing w:after="0" w:line="334" w:lineRule="auto"/>
              <w:jc w:val="both"/>
            </w:pPr>
            <w:r>
              <w:t>krizový</w:t>
            </w:r>
            <w:r>
              <w:t xml:space="preserve"> stav nebo § 98 odst. 3 zákona č. 127/2005 Sb. - závažné porušení bezpečnosti a integrity komunikační sítě TMCZ z důvodů poškození nebo zničení elektronického ko</w:t>
            </w:r>
            <w:r>
              <w:softHyphen/>
              <w:t>munikačního zařízení, zejména vlivem velkých provozních</w:t>
            </w:r>
          </w:p>
        </w:tc>
        <w:tc>
          <w:tcPr>
            <w:tcW w:w="720" w:type="dxa"/>
            <w:shd w:val="clear" w:color="auto" w:fill="FFFFFF"/>
          </w:tcPr>
          <w:p w:rsidR="00215B20" w:rsidRDefault="00FD0AA3">
            <w:pPr>
              <w:pStyle w:val="Jin0"/>
              <w:shd w:val="clear" w:color="auto" w:fill="auto"/>
              <w:spacing w:after="0" w:line="240" w:lineRule="auto"/>
              <w:ind w:firstLine="240"/>
            </w:pPr>
            <w:r>
              <w:rPr>
                <w:b/>
                <w:bCs/>
              </w:rPr>
              <w:t>10.7</w:t>
            </w:r>
          </w:p>
        </w:tc>
        <w:tc>
          <w:tcPr>
            <w:tcW w:w="4416" w:type="dxa"/>
            <w:shd w:val="clear" w:color="auto" w:fill="FFFFFF"/>
          </w:tcPr>
          <w:p w:rsidR="00215B20" w:rsidRDefault="00FD0AA3">
            <w:pPr>
              <w:pStyle w:val="Jin0"/>
              <w:shd w:val="clear" w:color="auto" w:fill="auto"/>
              <w:spacing w:after="0" w:line="334" w:lineRule="auto"/>
              <w:jc w:val="both"/>
            </w:pPr>
            <w:r>
              <w:t xml:space="preserve">Doba trvání služby v měsíci - TS </w:t>
            </w:r>
            <w:r>
              <w:t>- je období, po které má být Služba podle Smluvního dokumentu v daném měsíci poskytována.</w:t>
            </w:r>
          </w:p>
        </w:tc>
      </w:tr>
      <w:tr w:rsidR="00215B20">
        <w:tblPrEx>
          <w:tblCellMar>
            <w:top w:w="0" w:type="dxa"/>
            <w:bottom w:w="0" w:type="dxa"/>
          </w:tblCellMar>
        </w:tblPrEx>
        <w:trPr>
          <w:trHeight w:hRule="exact" w:val="955"/>
          <w:jc w:val="center"/>
        </w:trPr>
        <w:tc>
          <w:tcPr>
            <w:tcW w:w="451" w:type="dxa"/>
            <w:shd w:val="clear" w:color="auto" w:fill="FFFFFF"/>
          </w:tcPr>
          <w:p w:rsidR="00215B20" w:rsidRDefault="00215B20">
            <w:pPr>
              <w:rPr>
                <w:sz w:val="10"/>
                <w:szCs w:val="10"/>
              </w:rPr>
            </w:pPr>
          </w:p>
        </w:tc>
        <w:tc>
          <w:tcPr>
            <w:tcW w:w="4675" w:type="dxa"/>
            <w:shd w:val="clear" w:color="auto" w:fill="FFFFFF"/>
          </w:tcPr>
          <w:p w:rsidR="00215B20" w:rsidRDefault="00FD0AA3">
            <w:pPr>
              <w:pStyle w:val="Jin0"/>
              <w:shd w:val="clear" w:color="auto" w:fill="auto"/>
              <w:spacing w:after="0" w:line="334" w:lineRule="auto"/>
              <w:jc w:val="both"/>
            </w:pPr>
            <w:r>
              <w:t>havárií nebo živelních pohrom); po dobu přerušení dle to</w:t>
            </w:r>
            <w:r>
              <w:softHyphen/>
              <w:t>hoto odstavce není Smluvní partner povinen hradit cenu za Služby, k jejichž přerušení došlo.</w:t>
            </w:r>
          </w:p>
        </w:tc>
        <w:tc>
          <w:tcPr>
            <w:tcW w:w="720" w:type="dxa"/>
            <w:shd w:val="clear" w:color="auto" w:fill="FFFFFF"/>
          </w:tcPr>
          <w:p w:rsidR="00215B20" w:rsidRDefault="00FD0AA3">
            <w:pPr>
              <w:pStyle w:val="Jin0"/>
              <w:shd w:val="clear" w:color="auto" w:fill="auto"/>
              <w:spacing w:after="0" w:line="240" w:lineRule="auto"/>
              <w:ind w:firstLine="240"/>
            </w:pPr>
            <w:r>
              <w:rPr>
                <w:b/>
                <w:bCs/>
              </w:rPr>
              <w:t>10.8</w:t>
            </w:r>
          </w:p>
        </w:tc>
        <w:tc>
          <w:tcPr>
            <w:tcW w:w="4416" w:type="dxa"/>
            <w:shd w:val="clear" w:color="auto" w:fill="FFFFFF"/>
          </w:tcPr>
          <w:p w:rsidR="00215B20" w:rsidRDefault="00FD0AA3">
            <w:pPr>
              <w:pStyle w:val="Jin0"/>
              <w:shd w:val="clear" w:color="auto" w:fill="auto"/>
              <w:spacing w:after="0" w:line="334" w:lineRule="auto"/>
              <w:jc w:val="both"/>
            </w:pPr>
            <w:r>
              <w:t xml:space="preserve">Doba </w:t>
            </w:r>
            <w:r>
              <w:t>nedostupnosti služby - TN - je období v rámci doby trvání Služby v měsíci, ve kterém Smluvní partner nemohl Službu řádně užívat z důvodů Poruchy, která měla příčiny na straně TMCZ a která byla Smluvním partnerem řádně</w:t>
            </w:r>
          </w:p>
        </w:tc>
      </w:tr>
      <w:tr w:rsidR="00215B20">
        <w:tblPrEx>
          <w:tblCellMar>
            <w:top w:w="0" w:type="dxa"/>
            <w:bottom w:w="0" w:type="dxa"/>
          </w:tblCellMar>
        </w:tblPrEx>
        <w:trPr>
          <w:trHeight w:hRule="exact" w:val="490"/>
          <w:jc w:val="center"/>
        </w:trPr>
        <w:tc>
          <w:tcPr>
            <w:tcW w:w="451" w:type="dxa"/>
            <w:shd w:val="clear" w:color="auto" w:fill="FFFFFF"/>
          </w:tcPr>
          <w:p w:rsidR="00215B20" w:rsidRDefault="00FD0AA3">
            <w:pPr>
              <w:pStyle w:val="Jin0"/>
              <w:shd w:val="clear" w:color="auto" w:fill="auto"/>
              <w:spacing w:after="0" w:line="240" w:lineRule="auto"/>
            </w:pPr>
            <w:r>
              <w:rPr>
                <w:b/>
                <w:bCs/>
              </w:rPr>
              <w:t>9.13</w:t>
            </w:r>
          </w:p>
        </w:tc>
        <w:tc>
          <w:tcPr>
            <w:tcW w:w="4675" w:type="dxa"/>
            <w:shd w:val="clear" w:color="auto" w:fill="FFFFFF"/>
          </w:tcPr>
          <w:p w:rsidR="00215B20" w:rsidRDefault="00FD0AA3">
            <w:pPr>
              <w:pStyle w:val="Jin0"/>
              <w:shd w:val="clear" w:color="auto" w:fill="auto"/>
              <w:spacing w:after="0" w:line="334" w:lineRule="auto"/>
              <w:jc w:val="both"/>
            </w:pPr>
            <w:r>
              <w:t>TMCZ je oprávněn rovněž přerušit</w:t>
            </w:r>
            <w:r>
              <w:t xml:space="preserve"> či omezit poskytování Služby v případě písemného oznámení Smluvního partne-</w:t>
            </w:r>
          </w:p>
        </w:tc>
        <w:tc>
          <w:tcPr>
            <w:tcW w:w="720" w:type="dxa"/>
            <w:shd w:val="clear" w:color="auto" w:fill="FFFFFF"/>
          </w:tcPr>
          <w:p w:rsidR="00215B20" w:rsidRDefault="00215B20">
            <w:pPr>
              <w:rPr>
                <w:sz w:val="10"/>
                <w:szCs w:val="10"/>
              </w:rPr>
            </w:pPr>
          </w:p>
        </w:tc>
        <w:tc>
          <w:tcPr>
            <w:tcW w:w="4416" w:type="dxa"/>
            <w:shd w:val="clear" w:color="auto" w:fill="FFFFFF"/>
          </w:tcPr>
          <w:p w:rsidR="00215B20" w:rsidRDefault="00FD0AA3">
            <w:pPr>
              <w:pStyle w:val="Jin0"/>
              <w:shd w:val="clear" w:color="auto" w:fill="auto"/>
              <w:spacing w:after="0" w:line="240" w:lineRule="auto"/>
            </w:pPr>
            <w:r>
              <w:t>ohlášena prostřednictvím Servisního požadavku.</w:t>
            </w:r>
          </w:p>
        </w:tc>
      </w:tr>
      <w:tr w:rsidR="00215B20">
        <w:tblPrEx>
          <w:tblCellMar>
            <w:top w:w="0" w:type="dxa"/>
            <w:bottom w:w="0" w:type="dxa"/>
          </w:tblCellMar>
        </w:tblPrEx>
        <w:trPr>
          <w:trHeight w:hRule="exact" w:val="480"/>
          <w:jc w:val="center"/>
        </w:trPr>
        <w:tc>
          <w:tcPr>
            <w:tcW w:w="451" w:type="dxa"/>
            <w:shd w:val="clear" w:color="auto" w:fill="FFFFFF"/>
          </w:tcPr>
          <w:p w:rsidR="00215B20" w:rsidRDefault="00215B20">
            <w:pPr>
              <w:rPr>
                <w:sz w:val="10"/>
                <w:szCs w:val="10"/>
              </w:rPr>
            </w:pPr>
          </w:p>
        </w:tc>
        <w:tc>
          <w:tcPr>
            <w:tcW w:w="4675" w:type="dxa"/>
            <w:shd w:val="clear" w:color="auto" w:fill="FFFFFF"/>
          </w:tcPr>
          <w:p w:rsidR="00215B20" w:rsidRDefault="00FD0AA3">
            <w:pPr>
              <w:pStyle w:val="Jin0"/>
              <w:shd w:val="clear" w:color="auto" w:fill="auto"/>
              <w:spacing w:after="0" w:line="240" w:lineRule="auto"/>
            </w:pPr>
            <w:r>
              <w:t xml:space="preserve">ra o zneužití Služby dle odst. </w:t>
            </w:r>
            <w:proofErr w:type="gramStart"/>
            <w:r>
              <w:t>4.4. e) těchto</w:t>
            </w:r>
            <w:proofErr w:type="gramEnd"/>
            <w:r>
              <w:t xml:space="preserve"> podmínek.</w:t>
            </w:r>
          </w:p>
        </w:tc>
        <w:tc>
          <w:tcPr>
            <w:tcW w:w="720" w:type="dxa"/>
            <w:shd w:val="clear" w:color="auto" w:fill="FFFFFF"/>
          </w:tcPr>
          <w:p w:rsidR="00215B20" w:rsidRDefault="00FD0AA3">
            <w:pPr>
              <w:pStyle w:val="Jin0"/>
              <w:shd w:val="clear" w:color="auto" w:fill="auto"/>
              <w:spacing w:after="0" w:line="240" w:lineRule="auto"/>
              <w:ind w:firstLine="240"/>
            </w:pPr>
            <w:r>
              <w:rPr>
                <w:b/>
                <w:bCs/>
              </w:rPr>
              <w:t>10.9</w:t>
            </w:r>
          </w:p>
        </w:tc>
        <w:tc>
          <w:tcPr>
            <w:tcW w:w="4416" w:type="dxa"/>
            <w:shd w:val="clear" w:color="auto" w:fill="FFFFFF"/>
          </w:tcPr>
          <w:p w:rsidR="00215B20" w:rsidRDefault="00FD0AA3">
            <w:pPr>
              <w:pStyle w:val="Jin0"/>
              <w:shd w:val="clear" w:color="auto" w:fill="auto"/>
              <w:spacing w:after="0" w:line="334" w:lineRule="auto"/>
              <w:jc w:val="both"/>
            </w:pPr>
            <w:r>
              <w:t xml:space="preserve">Do doby nedostupnosti Služby se nezapočítává doba od ohlášení </w:t>
            </w:r>
            <w:r>
              <w:t xml:space="preserve">Poruchy Služby do zahájení opravy Poruchy v </w:t>
            </w:r>
            <w:proofErr w:type="gramStart"/>
            <w:r>
              <w:t>pří</w:t>
            </w:r>
            <w:proofErr w:type="gramEnd"/>
            <w:r>
              <w:t>-</w:t>
            </w:r>
          </w:p>
        </w:tc>
      </w:tr>
      <w:tr w:rsidR="00215B20">
        <w:tblPrEx>
          <w:tblCellMar>
            <w:top w:w="0" w:type="dxa"/>
            <w:bottom w:w="0" w:type="dxa"/>
          </w:tblCellMar>
        </w:tblPrEx>
        <w:trPr>
          <w:trHeight w:hRule="exact" w:val="1550"/>
          <w:jc w:val="center"/>
        </w:trPr>
        <w:tc>
          <w:tcPr>
            <w:tcW w:w="451" w:type="dxa"/>
            <w:shd w:val="clear" w:color="auto" w:fill="FFFFFF"/>
          </w:tcPr>
          <w:p w:rsidR="00215B20" w:rsidRDefault="00FD0AA3">
            <w:pPr>
              <w:pStyle w:val="Jin0"/>
              <w:shd w:val="clear" w:color="auto" w:fill="auto"/>
              <w:spacing w:after="0" w:line="240" w:lineRule="auto"/>
            </w:pPr>
            <w:r>
              <w:rPr>
                <w:b/>
                <w:bCs/>
              </w:rPr>
              <w:t>9.14</w:t>
            </w:r>
          </w:p>
        </w:tc>
        <w:tc>
          <w:tcPr>
            <w:tcW w:w="4675" w:type="dxa"/>
            <w:shd w:val="clear" w:color="auto" w:fill="FFFFFF"/>
          </w:tcPr>
          <w:p w:rsidR="00215B20" w:rsidRDefault="00FD0AA3">
            <w:pPr>
              <w:pStyle w:val="Jin0"/>
              <w:shd w:val="clear" w:color="auto" w:fill="auto"/>
              <w:spacing w:after="0" w:line="334" w:lineRule="auto"/>
              <w:jc w:val="both"/>
            </w:pPr>
            <w:r>
              <w:t>Smluvní strany se dohodly, že jiné než v této Smlouvě vý</w:t>
            </w:r>
            <w:r>
              <w:softHyphen/>
              <w:t>slovně uvedené nároky Smluvního partnera na odškod</w:t>
            </w:r>
            <w:r>
              <w:softHyphen/>
              <w:t xml:space="preserve">nění, bez ohledu na to, z jakého právního důvodu vznikly, obzvláště nároky související s </w:t>
            </w:r>
            <w:r>
              <w:t>přerušením provozu, ušlým ziskem, zásahem do softwaru či se ztrátou informací a dat, jsou vyloučeny.</w:t>
            </w:r>
          </w:p>
        </w:tc>
        <w:tc>
          <w:tcPr>
            <w:tcW w:w="720" w:type="dxa"/>
            <w:shd w:val="clear" w:color="auto" w:fill="FFFFFF"/>
          </w:tcPr>
          <w:p w:rsidR="00215B20" w:rsidRDefault="00215B20">
            <w:pPr>
              <w:rPr>
                <w:sz w:val="10"/>
                <w:szCs w:val="10"/>
              </w:rPr>
            </w:pPr>
          </w:p>
        </w:tc>
        <w:tc>
          <w:tcPr>
            <w:tcW w:w="4416" w:type="dxa"/>
            <w:shd w:val="clear" w:color="auto" w:fill="FFFFFF"/>
          </w:tcPr>
          <w:p w:rsidR="00215B20" w:rsidRDefault="00FD0AA3">
            <w:pPr>
              <w:pStyle w:val="Jin0"/>
              <w:shd w:val="clear" w:color="auto" w:fill="auto"/>
              <w:spacing w:after="0" w:line="334" w:lineRule="auto"/>
              <w:jc w:val="both"/>
            </w:pPr>
            <w:r>
              <w:t>padě, že Smluvní partner neumožnil TMCZ bezodkladně po požádání provést servisní zásah na Zařízení umístě</w:t>
            </w:r>
            <w:r>
              <w:softHyphen/>
              <w:t>ném v lokalitě Smluvního partnera. Za nedostupno</w:t>
            </w:r>
            <w:r>
              <w:t>st ani Poruchu Služby se nepovažují případy, kdy TMCZ není dle smluvních ujednání či právních předpisů v prodlení s plně</w:t>
            </w:r>
            <w:r>
              <w:softHyphen/>
              <w:t>ním svých povinností.</w:t>
            </w:r>
          </w:p>
        </w:tc>
      </w:tr>
      <w:tr w:rsidR="00215B20">
        <w:tblPrEx>
          <w:tblCellMar>
            <w:top w:w="0" w:type="dxa"/>
            <w:bottom w:w="0" w:type="dxa"/>
          </w:tblCellMar>
        </w:tblPrEx>
        <w:trPr>
          <w:trHeight w:hRule="exact" w:val="1070"/>
          <w:jc w:val="center"/>
        </w:trPr>
        <w:tc>
          <w:tcPr>
            <w:tcW w:w="451" w:type="dxa"/>
            <w:shd w:val="clear" w:color="auto" w:fill="FFFFFF"/>
          </w:tcPr>
          <w:p w:rsidR="00215B20" w:rsidRDefault="00FD0AA3">
            <w:pPr>
              <w:pStyle w:val="Jin0"/>
              <w:shd w:val="clear" w:color="auto" w:fill="auto"/>
              <w:spacing w:before="120" w:after="0" w:line="240" w:lineRule="auto"/>
            </w:pPr>
            <w:r>
              <w:rPr>
                <w:b/>
                <w:bCs/>
              </w:rPr>
              <w:t>9.15</w:t>
            </w:r>
          </w:p>
        </w:tc>
        <w:tc>
          <w:tcPr>
            <w:tcW w:w="4675" w:type="dxa"/>
            <w:shd w:val="clear" w:color="auto" w:fill="FFFFFF"/>
            <w:vAlign w:val="center"/>
          </w:tcPr>
          <w:p w:rsidR="00215B20" w:rsidRDefault="00FD0AA3">
            <w:pPr>
              <w:pStyle w:val="Jin0"/>
              <w:shd w:val="clear" w:color="auto" w:fill="auto"/>
              <w:spacing w:after="0" w:line="334" w:lineRule="auto"/>
              <w:jc w:val="both"/>
            </w:pPr>
            <w:r>
              <w:t>Zaplacením smluvních pokut ani úroků z prodlení se Smluvní partner nezprošťuje povinnosti uhradit TMCZ újmu</w:t>
            </w:r>
            <w:r>
              <w:t xml:space="preserve"> vzniklou týmž porušením.</w:t>
            </w:r>
          </w:p>
        </w:tc>
        <w:tc>
          <w:tcPr>
            <w:tcW w:w="720" w:type="dxa"/>
            <w:shd w:val="clear" w:color="auto" w:fill="FFFFFF"/>
          </w:tcPr>
          <w:p w:rsidR="00215B20" w:rsidRDefault="00FD0AA3">
            <w:pPr>
              <w:pStyle w:val="Jin0"/>
              <w:shd w:val="clear" w:color="auto" w:fill="auto"/>
              <w:spacing w:before="120" w:after="0" w:line="240" w:lineRule="auto"/>
              <w:ind w:firstLine="240"/>
            </w:pPr>
            <w:r>
              <w:rPr>
                <w:b/>
                <w:bCs/>
              </w:rPr>
              <w:t>10.10</w:t>
            </w:r>
          </w:p>
        </w:tc>
        <w:tc>
          <w:tcPr>
            <w:tcW w:w="4416" w:type="dxa"/>
            <w:shd w:val="clear" w:color="auto" w:fill="FFFFFF"/>
            <w:vAlign w:val="bottom"/>
          </w:tcPr>
          <w:p w:rsidR="00215B20" w:rsidRDefault="00FD0AA3">
            <w:pPr>
              <w:pStyle w:val="Jin0"/>
              <w:shd w:val="clear" w:color="auto" w:fill="auto"/>
              <w:spacing w:after="0" w:line="334" w:lineRule="auto"/>
              <w:jc w:val="both"/>
            </w:pPr>
            <w:r>
              <w:t>Do doby nedostupnosti Služby ani celkového počtu Poruch se nezapočítávají:</w:t>
            </w:r>
          </w:p>
          <w:p w:rsidR="00215B20" w:rsidRDefault="00FD0AA3">
            <w:pPr>
              <w:pStyle w:val="Jin0"/>
              <w:shd w:val="clear" w:color="auto" w:fill="auto"/>
              <w:spacing w:after="0" w:line="334" w:lineRule="auto"/>
              <w:ind w:left="360" w:hanging="360"/>
              <w:jc w:val="both"/>
            </w:pPr>
            <w:r>
              <w:t>a) poruchy, které jsou mimo veřejnou komunikační síť TMCZ;</w:t>
            </w:r>
          </w:p>
        </w:tc>
      </w:tr>
      <w:tr w:rsidR="00215B20">
        <w:tblPrEx>
          <w:tblCellMar>
            <w:top w:w="0" w:type="dxa"/>
            <w:bottom w:w="0" w:type="dxa"/>
          </w:tblCellMar>
        </w:tblPrEx>
        <w:trPr>
          <w:trHeight w:hRule="exact" w:val="250"/>
          <w:jc w:val="center"/>
        </w:trPr>
        <w:tc>
          <w:tcPr>
            <w:tcW w:w="451" w:type="dxa"/>
            <w:shd w:val="clear" w:color="auto" w:fill="FFFFFF"/>
            <w:vAlign w:val="bottom"/>
          </w:tcPr>
          <w:p w:rsidR="00215B20" w:rsidRDefault="00FD0AA3">
            <w:pPr>
              <w:pStyle w:val="Jin0"/>
              <w:shd w:val="clear" w:color="auto" w:fill="auto"/>
              <w:spacing w:after="0" w:line="240" w:lineRule="auto"/>
            </w:pPr>
            <w:r>
              <w:rPr>
                <w:b/>
                <w:bCs/>
                <w:color w:val="EC018B"/>
              </w:rPr>
              <w:t>10.</w:t>
            </w:r>
          </w:p>
        </w:tc>
        <w:tc>
          <w:tcPr>
            <w:tcW w:w="4675" w:type="dxa"/>
            <w:shd w:val="clear" w:color="auto" w:fill="FFFFFF"/>
          </w:tcPr>
          <w:p w:rsidR="00215B20" w:rsidRDefault="00FD0AA3">
            <w:pPr>
              <w:pStyle w:val="Jin0"/>
              <w:shd w:val="clear" w:color="auto" w:fill="auto"/>
              <w:spacing w:after="0" w:line="240" w:lineRule="auto"/>
            </w:pPr>
            <w:r>
              <w:rPr>
                <w:b/>
                <w:bCs/>
                <w:color w:val="EC018B"/>
              </w:rPr>
              <w:t>SLA, oznamování poruch</w:t>
            </w:r>
          </w:p>
        </w:tc>
        <w:tc>
          <w:tcPr>
            <w:tcW w:w="720" w:type="dxa"/>
            <w:shd w:val="clear" w:color="auto" w:fill="FFFFFF"/>
          </w:tcPr>
          <w:p w:rsidR="00215B20" w:rsidRDefault="00215B20">
            <w:pPr>
              <w:rPr>
                <w:sz w:val="10"/>
                <w:szCs w:val="10"/>
              </w:rPr>
            </w:pPr>
          </w:p>
        </w:tc>
        <w:tc>
          <w:tcPr>
            <w:tcW w:w="4416" w:type="dxa"/>
            <w:shd w:val="clear" w:color="auto" w:fill="FFFFFF"/>
          </w:tcPr>
          <w:p w:rsidR="00215B20" w:rsidRDefault="00FD0AA3">
            <w:pPr>
              <w:pStyle w:val="Jin0"/>
              <w:shd w:val="clear" w:color="auto" w:fill="auto"/>
              <w:spacing w:after="0" w:line="240" w:lineRule="auto"/>
              <w:jc w:val="both"/>
            </w:pPr>
            <w:r>
              <w:t>b) poruchy, o nichž TMCZ objektivně zjistil, že nema-</w:t>
            </w:r>
          </w:p>
        </w:tc>
      </w:tr>
      <w:tr w:rsidR="00215B20">
        <w:tblPrEx>
          <w:tblCellMar>
            <w:top w:w="0" w:type="dxa"/>
            <w:bottom w:w="0" w:type="dxa"/>
          </w:tblCellMar>
        </w:tblPrEx>
        <w:trPr>
          <w:trHeight w:hRule="exact" w:val="475"/>
          <w:jc w:val="center"/>
        </w:trPr>
        <w:tc>
          <w:tcPr>
            <w:tcW w:w="451" w:type="dxa"/>
            <w:shd w:val="clear" w:color="auto" w:fill="FFFFFF"/>
          </w:tcPr>
          <w:p w:rsidR="00215B20" w:rsidRDefault="00FD0AA3">
            <w:pPr>
              <w:pStyle w:val="Jin0"/>
              <w:shd w:val="clear" w:color="auto" w:fill="auto"/>
              <w:spacing w:after="0" w:line="240" w:lineRule="auto"/>
            </w:pPr>
            <w:r>
              <w:rPr>
                <w:b/>
                <w:bCs/>
              </w:rPr>
              <w:t>10.1</w:t>
            </w:r>
          </w:p>
        </w:tc>
        <w:tc>
          <w:tcPr>
            <w:tcW w:w="4675" w:type="dxa"/>
            <w:shd w:val="clear" w:color="auto" w:fill="FFFFFF"/>
          </w:tcPr>
          <w:p w:rsidR="00215B20" w:rsidRDefault="00FD0AA3">
            <w:pPr>
              <w:pStyle w:val="Jin0"/>
              <w:shd w:val="clear" w:color="auto" w:fill="auto"/>
              <w:spacing w:after="0" w:line="334" w:lineRule="auto"/>
              <w:jc w:val="both"/>
            </w:pPr>
            <w:r>
              <w:t>Není-li stanoveno ve Smluvních dokumentech jinak, mohou si Smluvní strany sjednat ke Službě doplňkovou</w:t>
            </w:r>
          </w:p>
        </w:tc>
        <w:tc>
          <w:tcPr>
            <w:tcW w:w="720" w:type="dxa"/>
            <w:shd w:val="clear" w:color="auto" w:fill="FFFFFF"/>
          </w:tcPr>
          <w:p w:rsidR="00215B20" w:rsidRDefault="00215B20">
            <w:pPr>
              <w:rPr>
                <w:sz w:val="10"/>
                <w:szCs w:val="10"/>
              </w:rPr>
            </w:pPr>
          </w:p>
        </w:tc>
        <w:tc>
          <w:tcPr>
            <w:tcW w:w="4416" w:type="dxa"/>
            <w:shd w:val="clear" w:color="auto" w:fill="FFFFFF"/>
          </w:tcPr>
          <w:p w:rsidR="00215B20" w:rsidRDefault="00FD0AA3">
            <w:pPr>
              <w:pStyle w:val="Jin0"/>
              <w:shd w:val="clear" w:color="auto" w:fill="auto"/>
              <w:spacing w:after="0" w:line="334" w:lineRule="auto"/>
              <w:ind w:left="360"/>
              <w:jc w:val="both"/>
            </w:pPr>
            <w:r>
              <w:t>jí příčinu na straně TMCZ, nebo že je zavinil Smluvní partner.</w:t>
            </w:r>
          </w:p>
        </w:tc>
      </w:tr>
    </w:tbl>
    <w:p w:rsidR="00215B20" w:rsidRDefault="00215B20">
      <w:pPr>
        <w:sectPr w:rsidR="00215B20">
          <w:pgSz w:w="11900" w:h="16840"/>
          <w:pgMar w:top="2002" w:right="819" w:bottom="1421" w:left="819" w:header="0" w:footer="3" w:gutter="0"/>
          <w:cols w:space="720"/>
          <w:noEndnote/>
          <w:docGrid w:linePitch="360"/>
        </w:sectPr>
      </w:pPr>
    </w:p>
    <w:p w:rsidR="00215B20" w:rsidRDefault="00FD0AA3">
      <w:pPr>
        <w:pStyle w:val="Zkladntext1"/>
        <w:shd w:val="clear" w:color="auto" w:fill="auto"/>
        <w:spacing w:after="200" w:line="334" w:lineRule="auto"/>
        <w:ind w:left="580"/>
        <w:jc w:val="both"/>
      </w:pPr>
      <w:r w:rsidRPr="00920265">
        <w:rPr>
          <w:lang w:eastAsia="en-US" w:bidi="en-US"/>
        </w:rPr>
        <w:lastRenderedPageBreak/>
        <w:t xml:space="preserve">U </w:t>
      </w:r>
      <w:r>
        <w:t xml:space="preserve">Služby </w:t>
      </w:r>
      <w:r w:rsidRPr="00920265">
        <w:rPr>
          <w:lang w:eastAsia="en-US" w:bidi="en-US"/>
        </w:rPr>
        <w:t xml:space="preserve">s </w:t>
      </w:r>
      <w:r>
        <w:t xml:space="preserve">nepřímým přístupem neodpovídá </w:t>
      </w:r>
      <w:r w:rsidRPr="00920265">
        <w:rPr>
          <w:lang w:eastAsia="en-US" w:bidi="en-US"/>
        </w:rPr>
        <w:t xml:space="preserve">TMCZ za Poruchy </w:t>
      </w:r>
      <w:r>
        <w:t xml:space="preserve">vzniklé </w:t>
      </w:r>
      <w:r w:rsidRPr="00920265">
        <w:rPr>
          <w:lang w:eastAsia="en-US" w:bidi="en-US"/>
        </w:rPr>
        <w:t xml:space="preserve">mezi </w:t>
      </w:r>
      <w:r>
        <w:t xml:space="preserve">koncovým </w:t>
      </w:r>
      <w:r w:rsidRPr="00920265">
        <w:rPr>
          <w:lang w:eastAsia="en-US" w:bidi="en-US"/>
        </w:rPr>
        <w:t xml:space="preserve">bodem </w:t>
      </w:r>
      <w:r>
        <w:t xml:space="preserve">služby </w:t>
      </w:r>
      <w:r w:rsidRPr="00920265">
        <w:rPr>
          <w:lang w:eastAsia="en-US" w:bidi="en-US"/>
        </w:rPr>
        <w:t xml:space="preserve">a </w:t>
      </w:r>
      <w:r>
        <w:t>konco</w:t>
      </w:r>
      <w:r>
        <w:softHyphen/>
        <w:t xml:space="preserve">vým Zařízením Smluvního </w:t>
      </w:r>
      <w:r w:rsidRPr="00920265">
        <w:rPr>
          <w:lang w:eastAsia="en-US" w:bidi="en-US"/>
        </w:rPr>
        <w:t>partnera.</w:t>
      </w:r>
    </w:p>
    <w:p w:rsidR="00215B20" w:rsidRDefault="00FD0AA3">
      <w:pPr>
        <w:pStyle w:val="Zkladntext1"/>
        <w:numPr>
          <w:ilvl w:val="0"/>
          <w:numId w:val="42"/>
        </w:numPr>
        <w:shd w:val="clear" w:color="auto" w:fill="auto"/>
        <w:tabs>
          <w:tab w:val="left" w:pos="576"/>
        </w:tabs>
        <w:spacing w:after="200" w:line="334" w:lineRule="auto"/>
        <w:ind w:left="580" w:hanging="580"/>
        <w:jc w:val="both"/>
      </w:pPr>
      <w:r>
        <w:t xml:space="preserve">Smluvní </w:t>
      </w:r>
      <w:r w:rsidRPr="00920265">
        <w:rPr>
          <w:lang w:eastAsia="en-US" w:bidi="en-US"/>
        </w:rPr>
        <w:t xml:space="preserve">partner je povinen uhradit TMCZ </w:t>
      </w:r>
      <w:r>
        <w:t xml:space="preserve">náklady spojené </w:t>
      </w:r>
      <w:r w:rsidRPr="00920265">
        <w:rPr>
          <w:lang w:eastAsia="en-US" w:bidi="en-US"/>
        </w:rPr>
        <w:t xml:space="preserve">se </w:t>
      </w:r>
      <w:r>
        <w:t xml:space="preserve">servisním zásahem </w:t>
      </w:r>
      <w:r w:rsidRPr="00920265">
        <w:rPr>
          <w:lang w:eastAsia="en-US" w:bidi="en-US"/>
        </w:rPr>
        <w:t xml:space="preserve">nebo cenu za </w:t>
      </w:r>
      <w:r>
        <w:t>servisní zásah, po</w:t>
      </w:r>
      <w:r>
        <w:softHyphen/>
        <w:t>kud</w:t>
      </w:r>
      <w:r w:rsidRPr="00920265">
        <w:rPr>
          <w:lang w:eastAsia="en-US" w:bidi="en-US"/>
        </w:rPr>
        <w:t xml:space="preserve"> </w:t>
      </w:r>
      <w:r>
        <w:t xml:space="preserve">servisní zásah </w:t>
      </w:r>
      <w:r w:rsidRPr="00920265">
        <w:rPr>
          <w:lang w:eastAsia="en-US" w:bidi="en-US"/>
        </w:rPr>
        <w:t xml:space="preserve">byl </w:t>
      </w:r>
      <w:r>
        <w:t xml:space="preserve">uskutečněn </w:t>
      </w:r>
      <w:r w:rsidRPr="00920265">
        <w:rPr>
          <w:lang w:eastAsia="en-US" w:bidi="en-US"/>
        </w:rPr>
        <w:t xml:space="preserve">na </w:t>
      </w:r>
      <w:r>
        <w:t xml:space="preserve">základě požadavku Smluvního </w:t>
      </w:r>
      <w:r w:rsidRPr="00920265">
        <w:rPr>
          <w:lang w:eastAsia="en-US" w:bidi="en-US"/>
        </w:rPr>
        <w:t>partn</w:t>
      </w:r>
      <w:r w:rsidRPr="00920265">
        <w:rPr>
          <w:lang w:eastAsia="en-US" w:bidi="en-US"/>
        </w:rPr>
        <w:t xml:space="preserve">era a pokud se </w:t>
      </w:r>
      <w:r>
        <w:t xml:space="preserve">zjistí, že </w:t>
      </w:r>
      <w:r w:rsidRPr="00920265">
        <w:rPr>
          <w:lang w:eastAsia="en-US" w:bidi="en-US"/>
        </w:rPr>
        <w:t xml:space="preserve">Porucha </w:t>
      </w:r>
      <w:r>
        <w:t xml:space="preserve">Služby </w:t>
      </w:r>
      <w:r w:rsidRPr="00920265">
        <w:rPr>
          <w:lang w:eastAsia="en-US" w:bidi="en-US"/>
        </w:rPr>
        <w:t xml:space="preserve">nebo Porucha </w:t>
      </w:r>
      <w:r>
        <w:t xml:space="preserve">zařízení </w:t>
      </w:r>
      <w:r w:rsidRPr="00920265">
        <w:rPr>
          <w:lang w:eastAsia="en-US" w:bidi="en-US"/>
        </w:rPr>
        <w:t xml:space="preserve">nebo </w:t>
      </w:r>
      <w:r>
        <w:t xml:space="preserve">sítě není </w:t>
      </w:r>
      <w:r w:rsidRPr="00920265">
        <w:rPr>
          <w:lang w:eastAsia="en-US" w:bidi="en-US"/>
        </w:rPr>
        <w:t xml:space="preserve">na </w:t>
      </w:r>
      <w:r>
        <w:t xml:space="preserve">straně </w:t>
      </w:r>
      <w:r w:rsidRPr="00920265">
        <w:rPr>
          <w:lang w:eastAsia="en-US" w:bidi="en-US"/>
        </w:rPr>
        <w:t xml:space="preserve">TMCZ nebo </w:t>
      </w:r>
      <w:r>
        <w:t xml:space="preserve">že závada </w:t>
      </w:r>
      <w:r w:rsidRPr="00920265">
        <w:rPr>
          <w:lang w:eastAsia="en-US" w:bidi="en-US"/>
        </w:rPr>
        <w:t xml:space="preserve">byla </w:t>
      </w:r>
      <w:r>
        <w:t xml:space="preserve">způsobena Smluvním </w:t>
      </w:r>
      <w:r w:rsidRPr="00920265">
        <w:rPr>
          <w:lang w:eastAsia="en-US" w:bidi="en-US"/>
        </w:rPr>
        <w:t xml:space="preserve">partnerem nebo </w:t>
      </w:r>
      <w:r>
        <w:t xml:space="preserve">třetí </w:t>
      </w:r>
      <w:r w:rsidRPr="00920265">
        <w:rPr>
          <w:lang w:eastAsia="en-US" w:bidi="en-US"/>
        </w:rPr>
        <w:t xml:space="preserve">osobou v </w:t>
      </w:r>
      <w:r>
        <w:t xml:space="preserve">případech, </w:t>
      </w:r>
      <w:r w:rsidRPr="00920265">
        <w:rPr>
          <w:lang w:eastAsia="en-US" w:bidi="en-US"/>
        </w:rPr>
        <w:t xml:space="preserve">kdy za ni </w:t>
      </w:r>
      <w:r>
        <w:t xml:space="preserve">Smluvní </w:t>
      </w:r>
      <w:r w:rsidRPr="00920265">
        <w:rPr>
          <w:lang w:eastAsia="en-US" w:bidi="en-US"/>
        </w:rPr>
        <w:t xml:space="preserve">partner </w:t>
      </w:r>
      <w:r>
        <w:t xml:space="preserve">odpovídá, </w:t>
      </w:r>
      <w:r w:rsidRPr="00920265">
        <w:rPr>
          <w:lang w:eastAsia="en-US" w:bidi="en-US"/>
        </w:rPr>
        <w:t xml:space="preserve">nebo </w:t>
      </w:r>
      <w:r>
        <w:t xml:space="preserve">že </w:t>
      </w:r>
      <w:r w:rsidRPr="00920265">
        <w:rPr>
          <w:lang w:eastAsia="en-US" w:bidi="en-US"/>
        </w:rPr>
        <w:t xml:space="preserve">Porucha </w:t>
      </w:r>
      <w:r>
        <w:t xml:space="preserve">vůbec </w:t>
      </w:r>
      <w:r w:rsidRPr="00920265">
        <w:rPr>
          <w:lang w:eastAsia="en-US" w:bidi="en-US"/>
        </w:rPr>
        <w:t>nenastala.</w:t>
      </w:r>
    </w:p>
    <w:p w:rsidR="00215B20" w:rsidRDefault="00FD0AA3">
      <w:pPr>
        <w:pStyle w:val="Zkladntext1"/>
        <w:numPr>
          <w:ilvl w:val="0"/>
          <w:numId w:val="42"/>
        </w:numPr>
        <w:shd w:val="clear" w:color="auto" w:fill="auto"/>
        <w:tabs>
          <w:tab w:val="left" w:pos="576"/>
        </w:tabs>
        <w:spacing w:after="200" w:line="334" w:lineRule="auto"/>
        <w:ind w:left="580" w:hanging="580"/>
        <w:jc w:val="both"/>
      </w:pPr>
      <w:r>
        <w:t xml:space="preserve">Smluvní </w:t>
      </w:r>
      <w:r w:rsidRPr="00920265">
        <w:rPr>
          <w:lang w:eastAsia="en-US" w:bidi="en-US"/>
        </w:rPr>
        <w:t xml:space="preserve">strany se dohodly, </w:t>
      </w:r>
      <w:r>
        <w:t xml:space="preserve">že </w:t>
      </w:r>
      <w:r w:rsidRPr="00920265">
        <w:rPr>
          <w:lang w:eastAsia="en-US" w:bidi="en-US"/>
        </w:rPr>
        <w:t xml:space="preserve">u Poruch </w:t>
      </w:r>
      <w:r>
        <w:t xml:space="preserve">či </w:t>
      </w:r>
      <w:r w:rsidRPr="00920265">
        <w:rPr>
          <w:lang w:eastAsia="en-US" w:bidi="en-US"/>
        </w:rPr>
        <w:t xml:space="preserve">vad </w:t>
      </w:r>
      <w:r>
        <w:t xml:space="preserve">Zařízení, </w:t>
      </w:r>
      <w:r w:rsidRPr="00920265">
        <w:rPr>
          <w:lang w:eastAsia="en-US" w:bidi="en-US"/>
        </w:rPr>
        <w:t xml:space="preserve">softwaru </w:t>
      </w:r>
      <w:r>
        <w:t xml:space="preserve">či Systému, jejichž řešení závisí </w:t>
      </w:r>
      <w:r w:rsidRPr="00920265">
        <w:rPr>
          <w:lang w:eastAsia="en-US" w:bidi="en-US"/>
        </w:rPr>
        <w:t xml:space="preserve">na </w:t>
      </w:r>
      <w:r>
        <w:t>výrobci či do</w:t>
      </w:r>
      <w:r>
        <w:softHyphen/>
        <w:t>davateli,</w:t>
      </w:r>
      <w:r w:rsidRPr="00920265">
        <w:rPr>
          <w:lang w:eastAsia="en-US" w:bidi="en-US"/>
        </w:rPr>
        <w:t xml:space="preserve"> </w:t>
      </w:r>
      <w:r>
        <w:t xml:space="preserve">jakožto třetí straně, není možné </w:t>
      </w:r>
      <w:r w:rsidRPr="00920265">
        <w:rPr>
          <w:lang w:eastAsia="en-US" w:bidi="en-US"/>
        </w:rPr>
        <w:t xml:space="preserve">garantovat dobu </w:t>
      </w:r>
      <w:r>
        <w:t xml:space="preserve">finálního vyřešení </w:t>
      </w:r>
      <w:r w:rsidRPr="00920265">
        <w:rPr>
          <w:lang w:eastAsia="en-US" w:bidi="en-US"/>
        </w:rPr>
        <w:t xml:space="preserve">Poruchy/vady. Pro vady tohoto typu </w:t>
      </w:r>
      <w:r>
        <w:t xml:space="preserve">zapojí </w:t>
      </w:r>
      <w:r w:rsidRPr="00920265">
        <w:rPr>
          <w:lang w:eastAsia="en-US" w:bidi="en-US"/>
        </w:rPr>
        <w:t xml:space="preserve">TMCZ </w:t>
      </w:r>
      <w:r>
        <w:t xml:space="preserve">středisko technické </w:t>
      </w:r>
      <w:r w:rsidRPr="00920265">
        <w:rPr>
          <w:lang w:eastAsia="en-US" w:bidi="en-US"/>
        </w:rPr>
        <w:t>pod</w:t>
      </w:r>
      <w:r w:rsidRPr="00920265">
        <w:rPr>
          <w:lang w:eastAsia="en-US" w:bidi="en-US"/>
        </w:rPr>
        <w:t xml:space="preserve">pory </w:t>
      </w:r>
      <w:r>
        <w:t>výrobce či do</w:t>
      </w:r>
      <w:r>
        <w:softHyphen/>
        <w:t>davatele,</w:t>
      </w:r>
      <w:r w:rsidRPr="00920265">
        <w:rPr>
          <w:lang w:eastAsia="en-US" w:bidi="en-US"/>
        </w:rPr>
        <w:t xml:space="preserve"> aby byla Porucha/vada </w:t>
      </w:r>
      <w:r>
        <w:t xml:space="preserve">odstraněna </w:t>
      </w:r>
      <w:r w:rsidRPr="00920265">
        <w:rPr>
          <w:lang w:eastAsia="en-US" w:bidi="en-US"/>
        </w:rPr>
        <w:t xml:space="preserve">v </w:t>
      </w:r>
      <w:r>
        <w:t xml:space="preserve">nejkratším možném termínu. </w:t>
      </w:r>
      <w:r w:rsidRPr="00920265">
        <w:rPr>
          <w:lang w:eastAsia="en-US" w:bidi="en-US"/>
        </w:rPr>
        <w:t xml:space="preserve">Poruchy/ vady, u </w:t>
      </w:r>
      <w:r>
        <w:t xml:space="preserve">nichž </w:t>
      </w:r>
      <w:r w:rsidRPr="00920265">
        <w:rPr>
          <w:lang w:eastAsia="en-US" w:bidi="en-US"/>
        </w:rPr>
        <w:t xml:space="preserve">dojde k </w:t>
      </w:r>
      <w:r>
        <w:t>překro</w:t>
      </w:r>
      <w:r>
        <w:softHyphen/>
        <w:t xml:space="preserve">čení garantované </w:t>
      </w:r>
      <w:r w:rsidRPr="00920265">
        <w:rPr>
          <w:lang w:eastAsia="en-US" w:bidi="en-US"/>
        </w:rPr>
        <w:t xml:space="preserve">doby </w:t>
      </w:r>
      <w:r>
        <w:t xml:space="preserve">finálního řešení </w:t>
      </w:r>
      <w:r w:rsidRPr="00920265">
        <w:rPr>
          <w:lang w:eastAsia="en-US" w:bidi="en-US"/>
        </w:rPr>
        <w:t xml:space="preserve">z tohoto </w:t>
      </w:r>
      <w:r>
        <w:t xml:space="preserve">důvodu, nepodléhají sankčním ujednáním </w:t>
      </w:r>
      <w:r w:rsidRPr="00920265">
        <w:rPr>
          <w:lang w:eastAsia="en-US" w:bidi="en-US"/>
        </w:rPr>
        <w:t xml:space="preserve">a </w:t>
      </w:r>
      <w:r>
        <w:t xml:space="preserve">nezapočítávají </w:t>
      </w:r>
      <w:r w:rsidRPr="00920265">
        <w:rPr>
          <w:lang w:eastAsia="en-US" w:bidi="en-US"/>
        </w:rPr>
        <w:t>se do doby nedostupnost</w:t>
      </w:r>
      <w:r w:rsidRPr="00920265">
        <w:rPr>
          <w:lang w:eastAsia="en-US" w:bidi="en-US"/>
        </w:rPr>
        <w:t xml:space="preserve">i </w:t>
      </w:r>
      <w:r>
        <w:t>Služby.</w:t>
      </w:r>
    </w:p>
    <w:p w:rsidR="00215B20" w:rsidRDefault="00FD0AA3">
      <w:pPr>
        <w:pStyle w:val="Nadpis60"/>
        <w:keepNext/>
        <w:keepLines/>
        <w:numPr>
          <w:ilvl w:val="0"/>
          <w:numId w:val="43"/>
        </w:numPr>
        <w:shd w:val="clear" w:color="auto" w:fill="auto"/>
        <w:tabs>
          <w:tab w:val="left" w:pos="576"/>
        </w:tabs>
        <w:spacing w:after="0" w:line="334" w:lineRule="auto"/>
      </w:pPr>
      <w:bookmarkStart w:id="243" w:name="bookmark242"/>
      <w:bookmarkStart w:id="244" w:name="bookmark243"/>
      <w:r>
        <w:rPr>
          <w:color w:val="EC018B"/>
        </w:rPr>
        <w:t>Oprávněné osoby</w:t>
      </w:r>
      <w:bookmarkEnd w:id="243"/>
      <w:bookmarkEnd w:id="244"/>
    </w:p>
    <w:p w:rsidR="00215B20" w:rsidRDefault="00FD0AA3">
      <w:pPr>
        <w:pStyle w:val="Zkladntext1"/>
        <w:numPr>
          <w:ilvl w:val="1"/>
          <w:numId w:val="43"/>
        </w:numPr>
        <w:shd w:val="clear" w:color="auto" w:fill="auto"/>
        <w:tabs>
          <w:tab w:val="left" w:pos="576"/>
        </w:tabs>
        <w:spacing w:after="200" w:line="334" w:lineRule="auto"/>
        <w:ind w:left="580" w:hanging="580"/>
        <w:jc w:val="both"/>
      </w:pPr>
      <w:r>
        <w:t>Oprávněné osoby se určí dohodou Smluvních stran a bu</w:t>
      </w:r>
      <w:r>
        <w:softHyphen/>
        <w:t>dou uvedeny v seznamu Oprávněných osob, který tvoří ne</w:t>
      </w:r>
      <w:r>
        <w:softHyphen/>
        <w:t>dílnou přílohu Smlouvy (dále také „Seznam Oprávněných osob“). Trvání statusu Oprávněné osoby je vždy podmíně</w:t>
      </w:r>
      <w:r>
        <w:softHyphen/>
        <w:t>no jejím vede</w:t>
      </w:r>
      <w:r>
        <w:t>ním v Seznamu Oprávněných osob a ruče</w:t>
      </w:r>
      <w:r>
        <w:softHyphen/>
        <w:t>ním Smluvního partnera uvedeným ve Smlouvě. Smluvní strany se dohodly, že souhlas s ručením Smluvního part</w:t>
      </w:r>
      <w:r>
        <w:softHyphen/>
        <w:t>nera bez dalšího platí i pro právní nástupce Oprávněné osoby uvedené v Seznamu Oprávněných osob. Případná ztrát</w:t>
      </w:r>
      <w:r>
        <w:t>a statusu Oprávněné osoby nemá vliv na platnost a účinnost Účastnických smluv uzavřených Oprávněnými osobami a smluvních vztahů z nich vyplývajících (jejich režim se poté bude řídit ustanoveními VPST a podmín</w:t>
      </w:r>
      <w:r>
        <w:softHyphen/>
        <w:t>kami aktivovaných Účastnických služeb). Ztrátou</w:t>
      </w:r>
      <w:r>
        <w:t xml:space="preserve"> statusu Oprávněné osoby zanikají Služby sjednané výhradně pro tuto Oprávněnou osobu na základě Specifikace služeb, pokud se Smluvní strany či Oprávněná osoba s TMCZ ne</w:t>
      </w:r>
      <w:r>
        <w:softHyphen/>
        <w:t>dohodly jinak.</w:t>
      </w:r>
    </w:p>
    <w:p w:rsidR="00215B20" w:rsidRDefault="00FD0AA3">
      <w:pPr>
        <w:pStyle w:val="Zkladntext1"/>
        <w:numPr>
          <w:ilvl w:val="1"/>
          <w:numId w:val="43"/>
        </w:numPr>
        <w:shd w:val="clear" w:color="auto" w:fill="auto"/>
        <w:tabs>
          <w:tab w:val="left" w:pos="576"/>
        </w:tabs>
        <w:spacing w:after="200" w:line="334" w:lineRule="auto"/>
        <w:ind w:left="580" w:hanging="580"/>
        <w:jc w:val="both"/>
      </w:pPr>
      <w:r>
        <w:t xml:space="preserve">Pokud si Smluvní strany ve Smlouvě nedohodly jinak, může po uzavření </w:t>
      </w:r>
      <w:r>
        <w:t>Smlouvy Smluvní partner požádat o do</w:t>
      </w:r>
      <w:r>
        <w:softHyphen/>
        <w:t>plnění další Oprávněné osoby nebo vyloučení Oprávněné osoby prostřednictvím formuláře TMCZ: Žádost o doplně- ní/vyloučení Oprávněných osob, který zašle doporučenou poštou na adresu sídla TMCZ. Pokud TMCZ do 7 dní od dor</w:t>
      </w:r>
      <w:r>
        <w:t>učení žádosti Smluvnímu partnerovi písemně nepotvr</w:t>
      </w:r>
      <w:r>
        <w:softHyphen/>
        <w:t>dí doplnění/vyloučení Oprávněných osob dle dotčené žá</w:t>
      </w:r>
      <w:r>
        <w:softHyphen/>
        <w:t>dosti, má se za to, že žádost zamítl. TMCZ je oprávněn ta</w:t>
      </w:r>
      <w:r>
        <w:softHyphen/>
        <w:t>kovou žádost zamítnout zejména v případě, kdy má TMCZ za Oprávněnou osobou jakoukoliv neuhraz</w:t>
      </w:r>
      <w:r>
        <w:t>enou splatnou peněžitou pohledávku. Změna přílohy Smlouvy obsahující Seznam Oprávněných osob provedená dle tohoto odstav</w:t>
      </w:r>
      <w:r>
        <w:softHyphen/>
        <w:t>ce nevyžaduje uzavření písemného dodatku ke Smlouvě.</w:t>
      </w:r>
    </w:p>
    <w:p w:rsidR="00215B20" w:rsidRDefault="00FD0AA3">
      <w:pPr>
        <w:pStyle w:val="Zkladntext1"/>
        <w:numPr>
          <w:ilvl w:val="1"/>
          <w:numId w:val="43"/>
        </w:numPr>
        <w:shd w:val="clear" w:color="auto" w:fill="auto"/>
        <w:tabs>
          <w:tab w:val="left" w:pos="563"/>
        </w:tabs>
        <w:spacing w:after="200" w:line="334" w:lineRule="auto"/>
        <w:ind w:left="580" w:hanging="580"/>
        <w:jc w:val="both"/>
      </w:pPr>
      <w:r>
        <w:t>Oprávněná osoba může s TMCZ uzavírat či měnit Účastnické smlouvy či Specifikace sl</w:t>
      </w:r>
      <w:r>
        <w:t xml:space="preserve">užeb, které obsahují odkaz na Smlouvu, </w:t>
      </w:r>
      <w:r>
        <w:lastRenderedPageBreak/>
        <w:t>za podmínek stanovených Smlouvou (vč. Dohody o cenových podmínkách). Uzavření nebo změna Specifikace služeb je platná až okamžikem, kdy k podpisu Specifikace služeb za TMCZ a Oprávněnou osobu připojí svůj podpis rovně</w:t>
      </w:r>
      <w:r>
        <w:t>ž Smluvní partner, čímž vyjadřuje svůj souhlas s uzavřením (resp. změnou) dotče</w:t>
      </w:r>
      <w:r>
        <w:softHyphen/>
        <w:t>né Specifikace služeb mezi Oprávněnou osobou a TMCZ. Při ukončení Specifikace služeb jedná Oprávněná osoba samostatně a není vyžadováno připodepsání Smluvního partnera. Účastni</w:t>
      </w:r>
      <w:r>
        <w:t>cké smlouvy uzavírá Oprávněná osoba samostatně a není vyžadováno připodepsání Smluvního partnera.</w:t>
      </w:r>
    </w:p>
    <w:p w:rsidR="00215B20" w:rsidRDefault="00FD0AA3">
      <w:pPr>
        <w:pStyle w:val="Zkladntext1"/>
        <w:numPr>
          <w:ilvl w:val="1"/>
          <w:numId w:val="43"/>
        </w:numPr>
        <w:shd w:val="clear" w:color="auto" w:fill="auto"/>
        <w:tabs>
          <w:tab w:val="left" w:pos="563"/>
        </w:tabs>
        <w:spacing w:after="200" w:line="334" w:lineRule="auto"/>
        <w:ind w:left="580" w:hanging="580"/>
        <w:jc w:val="both"/>
      </w:pPr>
      <w:r>
        <w:t xml:space="preserve">Bude-li ve Smluvním dokumentu uvedena jako adresát Služeb výslovně určitá Oprávněná osoba, pak platí, že takovou Službu může využívat vždy jen tato Oprávněná </w:t>
      </w:r>
      <w:r>
        <w:t>osoba. Povinnosti Smluvního partnera z takové Služby však zůstávají nedotčeny, jejich plnění však může namísto Smluvního partnera zajistit Oprávněná osoba.</w:t>
      </w:r>
    </w:p>
    <w:p w:rsidR="00215B20" w:rsidRDefault="00FD0AA3">
      <w:pPr>
        <w:pStyle w:val="Zkladntext1"/>
        <w:numPr>
          <w:ilvl w:val="1"/>
          <w:numId w:val="43"/>
        </w:numPr>
        <w:shd w:val="clear" w:color="auto" w:fill="auto"/>
        <w:tabs>
          <w:tab w:val="left" w:pos="563"/>
        </w:tabs>
        <w:spacing w:after="200" w:line="334" w:lineRule="auto"/>
        <w:ind w:left="580" w:hanging="580"/>
        <w:jc w:val="both"/>
      </w:pPr>
      <w:r>
        <w:t>Smluvní partner odpovídá za veškerou újmu způsobenou Oprávněnou osobou při poskytování plnění dle Sm</w:t>
      </w:r>
      <w:r>
        <w:t>luvních dokumentů, a to i v případě, že se taková Oprávněná osoba zaváže při plnění Smluvního partnera provést určitou čin</w:t>
      </w:r>
      <w:r>
        <w:softHyphen/>
        <w:t>nost samostatně.</w:t>
      </w:r>
    </w:p>
    <w:p w:rsidR="00215B20" w:rsidRDefault="00FD0AA3">
      <w:pPr>
        <w:pStyle w:val="Nadpis60"/>
        <w:keepNext/>
        <w:keepLines/>
        <w:numPr>
          <w:ilvl w:val="0"/>
          <w:numId w:val="43"/>
        </w:numPr>
        <w:shd w:val="clear" w:color="auto" w:fill="auto"/>
        <w:tabs>
          <w:tab w:val="left" w:pos="563"/>
        </w:tabs>
        <w:spacing w:after="0" w:line="334" w:lineRule="auto"/>
        <w:ind w:left="580" w:hanging="580"/>
        <w:jc w:val="both"/>
      </w:pPr>
      <w:bookmarkStart w:id="245" w:name="bookmark244"/>
      <w:bookmarkStart w:id="246" w:name="bookmark245"/>
      <w:r>
        <w:rPr>
          <w:color w:val="EC018B"/>
        </w:rPr>
        <w:t>Užívání softwaru</w:t>
      </w:r>
      <w:bookmarkEnd w:id="245"/>
      <w:bookmarkEnd w:id="246"/>
    </w:p>
    <w:p w:rsidR="00215B20" w:rsidRDefault="00FD0AA3">
      <w:pPr>
        <w:pStyle w:val="Zkladntext1"/>
        <w:numPr>
          <w:ilvl w:val="1"/>
          <w:numId w:val="43"/>
        </w:numPr>
        <w:shd w:val="clear" w:color="auto" w:fill="auto"/>
        <w:tabs>
          <w:tab w:val="left" w:pos="563"/>
        </w:tabs>
        <w:spacing w:after="200" w:line="334" w:lineRule="auto"/>
        <w:ind w:left="580" w:hanging="580"/>
        <w:jc w:val="both"/>
      </w:pPr>
      <w:r>
        <w:t>Není-li výslovně sjednáno jinak, pak veškeré licenční, servisní, reklamační, záruční a jiné podmínk</w:t>
      </w:r>
      <w:r>
        <w:t>y ve vztahu k softwaru, který je součástí Služby, se řídí podmínkami výrobce softwaru (nositele autorských práv).</w:t>
      </w:r>
    </w:p>
    <w:p w:rsidR="00215B20" w:rsidRDefault="00FD0AA3">
      <w:pPr>
        <w:pStyle w:val="Zkladntext1"/>
        <w:numPr>
          <w:ilvl w:val="1"/>
          <w:numId w:val="43"/>
        </w:numPr>
        <w:shd w:val="clear" w:color="auto" w:fill="auto"/>
        <w:tabs>
          <w:tab w:val="left" w:pos="563"/>
        </w:tabs>
        <w:spacing w:after="200" w:line="334" w:lineRule="auto"/>
        <w:ind w:left="580" w:hanging="580"/>
        <w:jc w:val="both"/>
      </w:pPr>
      <w:r>
        <w:t>Není-li výslovně sjednáno jinak, je software produktem třetí strany odlišné od TMCZ a licence k užití softwaru je Smluvnímu partnerovi poskyto</w:t>
      </w:r>
      <w:r>
        <w:t>vána přímo výrobcem soft</w:t>
      </w:r>
      <w:r>
        <w:softHyphen/>
        <w:t>waru (nositelem autorských práv). Licenci k softwaru zís</w:t>
      </w:r>
      <w:r>
        <w:softHyphen/>
        <w:t>kává Smluvní partner nejdříve okamžikem úplného uhra</w:t>
      </w:r>
      <w:r>
        <w:softHyphen/>
        <w:t>zení ceny za Služby, v jejichž rámci byl software dodán.</w:t>
      </w:r>
    </w:p>
    <w:p w:rsidR="00215B20" w:rsidRDefault="00FD0AA3">
      <w:pPr>
        <w:pStyle w:val="Zkladntext1"/>
        <w:numPr>
          <w:ilvl w:val="1"/>
          <w:numId w:val="43"/>
        </w:numPr>
        <w:shd w:val="clear" w:color="auto" w:fill="auto"/>
        <w:tabs>
          <w:tab w:val="left" w:pos="563"/>
        </w:tabs>
        <w:spacing w:after="200" w:line="334" w:lineRule="auto"/>
        <w:ind w:left="580" w:hanging="580"/>
        <w:jc w:val="both"/>
      </w:pPr>
      <w:r>
        <w:t>Pokud software instalovaný Smluvním partnerem ovlivňu</w:t>
      </w:r>
      <w:r>
        <w:softHyphen/>
        <w:t xml:space="preserve">je funkci </w:t>
      </w:r>
      <w:r>
        <w:t>Služby, popř. je předpoklad, že takový software může ovlivnit funkci Služby, je Smluvní partner povinen na základě výzvy TMCZ takový software odstranit (deinsta- lovat), popř. software upravit (např. změnou konfigurace) tak, aby dále takový software neovli</w:t>
      </w:r>
      <w:r>
        <w:t>vňoval řádné posky</w:t>
      </w:r>
      <w:r>
        <w:softHyphen/>
        <w:t>tování Služby. TMCZ nenese žádnou odpovědnost za po</w:t>
      </w:r>
      <w:r>
        <w:softHyphen/>
        <w:t>skytování Služby v případě, že Služba je ovlivněna soft</w:t>
      </w:r>
      <w:r>
        <w:softHyphen/>
        <w:t>warem instalovaným (užívaným) Smluvním partnerem, popř. instalovaným (užívaným) třetí osobou, které Smluvní partner umožnil takov</w:t>
      </w:r>
      <w:r>
        <w:t>ý software nainstalovat nebo uží</w:t>
      </w:r>
      <w:r>
        <w:softHyphen/>
        <w:t xml:space="preserve">vat. V případě, že Smluvní partner neodstraní problém </w:t>
      </w:r>
      <w:r w:rsidRPr="00920265">
        <w:rPr>
          <w:lang w:eastAsia="en-US" w:bidi="en-US"/>
        </w:rPr>
        <w:t xml:space="preserve">softwaru </w:t>
      </w:r>
      <w:r>
        <w:t xml:space="preserve">nejpozději </w:t>
      </w:r>
      <w:r w:rsidRPr="00920265">
        <w:rPr>
          <w:lang w:eastAsia="en-US" w:bidi="en-US"/>
        </w:rPr>
        <w:t xml:space="preserve">do 2 </w:t>
      </w:r>
      <w:r>
        <w:t xml:space="preserve">pracovních dnů </w:t>
      </w:r>
      <w:r w:rsidRPr="00920265">
        <w:rPr>
          <w:lang w:eastAsia="en-US" w:bidi="en-US"/>
        </w:rPr>
        <w:t xml:space="preserve">od </w:t>
      </w:r>
      <w:r>
        <w:t xml:space="preserve">doručení požadavku </w:t>
      </w:r>
      <w:r w:rsidRPr="00920265">
        <w:rPr>
          <w:lang w:eastAsia="en-US" w:bidi="en-US"/>
        </w:rPr>
        <w:t xml:space="preserve">TMCZ na </w:t>
      </w:r>
      <w:r>
        <w:t xml:space="preserve">odstranění či změnu </w:t>
      </w:r>
      <w:r w:rsidRPr="00920265">
        <w:rPr>
          <w:lang w:eastAsia="en-US" w:bidi="en-US"/>
        </w:rPr>
        <w:t xml:space="preserve">softwaru </w:t>
      </w:r>
      <w:r>
        <w:t>užíva</w:t>
      </w:r>
      <w:r>
        <w:softHyphen/>
        <w:t xml:space="preserve">ného (instalovaného) </w:t>
      </w:r>
      <w:r w:rsidRPr="00920265">
        <w:rPr>
          <w:lang w:eastAsia="en-US" w:bidi="en-US"/>
        </w:rPr>
        <w:t xml:space="preserve">v </w:t>
      </w:r>
      <w:r>
        <w:t xml:space="preserve">rámci Služby Smluvním </w:t>
      </w:r>
      <w:r w:rsidRPr="00920265">
        <w:rPr>
          <w:lang w:eastAsia="en-US" w:bidi="en-US"/>
        </w:rPr>
        <w:t xml:space="preserve">partnerem </w:t>
      </w:r>
      <w:r>
        <w:t xml:space="preserve">či třetí </w:t>
      </w:r>
      <w:r w:rsidRPr="00920265">
        <w:rPr>
          <w:lang w:eastAsia="en-US" w:bidi="en-US"/>
        </w:rPr>
        <w:t xml:space="preserve">osobou, je TMCZ </w:t>
      </w:r>
      <w:r>
        <w:t xml:space="preserve">oprávněn </w:t>
      </w:r>
      <w:r w:rsidRPr="00920265">
        <w:rPr>
          <w:lang w:eastAsia="en-US" w:bidi="en-US"/>
        </w:rPr>
        <w:t xml:space="preserve">omezit nebo pozastavit </w:t>
      </w:r>
      <w:r>
        <w:t xml:space="preserve">poskytování Služby </w:t>
      </w:r>
      <w:r w:rsidRPr="00920265">
        <w:rPr>
          <w:lang w:eastAsia="en-US" w:bidi="en-US"/>
        </w:rPr>
        <w:t xml:space="preserve">bez </w:t>
      </w:r>
      <w:r>
        <w:t>dalšího upozornění.</w:t>
      </w:r>
    </w:p>
    <w:p w:rsidR="00215B20" w:rsidRDefault="00FD0AA3">
      <w:pPr>
        <w:pStyle w:val="Zkladntext1"/>
        <w:numPr>
          <w:ilvl w:val="1"/>
          <w:numId w:val="43"/>
        </w:numPr>
        <w:shd w:val="clear" w:color="auto" w:fill="auto"/>
        <w:tabs>
          <w:tab w:val="left" w:pos="571"/>
        </w:tabs>
        <w:spacing w:after="200" w:line="334" w:lineRule="auto"/>
        <w:ind w:left="580" w:hanging="580"/>
        <w:jc w:val="both"/>
      </w:pPr>
      <w:r w:rsidRPr="00920265">
        <w:rPr>
          <w:lang w:eastAsia="en-US" w:bidi="en-US"/>
        </w:rPr>
        <w:t xml:space="preserve">V </w:t>
      </w:r>
      <w:r>
        <w:t xml:space="preserve">případě Služby zahrnující profesionální </w:t>
      </w:r>
      <w:r w:rsidRPr="00920265">
        <w:rPr>
          <w:lang w:eastAsia="en-US" w:bidi="en-US"/>
        </w:rPr>
        <w:t xml:space="preserve">servis </w:t>
      </w:r>
      <w:r>
        <w:t xml:space="preserve">(správa služby) platí výše uvedené rovněž </w:t>
      </w:r>
      <w:r w:rsidRPr="00920265">
        <w:rPr>
          <w:lang w:eastAsia="en-US" w:bidi="en-US"/>
        </w:rPr>
        <w:t xml:space="preserve">na software, </w:t>
      </w:r>
      <w:r>
        <w:t>jehož in</w:t>
      </w:r>
      <w:r>
        <w:softHyphen/>
        <w:t>stalace</w:t>
      </w:r>
      <w:r w:rsidRPr="00920265">
        <w:rPr>
          <w:lang w:eastAsia="en-US" w:bidi="en-US"/>
        </w:rPr>
        <w:t xml:space="preserve"> </w:t>
      </w:r>
      <w:r>
        <w:t>nevyžaduje administrátorská práva.</w:t>
      </w:r>
    </w:p>
    <w:p w:rsidR="00215B20" w:rsidRDefault="00FD0AA3">
      <w:pPr>
        <w:pStyle w:val="Zkladntext1"/>
        <w:numPr>
          <w:ilvl w:val="1"/>
          <w:numId w:val="43"/>
        </w:numPr>
        <w:shd w:val="clear" w:color="auto" w:fill="auto"/>
        <w:tabs>
          <w:tab w:val="left" w:pos="571"/>
        </w:tabs>
        <w:spacing w:after="200" w:line="334" w:lineRule="auto"/>
        <w:ind w:left="580" w:hanging="580"/>
        <w:jc w:val="both"/>
      </w:pPr>
      <w:r w:rsidRPr="00920265">
        <w:rPr>
          <w:lang w:eastAsia="en-US" w:bidi="en-US"/>
        </w:rPr>
        <w:lastRenderedPageBreak/>
        <w:t>Pokud sof</w:t>
      </w:r>
      <w:r w:rsidRPr="00920265">
        <w:rPr>
          <w:lang w:eastAsia="en-US" w:bidi="en-US"/>
        </w:rPr>
        <w:t xml:space="preserve">tware </w:t>
      </w:r>
      <w:r>
        <w:t xml:space="preserve">vyžaduje administrátorská práva, </w:t>
      </w:r>
      <w:r w:rsidRPr="00920265">
        <w:rPr>
          <w:lang w:eastAsia="en-US" w:bidi="en-US"/>
        </w:rPr>
        <w:t xml:space="preserve">lze jej instalovat v </w:t>
      </w:r>
      <w:r>
        <w:t>rámci Služby prostřednictvím profesionální</w:t>
      </w:r>
      <w:r>
        <w:softHyphen/>
        <w:t>ho</w:t>
      </w:r>
      <w:r w:rsidRPr="00920265">
        <w:rPr>
          <w:lang w:eastAsia="en-US" w:bidi="en-US"/>
        </w:rPr>
        <w:t xml:space="preserve"> servisu TMCZ </w:t>
      </w:r>
      <w:r>
        <w:t xml:space="preserve">(správa služby) až poté, </w:t>
      </w:r>
      <w:r w:rsidRPr="00920265">
        <w:rPr>
          <w:lang w:eastAsia="en-US" w:bidi="en-US"/>
        </w:rPr>
        <w:t xml:space="preserve">co TMCZ </w:t>
      </w:r>
      <w:r>
        <w:t xml:space="preserve">ověří </w:t>
      </w:r>
      <w:r w:rsidRPr="00920265">
        <w:rPr>
          <w:lang w:eastAsia="en-US" w:bidi="en-US"/>
        </w:rPr>
        <w:t xml:space="preserve">dopad softwaru na </w:t>
      </w:r>
      <w:r>
        <w:t xml:space="preserve">poskytování Služby </w:t>
      </w:r>
      <w:r w:rsidRPr="00920265">
        <w:rPr>
          <w:lang w:eastAsia="en-US" w:bidi="en-US"/>
        </w:rPr>
        <w:t xml:space="preserve">a </w:t>
      </w:r>
      <w:r>
        <w:t xml:space="preserve">souhlasí </w:t>
      </w:r>
      <w:r w:rsidRPr="00920265">
        <w:rPr>
          <w:lang w:eastAsia="en-US" w:bidi="en-US"/>
        </w:rPr>
        <w:t xml:space="preserve">s </w:t>
      </w:r>
      <w:r>
        <w:t>insta</w:t>
      </w:r>
      <w:r>
        <w:softHyphen/>
        <w:t xml:space="preserve">lací takového </w:t>
      </w:r>
      <w:r w:rsidRPr="00920265">
        <w:rPr>
          <w:lang w:eastAsia="en-US" w:bidi="en-US"/>
        </w:rPr>
        <w:t xml:space="preserve">softwaru v </w:t>
      </w:r>
      <w:r>
        <w:t xml:space="preserve">rámci Služby. </w:t>
      </w:r>
      <w:r w:rsidRPr="00920265">
        <w:rPr>
          <w:lang w:eastAsia="en-US" w:bidi="en-US"/>
        </w:rPr>
        <w:t>TMC</w:t>
      </w:r>
      <w:r w:rsidRPr="00920265">
        <w:rPr>
          <w:lang w:eastAsia="en-US" w:bidi="en-US"/>
        </w:rPr>
        <w:t xml:space="preserve">Z je </w:t>
      </w:r>
      <w:r>
        <w:t xml:space="preserve">oprávněn požadovat </w:t>
      </w:r>
      <w:r w:rsidRPr="00920265">
        <w:rPr>
          <w:lang w:eastAsia="en-US" w:bidi="en-US"/>
        </w:rPr>
        <w:t xml:space="preserve">po </w:t>
      </w:r>
      <w:r>
        <w:t xml:space="preserve">Smluvním </w:t>
      </w:r>
      <w:r w:rsidRPr="00920265">
        <w:rPr>
          <w:lang w:eastAsia="en-US" w:bidi="en-US"/>
        </w:rPr>
        <w:t xml:space="preserve">partnerovi </w:t>
      </w:r>
      <w:r>
        <w:t xml:space="preserve">úhradu </w:t>
      </w:r>
      <w:r w:rsidRPr="00920265">
        <w:rPr>
          <w:lang w:eastAsia="en-US" w:bidi="en-US"/>
        </w:rPr>
        <w:t xml:space="preserve">ceny za </w:t>
      </w:r>
      <w:r>
        <w:t>doda</w:t>
      </w:r>
      <w:r>
        <w:softHyphen/>
        <w:t xml:space="preserve">tečnou </w:t>
      </w:r>
      <w:r w:rsidRPr="00920265">
        <w:rPr>
          <w:lang w:eastAsia="en-US" w:bidi="en-US"/>
        </w:rPr>
        <w:t xml:space="preserve">instalaci softwaru dle </w:t>
      </w:r>
      <w:r>
        <w:t xml:space="preserve">počtu </w:t>
      </w:r>
      <w:r w:rsidRPr="00920265">
        <w:rPr>
          <w:lang w:eastAsia="en-US" w:bidi="en-US"/>
        </w:rPr>
        <w:t xml:space="preserve">hodin </w:t>
      </w:r>
      <w:r>
        <w:t>skutečně pro</w:t>
      </w:r>
      <w:r>
        <w:softHyphen/>
        <w:t xml:space="preserve">vedené práce </w:t>
      </w:r>
      <w:r w:rsidRPr="00920265">
        <w:rPr>
          <w:lang w:eastAsia="en-US" w:bidi="en-US"/>
        </w:rPr>
        <w:t xml:space="preserve">v souladu s </w:t>
      </w:r>
      <w:r>
        <w:t>příslušným Ceníkem či cenovým ujednáním.</w:t>
      </w:r>
    </w:p>
    <w:p w:rsidR="00215B20" w:rsidRDefault="00FD0AA3">
      <w:pPr>
        <w:pStyle w:val="Zkladntext1"/>
        <w:numPr>
          <w:ilvl w:val="1"/>
          <w:numId w:val="43"/>
        </w:numPr>
        <w:shd w:val="clear" w:color="auto" w:fill="auto"/>
        <w:tabs>
          <w:tab w:val="left" w:pos="571"/>
        </w:tabs>
        <w:spacing w:after="200" w:line="334" w:lineRule="auto"/>
        <w:ind w:left="580" w:hanging="580"/>
        <w:jc w:val="both"/>
      </w:pPr>
      <w:r w:rsidRPr="00920265">
        <w:rPr>
          <w:lang w:eastAsia="en-US" w:bidi="en-US"/>
        </w:rPr>
        <w:t xml:space="preserve">TMCZ nenese </w:t>
      </w:r>
      <w:r>
        <w:t xml:space="preserve">vůči Smluvnímu </w:t>
      </w:r>
      <w:r w:rsidRPr="00920265">
        <w:rPr>
          <w:lang w:eastAsia="en-US" w:bidi="en-US"/>
        </w:rPr>
        <w:t xml:space="preserve">partnerovi </w:t>
      </w:r>
      <w:r>
        <w:t xml:space="preserve">odpovědnost </w:t>
      </w:r>
      <w:r w:rsidRPr="00920265">
        <w:rPr>
          <w:lang w:eastAsia="en-US" w:bidi="en-US"/>
        </w:rPr>
        <w:t xml:space="preserve">za </w:t>
      </w:r>
      <w:r>
        <w:t xml:space="preserve">dodávku </w:t>
      </w:r>
      <w:r w:rsidRPr="00920265">
        <w:rPr>
          <w:lang w:eastAsia="en-US" w:bidi="en-US"/>
        </w:rPr>
        <w:t>softwar</w:t>
      </w:r>
      <w:r w:rsidRPr="00920265">
        <w:rPr>
          <w:lang w:eastAsia="en-US" w:bidi="en-US"/>
        </w:rPr>
        <w:t xml:space="preserve">u, </w:t>
      </w:r>
      <w:r>
        <w:t xml:space="preserve">který Smluvní </w:t>
      </w:r>
      <w:r w:rsidRPr="00920265">
        <w:rPr>
          <w:lang w:eastAsia="en-US" w:bidi="en-US"/>
        </w:rPr>
        <w:t xml:space="preserve">partner </w:t>
      </w:r>
      <w:r>
        <w:t xml:space="preserve">potřebuje </w:t>
      </w:r>
      <w:r w:rsidRPr="00920265">
        <w:rPr>
          <w:lang w:eastAsia="en-US" w:bidi="en-US"/>
        </w:rPr>
        <w:t xml:space="preserve">k </w:t>
      </w:r>
      <w:r>
        <w:t>vyu</w:t>
      </w:r>
      <w:r>
        <w:softHyphen/>
        <w:t xml:space="preserve">žívání Služby </w:t>
      </w:r>
      <w:r w:rsidRPr="00920265">
        <w:rPr>
          <w:lang w:eastAsia="en-US" w:bidi="en-US"/>
        </w:rPr>
        <w:t xml:space="preserve">a za </w:t>
      </w:r>
      <w:r>
        <w:t xml:space="preserve">jehož </w:t>
      </w:r>
      <w:r w:rsidRPr="00920265">
        <w:rPr>
          <w:lang w:eastAsia="en-US" w:bidi="en-US"/>
        </w:rPr>
        <w:t xml:space="preserve">instalaci </w:t>
      </w:r>
      <w:r>
        <w:t>odpovídá Smluvní part</w:t>
      </w:r>
      <w:r>
        <w:softHyphen/>
        <w:t>ner.</w:t>
      </w:r>
      <w:r w:rsidRPr="00920265">
        <w:rPr>
          <w:lang w:eastAsia="en-US" w:bidi="en-US"/>
        </w:rPr>
        <w:t xml:space="preserve"> </w:t>
      </w:r>
      <w:r>
        <w:t xml:space="preserve">Rovněž </w:t>
      </w:r>
      <w:r w:rsidRPr="00920265">
        <w:rPr>
          <w:lang w:eastAsia="en-US" w:bidi="en-US"/>
        </w:rPr>
        <w:t xml:space="preserve">tak TMCZ nenese </w:t>
      </w:r>
      <w:r>
        <w:t xml:space="preserve">odpovědnost </w:t>
      </w:r>
      <w:r w:rsidRPr="00920265">
        <w:rPr>
          <w:lang w:eastAsia="en-US" w:bidi="en-US"/>
        </w:rPr>
        <w:t xml:space="preserve">za </w:t>
      </w:r>
      <w:r>
        <w:t xml:space="preserve">samotný </w:t>
      </w:r>
      <w:r w:rsidRPr="00920265">
        <w:rPr>
          <w:lang w:eastAsia="en-US" w:bidi="en-US"/>
        </w:rPr>
        <w:t xml:space="preserve">software, resp. jeho </w:t>
      </w:r>
      <w:r>
        <w:t>funkčnost.</w:t>
      </w:r>
    </w:p>
    <w:p w:rsidR="00215B20" w:rsidRDefault="00FD0AA3">
      <w:pPr>
        <w:pStyle w:val="Zkladntext1"/>
        <w:numPr>
          <w:ilvl w:val="1"/>
          <w:numId w:val="43"/>
        </w:numPr>
        <w:shd w:val="clear" w:color="auto" w:fill="auto"/>
        <w:tabs>
          <w:tab w:val="left" w:pos="571"/>
        </w:tabs>
        <w:spacing w:after="200" w:line="334" w:lineRule="auto"/>
        <w:ind w:left="580" w:hanging="580"/>
        <w:jc w:val="both"/>
      </w:pPr>
      <w:r w:rsidRPr="00920265">
        <w:rPr>
          <w:lang w:eastAsia="en-US" w:bidi="en-US"/>
        </w:rPr>
        <w:t xml:space="preserve">Software </w:t>
      </w:r>
      <w:r>
        <w:t xml:space="preserve">vložený </w:t>
      </w:r>
      <w:r w:rsidRPr="00920265">
        <w:rPr>
          <w:lang w:eastAsia="en-US" w:bidi="en-US"/>
        </w:rPr>
        <w:t xml:space="preserve">do </w:t>
      </w:r>
      <w:r>
        <w:t xml:space="preserve">šablony </w:t>
      </w:r>
      <w:r w:rsidRPr="00920265">
        <w:rPr>
          <w:lang w:eastAsia="en-US" w:bidi="en-US"/>
        </w:rPr>
        <w:t xml:space="preserve">je </w:t>
      </w:r>
      <w:r>
        <w:t xml:space="preserve">poskytován </w:t>
      </w:r>
      <w:r w:rsidRPr="00920265">
        <w:rPr>
          <w:lang w:eastAsia="en-US" w:bidi="en-US"/>
        </w:rPr>
        <w:t>„tak jak byl poskytnut dodavatele</w:t>
      </w:r>
      <w:r w:rsidRPr="00920265">
        <w:rPr>
          <w:lang w:eastAsia="en-US" w:bidi="en-US"/>
        </w:rPr>
        <w:t xml:space="preserve">m softwaru - jak </w:t>
      </w:r>
      <w:r>
        <w:t xml:space="preserve">stojí </w:t>
      </w:r>
      <w:r w:rsidRPr="00920265">
        <w:rPr>
          <w:lang w:eastAsia="en-US" w:bidi="en-US"/>
        </w:rPr>
        <w:t xml:space="preserve">a </w:t>
      </w:r>
      <w:r>
        <w:t xml:space="preserve">leží“, </w:t>
      </w:r>
      <w:r w:rsidRPr="00920265">
        <w:rPr>
          <w:lang w:eastAsia="en-US" w:bidi="en-US"/>
        </w:rPr>
        <w:t xml:space="preserve">bez </w:t>
      </w:r>
      <w:r>
        <w:t>ja</w:t>
      </w:r>
      <w:r>
        <w:softHyphen/>
        <w:t xml:space="preserve">kýchkoli výslovných či předpokládaných záruk, </w:t>
      </w:r>
      <w:r w:rsidRPr="00920265">
        <w:rPr>
          <w:lang w:eastAsia="en-US" w:bidi="en-US"/>
        </w:rPr>
        <w:t xml:space="preserve">mimo </w:t>
      </w:r>
      <w:r>
        <w:t xml:space="preserve">jiné záruk </w:t>
      </w:r>
      <w:r w:rsidRPr="00920265">
        <w:rPr>
          <w:lang w:eastAsia="en-US" w:bidi="en-US"/>
        </w:rPr>
        <w:t xml:space="preserve">vhodnosti pro </w:t>
      </w:r>
      <w:r>
        <w:t xml:space="preserve">konkrétní účel. </w:t>
      </w:r>
      <w:r w:rsidRPr="00920265">
        <w:rPr>
          <w:lang w:eastAsia="en-US" w:bidi="en-US"/>
        </w:rPr>
        <w:t xml:space="preserve">TMCZ </w:t>
      </w:r>
      <w:r>
        <w:t xml:space="preserve">nezaručuje </w:t>
      </w:r>
      <w:r w:rsidRPr="00920265">
        <w:rPr>
          <w:lang w:eastAsia="en-US" w:bidi="en-US"/>
        </w:rPr>
        <w:t xml:space="preserve">a ne- </w:t>
      </w:r>
      <w:r>
        <w:t xml:space="preserve">přejímá odpovědnost </w:t>
      </w:r>
      <w:r w:rsidRPr="00920265">
        <w:rPr>
          <w:lang w:eastAsia="en-US" w:bidi="en-US"/>
        </w:rPr>
        <w:t xml:space="preserve">za </w:t>
      </w:r>
      <w:r>
        <w:t xml:space="preserve">přesnost či úplnost informací, </w:t>
      </w:r>
      <w:r w:rsidRPr="00920265">
        <w:rPr>
          <w:lang w:eastAsia="en-US" w:bidi="en-US"/>
        </w:rPr>
        <w:t xml:space="preserve">textu, grafiky, </w:t>
      </w:r>
      <w:r>
        <w:t xml:space="preserve">odkazů či jiných položek obsažených </w:t>
      </w:r>
      <w:r w:rsidRPr="00920265">
        <w:rPr>
          <w:lang w:eastAsia="en-US" w:bidi="en-US"/>
        </w:rPr>
        <w:t xml:space="preserve">v </w:t>
      </w:r>
      <w:r>
        <w:t>soft</w:t>
      </w:r>
      <w:r>
        <w:softHyphen/>
        <w:t>waru.</w:t>
      </w:r>
      <w:r w:rsidRPr="00920265">
        <w:rPr>
          <w:lang w:eastAsia="en-US" w:bidi="en-US"/>
        </w:rPr>
        <w:t xml:space="preserve"> TMCZ </w:t>
      </w:r>
      <w:r>
        <w:t xml:space="preserve">neodpovídá </w:t>
      </w:r>
      <w:r w:rsidRPr="00920265">
        <w:rPr>
          <w:lang w:eastAsia="en-US" w:bidi="en-US"/>
        </w:rPr>
        <w:t xml:space="preserve">za </w:t>
      </w:r>
      <w:r>
        <w:t xml:space="preserve">dodaný </w:t>
      </w:r>
      <w:r w:rsidRPr="00920265">
        <w:rPr>
          <w:lang w:eastAsia="en-US" w:bidi="en-US"/>
        </w:rPr>
        <w:t xml:space="preserve">software ani za jeho </w:t>
      </w:r>
      <w:r>
        <w:t xml:space="preserve">funkčnost </w:t>
      </w:r>
      <w:r w:rsidRPr="00920265">
        <w:rPr>
          <w:lang w:eastAsia="en-US" w:bidi="en-US"/>
        </w:rPr>
        <w:t xml:space="preserve">a vhodnost pro </w:t>
      </w:r>
      <w:r>
        <w:t xml:space="preserve">potřeby Smluvního </w:t>
      </w:r>
      <w:r w:rsidRPr="00920265">
        <w:rPr>
          <w:lang w:eastAsia="en-US" w:bidi="en-US"/>
        </w:rPr>
        <w:t xml:space="preserve">partnera, </w:t>
      </w:r>
      <w:r>
        <w:t xml:space="preserve">zejména také neodpovídá </w:t>
      </w:r>
      <w:r w:rsidRPr="00920265">
        <w:rPr>
          <w:lang w:eastAsia="en-US" w:bidi="en-US"/>
        </w:rPr>
        <w:t xml:space="preserve">za to, </w:t>
      </w:r>
      <w:r>
        <w:t xml:space="preserve">že dodaný </w:t>
      </w:r>
      <w:r w:rsidRPr="00920265">
        <w:rPr>
          <w:lang w:eastAsia="en-US" w:bidi="en-US"/>
        </w:rPr>
        <w:t xml:space="preserve">software bude </w:t>
      </w:r>
      <w:r>
        <w:t xml:space="preserve">plně funkční </w:t>
      </w:r>
      <w:r w:rsidRPr="00920265">
        <w:rPr>
          <w:lang w:eastAsia="en-US" w:bidi="en-US"/>
        </w:rPr>
        <w:t xml:space="preserve">ve </w:t>
      </w:r>
      <w:r>
        <w:t xml:space="preserve">spojení </w:t>
      </w:r>
      <w:r w:rsidRPr="00920265">
        <w:rPr>
          <w:lang w:eastAsia="en-US" w:bidi="en-US"/>
        </w:rPr>
        <w:t xml:space="preserve">s </w:t>
      </w:r>
      <w:r>
        <w:t xml:space="preserve">jiným </w:t>
      </w:r>
      <w:r w:rsidRPr="00920265">
        <w:rPr>
          <w:lang w:eastAsia="en-US" w:bidi="en-US"/>
        </w:rPr>
        <w:t xml:space="preserve">softwarem </w:t>
      </w:r>
      <w:r>
        <w:t xml:space="preserve">Smluvního </w:t>
      </w:r>
      <w:r w:rsidRPr="00920265">
        <w:rPr>
          <w:lang w:eastAsia="en-US" w:bidi="en-US"/>
        </w:rPr>
        <w:t>partnera.</w:t>
      </w:r>
    </w:p>
    <w:p w:rsidR="00215B20" w:rsidRDefault="00FD0AA3">
      <w:pPr>
        <w:pStyle w:val="Zkladntext1"/>
        <w:numPr>
          <w:ilvl w:val="1"/>
          <w:numId w:val="43"/>
        </w:numPr>
        <w:shd w:val="clear" w:color="auto" w:fill="auto"/>
        <w:tabs>
          <w:tab w:val="left" w:pos="571"/>
        </w:tabs>
        <w:spacing w:after="200" w:line="334" w:lineRule="auto"/>
        <w:ind w:left="580" w:hanging="580"/>
        <w:jc w:val="both"/>
      </w:pPr>
      <w:r w:rsidRPr="00920265">
        <w:rPr>
          <w:lang w:eastAsia="en-US" w:bidi="en-US"/>
        </w:rPr>
        <w:t xml:space="preserve">TMCZ ani jeho </w:t>
      </w:r>
      <w:r>
        <w:t xml:space="preserve">dodavatelé </w:t>
      </w:r>
      <w:r w:rsidRPr="00920265">
        <w:rPr>
          <w:lang w:eastAsia="en-US" w:bidi="en-US"/>
        </w:rPr>
        <w:t xml:space="preserve">v </w:t>
      </w:r>
      <w:r>
        <w:t xml:space="preserve">žádném případě </w:t>
      </w:r>
      <w:r w:rsidRPr="00920265">
        <w:rPr>
          <w:lang w:eastAsia="en-US" w:bidi="en-US"/>
        </w:rPr>
        <w:t xml:space="preserve">nenesou </w:t>
      </w:r>
      <w:r>
        <w:t>od</w:t>
      </w:r>
      <w:r>
        <w:softHyphen/>
        <w:t xml:space="preserve">povědnost vůči Smluvnímu </w:t>
      </w:r>
      <w:r w:rsidRPr="00920265">
        <w:rPr>
          <w:lang w:eastAsia="en-US" w:bidi="en-US"/>
        </w:rPr>
        <w:t xml:space="preserve">partnerovi nebo </w:t>
      </w:r>
      <w:r>
        <w:t xml:space="preserve">uživatelům </w:t>
      </w:r>
      <w:r w:rsidRPr="00920265">
        <w:rPr>
          <w:lang w:eastAsia="en-US" w:bidi="en-US"/>
        </w:rPr>
        <w:t xml:space="preserve">za jakoukoli </w:t>
      </w:r>
      <w:r>
        <w:t xml:space="preserve">újmu </w:t>
      </w:r>
      <w:r w:rsidRPr="00920265">
        <w:rPr>
          <w:lang w:eastAsia="en-US" w:bidi="en-US"/>
        </w:rPr>
        <w:t xml:space="preserve">(mimo </w:t>
      </w:r>
      <w:r>
        <w:t xml:space="preserve">jiné ušlý </w:t>
      </w:r>
      <w:r w:rsidRPr="00920265">
        <w:rPr>
          <w:lang w:eastAsia="en-US" w:bidi="en-US"/>
        </w:rPr>
        <w:t xml:space="preserve">zisk, </w:t>
      </w:r>
      <w:r>
        <w:t>přerušení podnika</w:t>
      </w:r>
      <w:r>
        <w:softHyphen/>
        <w:t xml:space="preserve">telské činnosti, poškozené či ztracené </w:t>
      </w:r>
      <w:r w:rsidRPr="00920265">
        <w:rPr>
          <w:lang w:eastAsia="en-US" w:bidi="en-US"/>
        </w:rPr>
        <w:t xml:space="preserve">informace </w:t>
      </w:r>
      <w:r>
        <w:t xml:space="preserve">či </w:t>
      </w:r>
      <w:r w:rsidRPr="00920265">
        <w:rPr>
          <w:lang w:eastAsia="en-US" w:bidi="en-US"/>
        </w:rPr>
        <w:t xml:space="preserve">data) vzniklou </w:t>
      </w:r>
      <w:r>
        <w:t>následkem využív</w:t>
      </w:r>
      <w:r>
        <w:t xml:space="preserve">ání </w:t>
      </w:r>
      <w:r w:rsidRPr="00920265">
        <w:rPr>
          <w:lang w:eastAsia="en-US" w:bidi="en-US"/>
        </w:rPr>
        <w:t xml:space="preserve">softwaru </w:t>
      </w:r>
      <w:r>
        <w:t xml:space="preserve">či nemožnosti </w:t>
      </w:r>
      <w:r w:rsidRPr="00920265">
        <w:rPr>
          <w:lang w:eastAsia="en-US" w:bidi="en-US"/>
        </w:rPr>
        <w:t xml:space="preserve">software </w:t>
      </w:r>
      <w:r>
        <w:t>využívat.</w:t>
      </w:r>
    </w:p>
    <w:p w:rsidR="00215B20" w:rsidRDefault="00FD0AA3">
      <w:pPr>
        <w:pStyle w:val="Zkladntext1"/>
        <w:numPr>
          <w:ilvl w:val="1"/>
          <w:numId w:val="43"/>
        </w:numPr>
        <w:shd w:val="clear" w:color="auto" w:fill="auto"/>
        <w:tabs>
          <w:tab w:val="left" w:pos="571"/>
        </w:tabs>
        <w:spacing w:after="200" w:line="334" w:lineRule="auto"/>
        <w:ind w:left="580" w:hanging="580"/>
        <w:jc w:val="both"/>
      </w:pPr>
      <w:r>
        <w:t xml:space="preserve">Smluvní </w:t>
      </w:r>
      <w:r w:rsidRPr="00920265">
        <w:rPr>
          <w:lang w:eastAsia="en-US" w:bidi="en-US"/>
        </w:rPr>
        <w:t xml:space="preserve">partner je </w:t>
      </w:r>
      <w:r>
        <w:t xml:space="preserve">oprávněn </w:t>
      </w:r>
      <w:r w:rsidRPr="00920265">
        <w:rPr>
          <w:lang w:eastAsia="en-US" w:bidi="en-US"/>
        </w:rPr>
        <w:t xml:space="preserve">v </w:t>
      </w:r>
      <w:r>
        <w:t xml:space="preserve">rámci Služby užívat </w:t>
      </w:r>
      <w:r w:rsidRPr="00920265">
        <w:rPr>
          <w:lang w:eastAsia="en-US" w:bidi="en-US"/>
        </w:rPr>
        <w:t xml:space="preserve">pouze </w:t>
      </w:r>
      <w:r>
        <w:t xml:space="preserve">legálně nabytý </w:t>
      </w:r>
      <w:r w:rsidRPr="00920265">
        <w:rPr>
          <w:lang w:eastAsia="en-US" w:bidi="en-US"/>
        </w:rPr>
        <w:t xml:space="preserve">software. </w:t>
      </w:r>
      <w:r>
        <w:t xml:space="preserve">Smluvní </w:t>
      </w:r>
      <w:r w:rsidRPr="00920265">
        <w:rPr>
          <w:lang w:eastAsia="en-US" w:bidi="en-US"/>
        </w:rPr>
        <w:t xml:space="preserve">partner je povinen </w:t>
      </w:r>
      <w:r>
        <w:t>uží</w:t>
      </w:r>
      <w:r>
        <w:softHyphen/>
        <w:t>vat</w:t>
      </w:r>
      <w:r w:rsidRPr="00920265">
        <w:rPr>
          <w:lang w:eastAsia="en-US" w:bidi="en-US"/>
        </w:rPr>
        <w:t xml:space="preserve"> software v souladu s </w:t>
      </w:r>
      <w:r>
        <w:t>licenčními podmínkami (užíva</w:t>
      </w:r>
      <w:r>
        <w:softHyphen/>
        <w:t xml:space="preserve">cími právy) vztahujícími </w:t>
      </w:r>
      <w:r w:rsidRPr="00920265">
        <w:rPr>
          <w:lang w:eastAsia="en-US" w:bidi="en-US"/>
        </w:rPr>
        <w:t xml:space="preserve">se k </w:t>
      </w:r>
      <w:r>
        <w:t xml:space="preserve">danému </w:t>
      </w:r>
      <w:r w:rsidRPr="00920265">
        <w:rPr>
          <w:lang w:eastAsia="en-US" w:bidi="en-US"/>
        </w:rPr>
        <w:t xml:space="preserve">softwaru. </w:t>
      </w:r>
      <w:r>
        <w:t xml:space="preserve">Smluvní </w:t>
      </w:r>
      <w:r w:rsidRPr="00920265">
        <w:rPr>
          <w:lang w:eastAsia="en-US" w:bidi="en-US"/>
        </w:rPr>
        <w:t xml:space="preserve">partner nese </w:t>
      </w:r>
      <w:r>
        <w:t xml:space="preserve">odpovědnost </w:t>
      </w:r>
      <w:r w:rsidRPr="00920265">
        <w:rPr>
          <w:lang w:eastAsia="en-US" w:bidi="en-US"/>
        </w:rPr>
        <w:t xml:space="preserve">za </w:t>
      </w:r>
      <w:r>
        <w:t xml:space="preserve">veškeré </w:t>
      </w:r>
      <w:r w:rsidRPr="00920265">
        <w:rPr>
          <w:lang w:eastAsia="en-US" w:bidi="en-US"/>
        </w:rPr>
        <w:t xml:space="preserve">aplikace - software </w:t>
      </w:r>
      <w:r>
        <w:t xml:space="preserve">běžící </w:t>
      </w:r>
      <w:r w:rsidRPr="00920265">
        <w:rPr>
          <w:lang w:eastAsia="en-US" w:bidi="en-US"/>
        </w:rPr>
        <w:t xml:space="preserve">v </w:t>
      </w:r>
      <w:r>
        <w:t xml:space="preserve">rámci Služby včetně datových přenosů. Smluvní </w:t>
      </w:r>
      <w:r w:rsidRPr="00920265">
        <w:rPr>
          <w:lang w:eastAsia="en-US" w:bidi="en-US"/>
        </w:rPr>
        <w:t xml:space="preserve">partner se zavazuje uhradit TMCZ </w:t>
      </w:r>
      <w:r>
        <w:t xml:space="preserve">veškerou újmu, </w:t>
      </w:r>
      <w:r w:rsidRPr="00920265">
        <w:rPr>
          <w:lang w:eastAsia="en-US" w:bidi="en-US"/>
        </w:rPr>
        <w:t xml:space="preserve">a to i ne- majetkovou, vzniklou TMCZ v </w:t>
      </w:r>
      <w:r>
        <w:t>důsledku porušení podmí</w:t>
      </w:r>
      <w:r>
        <w:softHyphen/>
        <w:t>nek</w:t>
      </w:r>
      <w:r w:rsidRPr="00920265">
        <w:rPr>
          <w:lang w:eastAsia="en-US" w:bidi="en-US"/>
        </w:rPr>
        <w:t xml:space="preserve"> licence ze strany </w:t>
      </w:r>
      <w:r>
        <w:t xml:space="preserve">Smluvního </w:t>
      </w:r>
      <w:r w:rsidRPr="00920265">
        <w:rPr>
          <w:lang w:eastAsia="en-US" w:bidi="en-US"/>
        </w:rPr>
        <w:t xml:space="preserve">partnera, a to v </w:t>
      </w:r>
      <w:r>
        <w:t>plné výši.</w:t>
      </w:r>
    </w:p>
    <w:p w:rsidR="00215B20" w:rsidRDefault="00FD0AA3">
      <w:pPr>
        <w:pStyle w:val="Zkladntext1"/>
        <w:numPr>
          <w:ilvl w:val="1"/>
          <w:numId w:val="43"/>
        </w:numPr>
        <w:shd w:val="clear" w:color="auto" w:fill="auto"/>
        <w:tabs>
          <w:tab w:val="left" w:pos="571"/>
        </w:tabs>
        <w:spacing w:after="200" w:line="334" w:lineRule="auto"/>
        <w:jc w:val="both"/>
      </w:pPr>
      <w:r w:rsidRPr="00920265">
        <w:rPr>
          <w:lang w:eastAsia="en-US" w:bidi="en-US"/>
        </w:rPr>
        <w:t xml:space="preserve">TMCZ je </w:t>
      </w:r>
      <w:r>
        <w:t xml:space="preserve">oprávněn </w:t>
      </w:r>
      <w:r w:rsidRPr="00920265">
        <w:rPr>
          <w:lang w:eastAsia="en-US" w:bidi="en-US"/>
        </w:rPr>
        <w:t xml:space="preserve">kdykoli opravit, odstranit, </w:t>
      </w:r>
      <w:r>
        <w:t xml:space="preserve">změnit či </w:t>
      </w:r>
      <w:r w:rsidRPr="00920265">
        <w:rPr>
          <w:lang w:eastAsia="en-US" w:bidi="en-US"/>
        </w:rPr>
        <w:t xml:space="preserve">modernizovat software </w:t>
      </w:r>
      <w:r>
        <w:t xml:space="preserve">instalovaný </w:t>
      </w:r>
      <w:r w:rsidRPr="00920265">
        <w:rPr>
          <w:lang w:eastAsia="en-US" w:bidi="en-US"/>
        </w:rPr>
        <w:t xml:space="preserve">na komponentech </w:t>
      </w:r>
      <w:r>
        <w:t xml:space="preserve">Služby, </w:t>
      </w:r>
      <w:r w:rsidRPr="00920265">
        <w:rPr>
          <w:lang w:eastAsia="en-US" w:bidi="en-US"/>
        </w:rPr>
        <w:t xml:space="preserve">pokud se </w:t>
      </w:r>
      <w:r>
        <w:t xml:space="preserve">má </w:t>
      </w:r>
      <w:r w:rsidRPr="00920265">
        <w:rPr>
          <w:lang w:eastAsia="en-US" w:bidi="en-US"/>
        </w:rPr>
        <w:t xml:space="preserve">za to, </w:t>
      </w:r>
      <w:r>
        <w:t xml:space="preserve">že </w:t>
      </w:r>
      <w:r w:rsidRPr="00920265">
        <w:rPr>
          <w:lang w:eastAsia="en-US" w:bidi="en-US"/>
        </w:rPr>
        <w:t xml:space="preserve">je to </w:t>
      </w:r>
      <w:r>
        <w:t xml:space="preserve">vyžadováno </w:t>
      </w:r>
      <w:r w:rsidRPr="00920265">
        <w:rPr>
          <w:lang w:eastAsia="en-US" w:bidi="en-US"/>
        </w:rPr>
        <w:t xml:space="preserve">pro </w:t>
      </w:r>
      <w:r>
        <w:t xml:space="preserve">účely údržby či zvýšení </w:t>
      </w:r>
      <w:r w:rsidRPr="00920265">
        <w:rPr>
          <w:lang w:eastAsia="en-US" w:bidi="en-US"/>
        </w:rPr>
        <w:t xml:space="preserve">kvality </w:t>
      </w:r>
      <w:r>
        <w:t>Služby.</w:t>
      </w:r>
    </w:p>
    <w:p w:rsidR="00215B20" w:rsidRDefault="00FD0AA3">
      <w:pPr>
        <w:pStyle w:val="Zkladntext1"/>
        <w:numPr>
          <w:ilvl w:val="1"/>
          <w:numId w:val="43"/>
        </w:numPr>
        <w:shd w:val="clear" w:color="auto" w:fill="auto"/>
        <w:tabs>
          <w:tab w:val="left" w:pos="559"/>
        </w:tabs>
        <w:spacing w:after="200" w:line="334" w:lineRule="auto"/>
        <w:ind w:left="580" w:hanging="580"/>
        <w:jc w:val="both"/>
      </w:pPr>
      <w:r w:rsidRPr="00920265">
        <w:rPr>
          <w:lang w:eastAsia="en-US" w:bidi="en-US"/>
        </w:rPr>
        <w:t>TMC</w:t>
      </w:r>
      <w:r w:rsidRPr="00920265">
        <w:rPr>
          <w:lang w:eastAsia="en-US" w:bidi="en-US"/>
        </w:rPr>
        <w:t xml:space="preserve">Z je </w:t>
      </w:r>
      <w:r>
        <w:t xml:space="preserve">oprávněn </w:t>
      </w:r>
      <w:r w:rsidRPr="00920265">
        <w:rPr>
          <w:lang w:eastAsia="en-US" w:bidi="en-US"/>
        </w:rPr>
        <w:t xml:space="preserve">kdykoliv </w:t>
      </w:r>
      <w:r>
        <w:t xml:space="preserve">jednostranně zvýšit </w:t>
      </w:r>
      <w:r w:rsidRPr="00920265">
        <w:rPr>
          <w:lang w:eastAsia="en-US" w:bidi="en-US"/>
        </w:rPr>
        <w:t xml:space="preserve">cenu </w:t>
      </w:r>
      <w:r>
        <w:t>soft</w:t>
      </w:r>
      <w:r>
        <w:softHyphen/>
        <w:t>waru</w:t>
      </w:r>
      <w:r w:rsidRPr="00920265">
        <w:rPr>
          <w:lang w:eastAsia="en-US" w:bidi="en-US"/>
        </w:rPr>
        <w:t xml:space="preserve"> </w:t>
      </w:r>
      <w:r>
        <w:t xml:space="preserve">poskytnutého Smluvnímu </w:t>
      </w:r>
      <w:r w:rsidRPr="00920265">
        <w:rPr>
          <w:lang w:eastAsia="en-US" w:bidi="en-US"/>
        </w:rPr>
        <w:t xml:space="preserve">partnerovi v </w:t>
      </w:r>
      <w:r>
        <w:t xml:space="preserve">rámci Služby </w:t>
      </w:r>
      <w:r w:rsidRPr="00920265">
        <w:rPr>
          <w:lang w:eastAsia="en-US" w:bidi="en-US"/>
        </w:rPr>
        <w:t xml:space="preserve">v </w:t>
      </w:r>
      <w:r>
        <w:t xml:space="preserve">případě, že </w:t>
      </w:r>
      <w:r w:rsidRPr="00920265">
        <w:rPr>
          <w:lang w:eastAsia="en-US" w:bidi="en-US"/>
        </w:rPr>
        <w:t xml:space="preserve">dodavatel tohoto softwaru </w:t>
      </w:r>
      <w:r>
        <w:t xml:space="preserve">zvýší </w:t>
      </w:r>
      <w:r w:rsidRPr="00920265">
        <w:rPr>
          <w:lang w:eastAsia="en-US" w:bidi="en-US"/>
        </w:rPr>
        <w:t xml:space="preserve">cenu </w:t>
      </w:r>
      <w:r>
        <w:t>pří</w:t>
      </w:r>
      <w:r>
        <w:softHyphen/>
        <w:t xml:space="preserve">slušného </w:t>
      </w:r>
      <w:r w:rsidRPr="00920265">
        <w:rPr>
          <w:lang w:eastAsia="en-US" w:bidi="en-US"/>
        </w:rPr>
        <w:t xml:space="preserve">softwaru </w:t>
      </w:r>
      <w:r>
        <w:t xml:space="preserve">vůči </w:t>
      </w:r>
      <w:r w:rsidRPr="00920265">
        <w:rPr>
          <w:lang w:eastAsia="en-US" w:bidi="en-US"/>
        </w:rPr>
        <w:t>TMCZ.</w:t>
      </w:r>
    </w:p>
    <w:p w:rsidR="00215B20" w:rsidRDefault="00FD0AA3">
      <w:pPr>
        <w:pStyle w:val="Nadpis60"/>
        <w:keepNext/>
        <w:keepLines/>
        <w:numPr>
          <w:ilvl w:val="0"/>
          <w:numId w:val="43"/>
        </w:numPr>
        <w:shd w:val="clear" w:color="auto" w:fill="auto"/>
        <w:tabs>
          <w:tab w:val="left" w:pos="559"/>
        </w:tabs>
        <w:spacing w:after="0" w:line="334" w:lineRule="auto"/>
      </w:pPr>
      <w:bookmarkStart w:id="247" w:name="bookmark246"/>
      <w:bookmarkStart w:id="248" w:name="bookmark247"/>
      <w:r>
        <w:rPr>
          <w:color w:val="EC018B"/>
        </w:rPr>
        <w:t>Nákup zařízení</w:t>
      </w:r>
      <w:bookmarkEnd w:id="247"/>
      <w:bookmarkEnd w:id="248"/>
    </w:p>
    <w:p w:rsidR="00215B20" w:rsidRDefault="00FD0AA3">
      <w:pPr>
        <w:pStyle w:val="Zkladntext1"/>
        <w:numPr>
          <w:ilvl w:val="1"/>
          <w:numId w:val="43"/>
        </w:numPr>
        <w:shd w:val="clear" w:color="auto" w:fill="auto"/>
        <w:tabs>
          <w:tab w:val="left" w:pos="559"/>
        </w:tabs>
        <w:spacing w:after="0" w:line="334" w:lineRule="auto"/>
        <w:ind w:left="580" w:hanging="580"/>
        <w:jc w:val="both"/>
      </w:pPr>
      <w:r>
        <w:t>Není-li výslovně v jiném Smluvním dokumentu sjedná</w:t>
      </w:r>
      <w:r>
        <w:t>no jinak, tak pro případ sjednané koupě Zařízení Smluvním partnerem platí následující:</w:t>
      </w:r>
    </w:p>
    <w:p w:rsidR="00215B20" w:rsidRDefault="00FD0AA3">
      <w:pPr>
        <w:pStyle w:val="Zkladntext1"/>
        <w:numPr>
          <w:ilvl w:val="0"/>
          <w:numId w:val="44"/>
        </w:numPr>
        <w:shd w:val="clear" w:color="auto" w:fill="auto"/>
        <w:tabs>
          <w:tab w:val="left" w:pos="866"/>
        </w:tabs>
        <w:spacing w:after="0" w:line="334" w:lineRule="auto"/>
        <w:ind w:firstLine="580"/>
      </w:pPr>
      <w:r>
        <w:t>cena je stanovena v příslušném Ceníku;</w:t>
      </w:r>
    </w:p>
    <w:p w:rsidR="00215B20" w:rsidRDefault="00FD0AA3">
      <w:pPr>
        <w:pStyle w:val="Zkladntext1"/>
        <w:numPr>
          <w:ilvl w:val="0"/>
          <w:numId w:val="44"/>
        </w:numPr>
        <w:shd w:val="clear" w:color="auto" w:fill="auto"/>
        <w:tabs>
          <w:tab w:val="left" w:pos="869"/>
        </w:tabs>
        <w:spacing w:after="0" w:line="334" w:lineRule="auto"/>
        <w:ind w:left="860" w:hanging="280"/>
        <w:jc w:val="both"/>
      </w:pPr>
      <w:r>
        <w:t>místo dodání je místo, ve kterém má být zřízena, změně</w:t>
      </w:r>
      <w:r>
        <w:softHyphen/>
        <w:t>na a poskytována Služba, ke které je Zařízení dodáváno;</w:t>
      </w:r>
    </w:p>
    <w:p w:rsidR="00215B20" w:rsidRDefault="00FD0AA3">
      <w:pPr>
        <w:pStyle w:val="Zkladntext1"/>
        <w:numPr>
          <w:ilvl w:val="0"/>
          <w:numId w:val="44"/>
        </w:numPr>
        <w:shd w:val="clear" w:color="auto" w:fill="auto"/>
        <w:tabs>
          <w:tab w:val="left" w:pos="869"/>
        </w:tabs>
        <w:spacing w:after="0" w:line="334" w:lineRule="auto"/>
        <w:ind w:left="860" w:hanging="280"/>
        <w:jc w:val="both"/>
      </w:pPr>
      <w:r>
        <w:lastRenderedPageBreak/>
        <w:t xml:space="preserve">lhůta pro dodání </w:t>
      </w:r>
      <w:r>
        <w:t>Zařízení je totožná se lhůtou pro zříze</w:t>
      </w:r>
      <w:r>
        <w:softHyphen/>
        <w:t>ní nebo změnu Služby, ke které je Zařízení dodáváno;</w:t>
      </w:r>
    </w:p>
    <w:p w:rsidR="00215B20" w:rsidRDefault="00FD0AA3">
      <w:pPr>
        <w:pStyle w:val="Zkladntext1"/>
        <w:numPr>
          <w:ilvl w:val="0"/>
          <w:numId w:val="44"/>
        </w:numPr>
        <w:shd w:val="clear" w:color="auto" w:fill="auto"/>
        <w:tabs>
          <w:tab w:val="left" w:pos="869"/>
        </w:tabs>
        <w:spacing w:after="0" w:line="334" w:lineRule="auto"/>
        <w:ind w:left="860" w:hanging="280"/>
        <w:jc w:val="both"/>
      </w:pPr>
      <w:r>
        <w:t>Zařízení bude Smluvnímu partnerovi předáno na zá</w:t>
      </w:r>
      <w:r>
        <w:softHyphen/>
        <w:t>kladě předávacího protokolu, dodacího listu nebo na základě jiného dokumentu, na kterém je Smluvní part</w:t>
      </w:r>
      <w:r>
        <w:softHyphen/>
        <w:t>ner povine</w:t>
      </w:r>
      <w:r>
        <w:t>n TMCZ (popř. dodavateli nebo dopravci) potvrdit převzetí Zařízení;</w:t>
      </w:r>
    </w:p>
    <w:p w:rsidR="00215B20" w:rsidRDefault="00FD0AA3">
      <w:pPr>
        <w:pStyle w:val="Zkladntext1"/>
        <w:numPr>
          <w:ilvl w:val="0"/>
          <w:numId w:val="44"/>
        </w:numPr>
        <w:shd w:val="clear" w:color="auto" w:fill="auto"/>
        <w:tabs>
          <w:tab w:val="left" w:pos="869"/>
        </w:tabs>
        <w:spacing w:after="0" w:line="334" w:lineRule="auto"/>
        <w:ind w:left="860" w:hanging="280"/>
        <w:jc w:val="both"/>
      </w:pPr>
      <w:r>
        <w:t>vlastnictví Zařízení přechází na Smluvního partnera až úplným uhrazením sjednané ceny za příslušné Zařízení ve prospěch TMCZ;</w:t>
      </w:r>
    </w:p>
    <w:p w:rsidR="00215B20" w:rsidRDefault="00FD0AA3">
      <w:pPr>
        <w:pStyle w:val="Zkladntext1"/>
        <w:numPr>
          <w:ilvl w:val="0"/>
          <w:numId w:val="44"/>
        </w:numPr>
        <w:shd w:val="clear" w:color="auto" w:fill="auto"/>
        <w:tabs>
          <w:tab w:val="left" w:pos="869"/>
        </w:tabs>
        <w:spacing w:after="200" w:line="334" w:lineRule="auto"/>
        <w:ind w:left="860" w:hanging="280"/>
        <w:jc w:val="both"/>
      </w:pPr>
      <w:r>
        <w:t>nebezpečí škody na Zařízení přechází na Smluvního part</w:t>
      </w:r>
      <w:r>
        <w:softHyphen/>
        <w:t>nera ok</w:t>
      </w:r>
      <w:r>
        <w:t>amžikem jeho převzetí Smluvním partnerem.</w:t>
      </w:r>
    </w:p>
    <w:p w:rsidR="00215B20" w:rsidRDefault="00FD0AA3">
      <w:pPr>
        <w:pStyle w:val="Zkladntext1"/>
        <w:numPr>
          <w:ilvl w:val="1"/>
          <w:numId w:val="43"/>
        </w:numPr>
        <w:shd w:val="clear" w:color="auto" w:fill="auto"/>
        <w:tabs>
          <w:tab w:val="left" w:pos="559"/>
        </w:tabs>
        <w:spacing w:after="200" w:line="334" w:lineRule="auto"/>
        <w:ind w:left="580" w:hanging="580"/>
        <w:jc w:val="both"/>
      </w:pPr>
      <w:r>
        <w:t>Kromě případů, kdy se jedná o výslovně sjednanou kou</w:t>
      </w:r>
      <w:r>
        <w:softHyphen/>
        <w:t>pi Zařízení, může být Zařízení Smluvnímu partnerovi do</w:t>
      </w:r>
      <w:r>
        <w:softHyphen/>
        <w:t>dáno jako součást Služby nebo mu může být pronajato nebo zapůjčeno ke Službě, přičemž konkrétní podmínky t</w:t>
      </w:r>
      <w:r>
        <w:t>ýkající se nájmu či zapůjčení Zařízení jsou vždy výslovně sjednány mezi Smluvním partnerem a TMCZ ve Smlouvě/ Specifikaci služby nebo jiném Smluvním dokumentu.</w:t>
      </w:r>
    </w:p>
    <w:p w:rsidR="00215B20" w:rsidRDefault="00FD0AA3">
      <w:pPr>
        <w:pStyle w:val="Zkladntext1"/>
        <w:numPr>
          <w:ilvl w:val="1"/>
          <w:numId w:val="43"/>
        </w:numPr>
        <w:shd w:val="clear" w:color="auto" w:fill="auto"/>
        <w:tabs>
          <w:tab w:val="left" w:pos="559"/>
        </w:tabs>
        <w:spacing w:after="200" w:line="334" w:lineRule="auto"/>
        <w:ind w:left="580" w:hanging="580"/>
        <w:jc w:val="both"/>
      </w:pPr>
      <w:r>
        <w:t>TMCZ poskytuje Smluvnímu partnerovi záruku v souladu se záručními podmínkami výrobce Zařízení, s</w:t>
      </w:r>
      <w:r>
        <w:t xml:space="preserve"> nimiž je Smluvní partner povinen se seznámit před koupí Zařízení. Je-li sou</w:t>
      </w:r>
      <w:r>
        <w:softHyphen/>
        <w:t>částí Zařízení software, nabývá Smluvní partner nejdříve dnem uhrazení ceny Zařízení právo k užití takového softwa</w:t>
      </w:r>
      <w:r>
        <w:softHyphen/>
        <w:t xml:space="preserve">ru, a to v rozsahu stanoveném licenčními podmínkami, které jsou </w:t>
      </w:r>
      <w:r>
        <w:t>součástí daného softwaru. Právo užití nabývá Smluvní partner přímo od nositele autorských práv k softwaru a je povinen řídit se příslušnými licenčními podmínkami.</w:t>
      </w:r>
    </w:p>
    <w:p w:rsidR="00215B20" w:rsidRDefault="00FD0AA3">
      <w:pPr>
        <w:pStyle w:val="Zkladntext1"/>
        <w:numPr>
          <w:ilvl w:val="1"/>
          <w:numId w:val="43"/>
        </w:numPr>
        <w:shd w:val="clear" w:color="auto" w:fill="auto"/>
        <w:tabs>
          <w:tab w:val="left" w:pos="559"/>
        </w:tabs>
        <w:spacing w:after="0" w:line="334" w:lineRule="auto"/>
        <w:ind w:left="580" w:hanging="580"/>
        <w:jc w:val="both"/>
      </w:pPr>
      <w:r>
        <w:t>Objednávky nákupu Zařízení bude Smluvní partner zasílat na faxové číslo: (+420) 603604646. Or</w:t>
      </w:r>
      <w:r>
        <w:t>iginály objedná</w:t>
      </w:r>
      <w:r>
        <w:softHyphen/>
        <w:t>vek je Smluvní partner povinen zaslat TMCZ do deseti (10) dnů od jejich zaslání faxem na adresu:</w:t>
      </w:r>
    </w:p>
    <w:p w:rsidR="00215B20" w:rsidRDefault="00FD0AA3">
      <w:pPr>
        <w:pStyle w:val="Zkladntext1"/>
        <w:shd w:val="clear" w:color="auto" w:fill="auto"/>
        <w:spacing w:after="200" w:line="334" w:lineRule="auto"/>
        <w:ind w:left="1180" w:firstLine="20"/>
        <w:jc w:val="both"/>
      </w:pPr>
      <w:r>
        <w:t>T-Mobile Czech Republic a.s. Zákaznické centrum - Business Tomíčkova 2144/1 148 00 Praha 4 tel.: 800737333</w:t>
      </w:r>
    </w:p>
    <w:p w:rsidR="00215B20" w:rsidRDefault="00FD0AA3">
      <w:pPr>
        <w:pStyle w:val="Zkladntext1"/>
        <w:numPr>
          <w:ilvl w:val="1"/>
          <w:numId w:val="43"/>
        </w:numPr>
        <w:shd w:val="clear" w:color="auto" w:fill="auto"/>
        <w:tabs>
          <w:tab w:val="left" w:pos="570"/>
        </w:tabs>
        <w:spacing w:after="220" w:line="334" w:lineRule="auto"/>
        <w:ind w:left="580" w:hanging="580"/>
        <w:jc w:val="both"/>
      </w:pPr>
      <w:r w:rsidRPr="00920265">
        <w:rPr>
          <w:lang w:eastAsia="en-US" w:bidi="en-US"/>
        </w:rPr>
        <w:t xml:space="preserve">V </w:t>
      </w:r>
      <w:r>
        <w:t xml:space="preserve">případě potřeby informací </w:t>
      </w:r>
      <w:r w:rsidRPr="00920265">
        <w:rPr>
          <w:lang w:eastAsia="en-US" w:bidi="en-US"/>
        </w:rPr>
        <w:t xml:space="preserve">k </w:t>
      </w:r>
      <w:r>
        <w:t xml:space="preserve">nákupu koncových Zařízení </w:t>
      </w:r>
      <w:r w:rsidRPr="00920265">
        <w:rPr>
          <w:lang w:eastAsia="en-US" w:bidi="en-US"/>
        </w:rPr>
        <w:t xml:space="preserve">se bude </w:t>
      </w:r>
      <w:r>
        <w:t xml:space="preserve">Smluvní </w:t>
      </w:r>
      <w:r w:rsidRPr="00920265">
        <w:rPr>
          <w:lang w:eastAsia="en-US" w:bidi="en-US"/>
        </w:rPr>
        <w:t xml:space="preserve">partner obracet na </w:t>
      </w:r>
      <w:r>
        <w:t xml:space="preserve">Zákaznické </w:t>
      </w:r>
      <w:r w:rsidRPr="00920265">
        <w:rPr>
          <w:lang w:eastAsia="en-US" w:bidi="en-US"/>
        </w:rPr>
        <w:t>centrum - Business.</w:t>
      </w:r>
    </w:p>
    <w:p w:rsidR="00215B20" w:rsidRDefault="00FD0AA3">
      <w:pPr>
        <w:pStyle w:val="Zkladntext1"/>
        <w:numPr>
          <w:ilvl w:val="1"/>
          <w:numId w:val="43"/>
        </w:numPr>
        <w:shd w:val="clear" w:color="auto" w:fill="auto"/>
        <w:tabs>
          <w:tab w:val="left" w:pos="570"/>
        </w:tabs>
        <w:spacing w:after="0" w:line="334" w:lineRule="auto"/>
        <w:jc w:val="both"/>
      </w:pPr>
      <w:r>
        <w:t xml:space="preserve">Záruka </w:t>
      </w:r>
      <w:r>
        <w:rPr>
          <w:lang w:val="en-US" w:eastAsia="en-US" w:bidi="en-US"/>
        </w:rPr>
        <w:t xml:space="preserve">se nevztahuje </w:t>
      </w:r>
      <w:proofErr w:type="gramStart"/>
      <w:r>
        <w:rPr>
          <w:lang w:val="en-US" w:eastAsia="en-US" w:bidi="en-US"/>
        </w:rPr>
        <w:t>na</w:t>
      </w:r>
      <w:proofErr w:type="gramEnd"/>
      <w:r>
        <w:rPr>
          <w:lang w:val="en-US" w:eastAsia="en-US" w:bidi="en-US"/>
        </w:rPr>
        <w:t>:</w:t>
      </w:r>
    </w:p>
    <w:p w:rsidR="00215B20" w:rsidRDefault="00FD0AA3">
      <w:pPr>
        <w:pStyle w:val="Zkladntext1"/>
        <w:numPr>
          <w:ilvl w:val="0"/>
          <w:numId w:val="45"/>
        </w:numPr>
        <w:shd w:val="clear" w:color="auto" w:fill="auto"/>
        <w:tabs>
          <w:tab w:val="left" w:pos="861"/>
        </w:tabs>
        <w:spacing w:after="0" w:line="334" w:lineRule="auto"/>
        <w:ind w:left="860" w:hanging="280"/>
        <w:jc w:val="both"/>
      </w:pPr>
      <w:r w:rsidRPr="00920265">
        <w:rPr>
          <w:lang w:val="fr-FR" w:eastAsia="en-US" w:bidi="en-US"/>
        </w:rPr>
        <w:t xml:space="preserve">vady </w:t>
      </w:r>
      <w:r>
        <w:t xml:space="preserve">způsobené instalací, změnou </w:t>
      </w:r>
      <w:r w:rsidRPr="00920265">
        <w:rPr>
          <w:lang w:val="fr-FR" w:eastAsia="en-US" w:bidi="en-US"/>
        </w:rPr>
        <w:t xml:space="preserve">nebo opravou </w:t>
      </w:r>
      <w:r>
        <w:t>ne</w:t>
      </w:r>
      <w:r>
        <w:softHyphen/>
        <w:t>provedenou</w:t>
      </w:r>
      <w:r w:rsidRPr="00920265">
        <w:rPr>
          <w:lang w:val="fr-FR" w:eastAsia="en-US" w:bidi="en-US"/>
        </w:rPr>
        <w:t xml:space="preserve"> TMCZ;</w:t>
      </w:r>
    </w:p>
    <w:p w:rsidR="00215B20" w:rsidRDefault="00FD0AA3">
      <w:pPr>
        <w:pStyle w:val="Zkladntext1"/>
        <w:numPr>
          <w:ilvl w:val="0"/>
          <w:numId w:val="45"/>
        </w:numPr>
        <w:shd w:val="clear" w:color="auto" w:fill="auto"/>
        <w:tabs>
          <w:tab w:val="left" w:pos="861"/>
        </w:tabs>
        <w:spacing w:after="0" w:line="334" w:lineRule="auto"/>
        <w:ind w:left="860" w:hanging="280"/>
        <w:jc w:val="both"/>
      </w:pPr>
      <w:r w:rsidRPr="00920265">
        <w:rPr>
          <w:lang w:eastAsia="en-US" w:bidi="en-US"/>
        </w:rPr>
        <w:t xml:space="preserve">vady, </w:t>
      </w:r>
      <w:r>
        <w:t xml:space="preserve">které </w:t>
      </w:r>
      <w:r w:rsidRPr="00920265">
        <w:rPr>
          <w:lang w:eastAsia="en-US" w:bidi="en-US"/>
        </w:rPr>
        <w:t xml:space="preserve">vznikly v </w:t>
      </w:r>
      <w:r>
        <w:t xml:space="preserve">důsledku používání Zařízení </w:t>
      </w:r>
      <w:r w:rsidRPr="00920265">
        <w:rPr>
          <w:lang w:eastAsia="en-US" w:bidi="en-US"/>
        </w:rPr>
        <w:t xml:space="preserve">v </w:t>
      </w:r>
      <w:r>
        <w:t>roz</w:t>
      </w:r>
      <w:r>
        <w:softHyphen/>
        <w:t>poru</w:t>
      </w:r>
      <w:r w:rsidRPr="00920265">
        <w:rPr>
          <w:lang w:eastAsia="en-US" w:bidi="en-US"/>
        </w:rPr>
        <w:t xml:space="preserve"> s pokyny k </w:t>
      </w:r>
      <w:r>
        <w:t>u</w:t>
      </w:r>
      <w:r>
        <w:t>žívání takového Zařízení;</w:t>
      </w:r>
    </w:p>
    <w:p w:rsidR="00215B20" w:rsidRDefault="00FD0AA3">
      <w:pPr>
        <w:pStyle w:val="Zkladntext1"/>
        <w:numPr>
          <w:ilvl w:val="0"/>
          <w:numId w:val="45"/>
        </w:numPr>
        <w:shd w:val="clear" w:color="auto" w:fill="auto"/>
        <w:tabs>
          <w:tab w:val="left" w:pos="861"/>
        </w:tabs>
        <w:spacing w:after="0" w:line="334" w:lineRule="auto"/>
        <w:ind w:left="860" w:hanging="280"/>
        <w:jc w:val="both"/>
      </w:pPr>
      <w:r w:rsidRPr="00920265">
        <w:rPr>
          <w:lang w:eastAsia="en-US" w:bidi="en-US"/>
        </w:rPr>
        <w:t xml:space="preserve">vady, </w:t>
      </w:r>
      <w:r>
        <w:t xml:space="preserve">jež </w:t>
      </w:r>
      <w:r w:rsidRPr="00920265">
        <w:rPr>
          <w:lang w:eastAsia="en-US" w:bidi="en-US"/>
        </w:rPr>
        <w:t xml:space="preserve">byly </w:t>
      </w:r>
      <w:r>
        <w:t xml:space="preserve">způsobeny </w:t>
      </w:r>
      <w:r w:rsidRPr="00920265">
        <w:rPr>
          <w:lang w:eastAsia="en-US" w:bidi="en-US"/>
        </w:rPr>
        <w:t xml:space="preserve">v souvislosti s </w:t>
      </w:r>
      <w:r>
        <w:t>realizací po</w:t>
      </w:r>
      <w:r>
        <w:softHyphen/>
        <w:t xml:space="preserve">kynů Smluvního </w:t>
      </w:r>
      <w:r w:rsidRPr="00920265">
        <w:rPr>
          <w:lang w:eastAsia="en-US" w:bidi="en-US"/>
        </w:rPr>
        <w:t xml:space="preserve">partnera, pokud TMCZ nemohl </w:t>
      </w:r>
      <w:r>
        <w:t>ne</w:t>
      </w:r>
      <w:r>
        <w:softHyphen/>
        <w:t>vhodnost</w:t>
      </w:r>
      <w:r w:rsidRPr="00920265">
        <w:rPr>
          <w:lang w:eastAsia="en-US" w:bidi="en-US"/>
        </w:rPr>
        <w:t xml:space="preserve"> </w:t>
      </w:r>
      <w:r>
        <w:t xml:space="preserve">takových pokynů </w:t>
      </w:r>
      <w:r w:rsidRPr="00920265">
        <w:rPr>
          <w:lang w:eastAsia="en-US" w:bidi="en-US"/>
        </w:rPr>
        <w:t xml:space="preserve">zjistit, a/nebo v </w:t>
      </w:r>
      <w:r>
        <w:t xml:space="preserve">případě, že </w:t>
      </w:r>
      <w:r w:rsidRPr="00920265">
        <w:rPr>
          <w:lang w:eastAsia="en-US" w:bidi="en-US"/>
        </w:rPr>
        <w:t xml:space="preserve">TMCZ </w:t>
      </w:r>
      <w:r>
        <w:t xml:space="preserve">Smluvního </w:t>
      </w:r>
      <w:r w:rsidRPr="00920265">
        <w:rPr>
          <w:lang w:eastAsia="en-US" w:bidi="en-US"/>
        </w:rPr>
        <w:t xml:space="preserve">partnera na nevhodnost </w:t>
      </w:r>
      <w:r>
        <w:t xml:space="preserve">těchto pokynů </w:t>
      </w:r>
      <w:r w:rsidRPr="00920265">
        <w:rPr>
          <w:lang w:eastAsia="en-US" w:bidi="en-US"/>
        </w:rPr>
        <w:t xml:space="preserve">upozornil, a </w:t>
      </w:r>
      <w:r>
        <w:t xml:space="preserve">Smluvní </w:t>
      </w:r>
      <w:r w:rsidRPr="00920265">
        <w:rPr>
          <w:lang w:eastAsia="en-US" w:bidi="en-US"/>
        </w:rPr>
        <w:t>pa</w:t>
      </w:r>
      <w:r w:rsidRPr="00920265">
        <w:rPr>
          <w:lang w:eastAsia="en-US" w:bidi="en-US"/>
        </w:rPr>
        <w:t xml:space="preserve">rtner na jejich </w:t>
      </w:r>
      <w:r>
        <w:t xml:space="preserve">dodržení přesto </w:t>
      </w:r>
      <w:r w:rsidRPr="00920265">
        <w:rPr>
          <w:lang w:eastAsia="en-US" w:bidi="en-US"/>
        </w:rPr>
        <w:t>trval;</w:t>
      </w:r>
    </w:p>
    <w:p w:rsidR="00215B20" w:rsidRDefault="00FD0AA3">
      <w:pPr>
        <w:pStyle w:val="Zkladntext1"/>
        <w:numPr>
          <w:ilvl w:val="0"/>
          <w:numId w:val="45"/>
        </w:numPr>
        <w:shd w:val="clear" w:color="auto" w:fill="auto"/>
        <w:tabs>
          <w:tab w:val="left" w:pos="861"/>
        </w:tabs>
        <w:spacing w:after="0" w:line="334" w:lineRule="auto"/>
        <w:ind w:left="860" w:hanging="280"/>
        <w:jc w:val="both"/>
      </w:pPr>
      <w:r w:rsidRPr="00920265">
        <w:rPr>
          <w:lang w:eastAsia="en-US" w:bidi="en-US"/>
        </w:rPr>
        <w:t xml:space="preserve">vady, </w:t>
      </w:r>
      <w:r>
        <w:t xml:space="preserve">které </w:t>
      </w:r>
      <w:r w:rsidRPr="00920265">
        <w:rPr>
          <w:lang w:eastAsia="en-US" w:bidi="en-US"/>
        </w:rPr>
        <w:t xml:space="preserve">vznikly v </w:t>
      </w:r>
      <w:r>
        <w:t xml:space="preserve">důsledku používání Zařízení </w:t>
      </w:r>
      <w:r w:rsidRPr="00920265">
        <w:rPr>
          <w:lang w:eastAsia="en-US" w:bidi="en-US"/>
        </w:rPr>
        <w:t xml:space="preserve">s </w:t>
      </w:r>
      <w:r>
        <w:t xml:space="preserve">výrobky či </w:t>
      </w:r>
      <w:r w:rsidRPr="00920265">
        <w:rPr>
          <w:lang w:eastAsia="en-US" w:bidi="en-US"/>
        </w:rPr>
        <w:t xml:space="preserve">programy, </w:t>
      </w:r>
      <w:r>
        <w:t xml:space="preserve">jejichž </w:t>
      </w:r>
      <w:r w:rsidRPr="00920265">
        <w:rPr>
          <w:lang w:eastAsia="en-US" w:bidi="en-US"/>
        </w:rPr>
        <w:t xml:space="preserve">kompatibilitu TMCZ </w:t>
      </w:r>
      <w:r>
        <w:t xml:space="preserve">Smluvnímu </w:t>
      </w:r>
      <w:r w:rsidRPr="00920265">
        <w:rPr>
          <w:lang w:eastAsia="en-US" w:bidi="en-US"/>
        </w:rPr>
        <w:t xml:space="preserve">partnerovi </w:t>
      </w:r>
      <w:r>
        <w:t xml:space="preserve">výslovně </w:t>
      </w:r>
      <w:r w:rsidRPr="00920265">
        <w:rPr>
          <w:lang w:eastAsia="en-US" w:bidi="en-US"/>
        </w:rPr>
        <w:t xml:space="preserve">a </w:t>
      </w:r>
      <w:r>
        <w:t>písemně nepřislíbil;</w:t>
      </w:r>
    </w:p>
    <w:p w:rsidR="00215B20" w:rsidRDefault="00FD0AA3">
      <w:pPr>
        <w:pStyle w:val="Zkladntext1"/>
        <w:numPr>
          <w:ilvl w:val="0"/>
          <w:numId w:val="45"/>
        </w:numPr>
        <w:shd w:val="clear" w:color="auto" w:fill="auto"/>
        <w:tabs>
          <w:tab w:val="left" w:pos="861"/>
        </w:tabs>
        <w:spacing w:after="0" w:line="334" w:lineRule="auto"/>
        <w:ind w:left="860" w:hanging="280"/>
        <w:jc w:val="both"/>
      </w:pPr>
      <w:r w:rsidRPr="00920265">
        <w:rPr>
          <w:lang w:eastAsia="en-US" w:bidi="en-US"/>
        </w:rPr>
        <w:t xml:space="preserve">vady, </w:t>
      </w:r>
      <w:r>
        <w:t xml:space="preserve">které </w:t>
      </w:r>
      <w:r w:rsidRPr="00920265">
        <w:rPr>
          <w:lang w:eastAsia="en-US" w:bidi="en-US"/>
        </w:rPr>
        <w:t xml:space="preserve">vznikly v </w:t>
      </w:r>
      <w:r>
        <w:t xml:space="preserve">důsledku </w:t>
      </w:r>
      <w:r w:rsidRPr="00920265">
        <w:rPr>
          <w:lang w:eastAsia="en-US" w:bidi="en-US"/>
        </w:rPr>
        <w:t xml:space="preserve">toho, </w:t>
      </w:r>
      <w:r>
        <w:t xml:space="preserve">že </w:t>
      </w:r>
      <w:r w:rsidRPr="00920265">
        <w:rPr>
          <w:lang w:eastAsia="en-US" w:bidi="en-US"/>
        </w:rPr>
        <w:t xml:space="preserve">na </w:t>
      </w:r>
      <w:r>
        <w:t xml:space="preserve">Systém </w:t>
      </w:r>
      <w:r w:rsidRPr="00920265">
        <w:rPr>
          <w:lang w:eastAsia="en-US" w:bidi="en-US"/>
        </w:rPr>
        <w:t xml:space="preserve">byla vyvinuta </w:t>
      </w:r>
      <w:r>
        <w:t>neobvyklá fyzická či elektrická síla;</w:t>
      </w:r>
    </w:p>
    <w:p w:rsidR="00215B20" w:rsidRDefault="00FD0AA3">
      <w:pPr>
        <w:pStyle w:val="Zkladntext1"/>
        <w:numPr>
          <w:ilvl w:val="0"/>
          <w:numId w:val="45"/>
        </w:numPr>
        <w:shd w:val="clear" w:color="auto" w:fill="auto"/>
        <w:tabs>
          <w:tab w:val="left" w:pos="861"/>
        </w:tabs>
        <w:spacing w:after="220" w:line="334" w:lineRule="auto"/>
        <w:ind w:firstLine="580"/>
        <w:jc w:val="both"/>
      </w:pPr>
      <w:r>
        <w:rPr>
          <w:lang w:val="en-US" w:eastAsia="en-US" w:bidi="en-US"/>
        </w:rPr>
        <w:t xml:space="preserve">vady </w:t>
      </w:r>
      <w:r>
        <w:t>vzniklé běžným opotřebením.</w:t>
      </w:r>
    </w:p>
    <w:p w:rsidR="00215B20" w:rsidRDefault="00FD0AA3">
      <w:pPr>
        <w:pStyle w:val="Nadpis60"/>
        <w:keepNext/>
        <w:keepLines/>
        <w:numPr>
          <w:ilvl w:val="0"/>
          <w:numId w:val="43"/>
        </w:numPr>
        <w:shd w:val="clear" w:color="auto" w:fill="auto"/>
        <w:tabs>
          <w:tab w:val="left" w:pos="570"/>
        </w:tabs>
        <w:spacing w:after="0" w:line="334" w:lineRule="auto"/>
        <w:jc w:val="both"/>
      </w:pPr>
      <w:bookmarkStart w:id="249" w:name="bookmark248"/>
      <w:bookmarkStart w:id="250" w:name="bookmark249"/>
      <w:r>
        <w:rPr>
          <w:color w:val="EC018B"/>
        </w:rPr>
        <w:lastRenderedPageBreak/>
        <w:t>Zvláštní ujednání pro účastnické smlouvy</w:t>
      </w:r>
      <w:bookmarkEnd w:id="249"/>
      <w:bookmarkEnd w:id="250"/>
    </w:p>
    <w:p w:rsidR="00215B20" w:rsidRDefault="00FD0AA3">
      <w:pPr>
        <w:pStyle w:val="Zkladntext1"/>
        <w:numPr>
          <w:ilvl w:val="1"/>
          <w:numId w:val="43"/>
        </w:numPr>
        <w:shd w:val="clear" w:color="auto" w:fill="auto"/>
        <w:tabs>
          <w:tab w:val="left" w:pos="570"/>
        </w:tabs>
        <w:spacing w:after="220" w:line="334" w:lineRule="auto"/>
        <w:ind w:left="580" w:hanging="580"/>
        <w:jc w:val="both"/>
      </w:pPr>
      <w:r>
        <w:t>Služby poskytované k individuálně určenému účastnic</w:t>
      </w:r>
      <w:r>
        <w:softHyphen/>
        <w:t xml:space="preserve">kému číslu či účastnické stanici jednotlivého účastníka v jím zvoleném tarifním programu a </w:t>
      </w:r>
      <w:r>
        <w:t>rovněž Služby, o nichž to stanoví Smluvní dokument (dále jen „Účastnické služ</w:t>
      </w:r>
      <w:r>
        <w:softHyphen/>
        <w:t>by“) jsou bez ohledu na ostatní ustanovení Smluvních dokumentů poskytovány na základě Účastnických smluv. Tato ujednání čl. 14 o Účastnických službách mají před</w:t>
      </w:r>
      <w:r>
        <w:softHyphen/>
        <w:t>nost před ostatní</w:t>
      </w:r>
      <w:r>
        <w:t>mi ujednáními týkajícími se Služeb ve Smlouvě či těchto Podmínkách Firemního řešení.</w:t>
      </w:r>
    </w:p>
    <w:p w:rsidR="00215B20" w:rsidRDefault="00FD0AA3">
      <w:pPr>
        <w:pStyle w:val="Zkladntext1"/>
        <w:numPr>
          <w:ilvl w:val="1"/>
          <w:numId w:val="43"/>
        </w:numPr>
        <w:shd w:val="clear" w:color="auto" w:fill="auto"/>
        <w:tabs>
          <w:tab w:val="left" w:pos="570"/>
        </w:tabs>
        <w:spacing w:after="220" w:line="334" w:lineRule="auto"/>
        <w:ind w:left="580" w:hanging="580"/>
        <w:jc w:val="both"/>
      </w:pPr>
      <w:r>
        <w:t>Pokud si to Smluvní strany výslovně sjednaly ve Smlouvě, Smluvní partner může TMCZ předložit návrh na uzavření Účastnické smlouvy i prostřednictvím e-mailové komu</w:t>
      </w:r>
      <w:r>
        <w:softHyphen/>
        <w:t>nikace b</w:t>
      </w:r>
      <w:r>
        <w:t>ez využití zaručeného elektronického podpisu. V takovém případě musí být návrh předložen ve formě vy</w:t>
      </w:r>
      <w:r>
        <w:softHyphen/>
        <w:t>plněného návrhu Účastnické smlouvy, jehož aktuální zně</w:t>
      </w:r>
      <w:r>
        <w:softHyphen/>
        <w:t xml:space="preserve">ní je umístěné na webových stránkách </w:t>
      </w:r>
      <w:hyperlink r:id="rId146" w:history="1">
        <w:r>
          <w:t>www.t-mobile.cz</w:t>
        </w:r>
      </w:hyperlink>
      <w:r>
        <w:t>. Návrh Úča</w:t>
      </w:r>
      <w:r>
        <w:t>stnické smlouvy nebo e-mail se specifikací požadované změny spolu s určením Účastnických smluv, jichž se má změna dotknout, odešle Smluvní partner na e-mailovou adresu TMCZ uvedenou v návrhu Účastnické smlouvy. Po doručení TMCZ ověří prostřednictvím hesla,</w:t>
      </w:r>
      <w:r>
        <w:t xml:space="preserve"> že návrh Účastnické smlouvy podal Smluvní partner, a pří</w:t>
      </w:r>
      <w:r>
        <w:softHyphen/>
        <w:t>padně ověří i další skutečnosti potřebné pro akceptaci návrhu Smluvního partnera. Za okamžik akceptace návrhu Smluvního partnera na uzavření Účastnické smlouvy ze strany TMCZ se považuje provedení p</w:t>
      </w:r>
      <w:r>
        <w:t>ožadované aktivace či změny Účastnické služby zvlášť pro každou Účastnickou smlouvu, není-li v návrhu Účastnické smlouvy, případně ve VPST stanoveno jinak. Smluvní strany si sjednaly, že Účastnické smlouvy nebo jejich změny sjednané elek</w:t>
      </w:r>
      <w:r>
        <w:softHyphen/>
        <w:t>tronickou formou d</w:t>
      </w:r>
      <w:r>
        <w:t>le tohoto odstavce jsou písemným jednáním.</w:t>
      </w:r>
    </w:p>
    <w:p w:rsidR="00215B20" w:rsidRDefault="00FD0AA3">
      <w:pPr>
        <w:pStyle w:val="Zkladntext1"/>
        <w:numPr>
          <w:ilvl w:val="1"/>
          <w:numId w:val="43"/>
        </w:numPr>
        <w:shd w:val="clear" w:color="auto" w:fill="auto"/>
        <w:tabs>
          <w:tab w:val="left" w:pos="574"/>
        </w:tabs>
        <w:spacing w:after="200" w:line="334" w:lineRule="auto"/>
        <w:ind w:left="580" w:hanging="580"/>
        <w:jc w:val="both"/>
      </w:pPr>
      <w:r>
        <w:t>Ve vztahu k Účastnickým smlouvám se smluvní strany dohodly, že poruší-li Smluvní partner smluvní povinnosti, na jejichž základě dojde k ukončení Účastnické smlou</w:t>
      </w:r>
      <w:r>
        <w:softHyphen/>
        <w:t xml:space="preserve">vy před uplynutím sjednané doby určité, uhradí </w:t>
      </w:r>
      <w:r>
        <w:t>Smluvní partner TMCZ smluvní pokutu ve výši zbývajících měsíč</w:t>
      </w:r>
      <w:r>
        <w:softHyphen/>
        <w:t>ních paušálů (bez aplikace slev dle Smlouvy, tj. dle stan</w:t>
      </w:r>
      <w:r>
        <w:softHyphen/>
        <w:t>dardní ceny uvedené v Ceníku služeb) za období do konce sjednané doby určité trvání příslušné Účastnické smlouvy. TMCZ a Smluvní partner</w:t>
      </w:r>
      <w:r>
        <w:t xml:space="preserve"> si dále sjednávají smluvní pokuty za prodlení s úhradou vyúčtování v souladu s VPST nebo Ceníkem služeb.</w:t>
      </w:r>
    </w:p>
    <w:p w:rsidR="00215B20" w:rsidRDefault="00FD0AA3">
      <w:pPr>
        <w:pStyle w:val="Zkladntext1"/>
        <w:numPr>
          <w:ilvl w:val="1"/>
          <w:numId w:val="43"/>
        </w:numPr>
        <w:shd w:val="clear" w:color="auto" w:fill="auto"/>
        <w:tabs>
          <w:tab w:val="left" w:pos="574"/>
        </w:tabs>
        <w:spacing w:after="200" w:line="334" w:lineRule="auto"/>
        <w:ind w:left="580" w:hanging="580"/>
        <w:jc w:val="both"/>
      </w:pPr>
      <w:r>
        <w:t>Podmínky a rozsah poskytování Účastnických služeb vč. zvoleného tarifu si Smluvní strany dohodnou vždy v kon</w:t>
      </w:r>
      <w:r>
        <w:softHyphen/>
        <w:t>krétní Účastnické smlouvě. Každá Účastnic</w:t>
      </w:r>
      <w:r>
        <w:t>ká smlou</w:t>
      </w:r>
      <w:r>
        <w:softHyphen/>
        <w:t>va, která se uzavírá v rámci Smlouvy, obsahuje odkaz na Smlouvu a její číslo.</w:t>
      </w:r>
    </w:p>
    <w:p w:rsidR="00215B20" w:rsidRDefault="00FD0AA3">
      <w:pPr>
        <w:pStyle w:val="Zkladntext1"/>
        <w:numPr>
          <w:ilvl w:val="1"/>
          <w:numId w:val="43"/>
        </w:numPr>
        <w:shd w:val="clear" w:color="auto" w:fill="auto"/>
        <w:tabs>
          <w:tab w:val="left" w:pos="574"/>
        </w:tabs>
        <w:spacing w:after="200" w:line="334" w:lineRule="auto"/>
        <w:ind w:left="580" w:hanging="580"/>
        <w:jc w:val="both"/>
      </w:pPr>
      <w:r>
        <w:t>Práva a povinnosti Smluvních stran vyplývající z Účastnických smluv, neupravené Smlouvou, se řídí usta</w:t>
      </w:r>
      <w:r>
        <w:softHyphen/>
        <w:t>noveními obsaženými v příslušných obchodních podmín</w:t>
      </w:r>
      <w:r>
        <w:softHyphen/>
        <w:t>kách aktivovan</w:t>
      </w:r>
      <w:r>
        <w:t>é Účastnické služby či tarifu a ve VPST, vždy v platném znění. Zánik Smlouvy nebo statusu Oprávněné osoby nemá vliv na platnost a účinnost Účastnických smluv uzavřených na základě Smlouvy. Účastnické služby se po zá</w:t>
      </w:r>
      <w:r>
        <w:softHyphen/>
        <w:t>niku Smlouvy budou řídit ustanoveními Úč</w:t>
      </w:r>
      <w:r>
        <w:t>astnické smlou</w:t>
      </w:r>
      <w:r>
        <w:softHyphen/>
        <w:t>vy, obchodními podmínkami aktivovaných Účastnických služeb a VPST (v uvedeném pořadí priority). Sjednaná doba trvání Účastnické smlouvy je tedy nezávislá na trvání Smlouvy, pokud se Smluvní strany výslovně nedohodly ji</w:t>
      </w:r>
      <w:r>
        <w:softHyphen/>
        <w:t>nak. V případě rozporu</w:t>
      </w:r>
      <w:r>
        <w:t xml:space="preserve"> </w:t>
      </w:r>
      <w:r>
        <w:lastRenderedPageBreak/>
        <w:t>Účastnické smlouvy a Smlouvy mají přednost ujednání v Účastnické smlouvě.</w:t>
      </w:r>
    </w:p>
    <w:p w:rsidR="00215B20" w:rsidRDefault="00FD0AA3">
      <w:pPr>
        <w:pStyle w:val="Zkladntext1"/>
        <w:numPr>
          <w:ilvl w:val="1"/>
          <w:numId w:val="43"/>
        </w:numPr>
        <w:shd w:val="clear" w:color="auto" w:fill="auto"/>
        <w:tabs>
          <w:tab w:val="left" w:pos="574"/>
        </w:tabs>
        <w:spacing w:after="200" w:line="334" w:lineRule="auto"/>
        <w:ind w:left="580" w:hanging="580"/>
        <w:jc w:val="both"/>
      </w:pPr>
      <w:r>
        <w:t>Pokud se v Účastnické smlouvě nebo v jiném dokumentu, který je přílohou Smlouvy nebo Účastnické smlouvy, ho</w:t>
      </w:r>
      <w:r>
        <w:softHyphen/>
        <w:t>voří o Rámcové smlouvě, rozumí se tím Smlouva.</w:t>
      </w:r>
    </w:p>
    <w:p w:rsidR="00215B20" w:rsidRDefault="00FD0AA3">
      <w:pPr>
        <w:pStyle w:val="Zkladntext1"/>
        <w:numPr>
          <w:ilvl w:val="1"/>
          <w:numId w:val="43"/>
        </w:numPr>
        <w:shd w:val="clear" w:color="auto" w:fill="auto"/>
        <w:tabs>
          <w:tab w:val="left" w:pos="574"/>
        </w:tabs>
        <w:spacing w:after="200" w:line="334" w:lineRule="auto"/>
        <w:ind w:left="580" w:hanging="580"/>
        <w:jc w:val="both"/>
      </w:pPr>
      <w:r>
        <w:t>Instalace a provozování Za</w:t>
      </w:r>
      <w:r>
        <w:t>řízení vztahující se k Účastnické službě a aktivace Účastnických služeb se řídí obchodními podmínkami dané Účastnické služby, které mají přednost před ujednáními o zřízení Služeb dle Smlouvy a těchto Podmínek Firemního řešení.</w:t>
      </w:r>
    </w:p>
    <w:p w:rsidR="00215B20" w:rsidRDefault="00FD0AA3">
      <w:pPr>
        <w:pStyle w:val="Zkladntext1"/>
        <w:numPr>
          <w:ilvl w:val="1"/>
          <w:numId w:val="43"/>
        </w:numPr>
        <w:shd w:val="clear" w:color="auto" w:fill="auto"/>
        <w:tabs>
          <w:tab w:val="left" w:pos="574"/>
        </w:tabs>
        <w:spacing w:after="200" w:line="334" w:lineRule="auto"/>
        <w:ind w:left="580" w:hanging="580"/>
        <w:jc w:val="both"/>
      </w:pPr>
      <w:r>
        <w:t>Smluvní strany se dohodly, že</w:t>
      </w:r>
      <w:r>
        <w:t xml:space="preserve"> pokud TMCZ ukončí po</w:t>
      </w:r>
      <w:r>
        <w:softHyphen/>
        <w:t>skytování Účastnické služby (tarifu), která bude dle obchodních podmínek nahrazena jinou Službou (tari</w:t>
      </w:r>
      <w:r>
        <w:softHyphen/>
        <w:t>fem), u které TMCZ poskytne v podstatných ohledech stejné či lepší podmínky a stejnou či nižší cenu jednotli</w:t>
      </w:r>
      <w:r>
        <w:softHyphen/>
        <w:t>vých komponent dané Sl</w:t>
      </w:r>
      <w:r>
        <w:t>užby (jako měl Smluvní partner u původní Účastnické služby při zohlednění slev sjedna</w:t>
      </w:r>
      <w:r>
        <w:softHyphen/>
        <w:t>ných ve Smlouvě), TMCZ je oprávněn nahradit původní Účastnickou službu takovou novou Službou. Takto prove</w:t>
      </w:r>
      <w:r>
        <w:softHyphen/>
        <w:t>dená změna nevyžaduje uzavření písemného dodatku, po</w:t>
      </w:r>
      <w:r>
        <w:softHyphen/>
        <w:t>kud o ukonč</w:t>
      </w:r>
      <w:r>
        <w:t>ení Účastnické služby a jejím nahrazení novou Službou bude TMCZ Smluvního partnera informovat nej</w:t>
      </w:r>
      <w:r>
        <w:softHyphen/>
        <w:t>méně 30 dní předem.</w:t>
      </w:r>
    </w:p>
    <w:p w:rsidR="00215B20" w:rsidRDefault="00FD0AA3">
      <w:pPr>
        <w:pStyle w:val="Nadpis60"/>
        <w:keepNext/>
        <w:keepLines/>
        <w:numPr>
          <w:ilvl w:val="0"/>
          <w:numId w:val="43"/>
        </w:numPr>
        <w:shd w:val="clear" w:color="auto" w:fill="auto"/>
        <w:tabs>
          <w:tab w:val="left" w:pos="567"/>
        </w:tabs>
        <w:spacing w:after="0" w:line="334" w:lineRule="auto"/>
        <w:jc w:val="both"/>
      </w:pPr>
      <w:bookmarkStart w:id="251" w:name="bookmark250"/>
      <w:bookmarkStart w:id="252" w:name="bookmark251"/>
      <w:r>
        <w:rPr>
          <w:color w:val="EC018B"/>
        </w:rPr>
        <w:t>Zvláštní ujednání pro pevné hlasové služby</w:t>
      </w:r>
      <w:bookmarkEnd w:id="251"/>
      <w:bookmarkEnd w:id="252"/>
    </w:p>
    <w:p w:rsidR="00215B20" w:rsidRDefault="00FD0AA3">
      <w:pPr>
        <w:pStyle w:val="Zkladntext1"/>
        <w:numPr>
          <w:ilvl w:val="1"/>
          <w:numId w:val="43"/>
        </w:numPr>
        <w:shd w:val="clear" w:color="auto" w:fill="auto"/>
        <w:tabs>
          <w:tab w:val="left" w:pos="567"/>
        </w:tabs>
        <w:spacing w:after="200" w:line="334" w:lineRule="auto"/>
        <w:ind w:left="580" w:hanging="580"/>
        <w:jc w:val="both"/>
      </w:pPr>
      <w:r>
        <w:t>Při přenesení čísel vázaných na pobočkovou ústřednu lze přenášet jak ucelený číselný rozsah, ta</w:t>
      </w:r>
      <w:r>
        <w:t>k jednotlivá čísla / číselné řady. Číselný rozsah tvoří jedna nebo více posloup</w:t>
      </w:r>
      <w:r>
        <w:softHyphen/>
        <w:t>ností po sobě jdoucích čísel o délce mocnin deseti začí</w:t>
      </w:r>
      <w:r>
        <w:softHyphen/>
        <w:t>nající odpovídajícím počtem nul a končící odpovídajícím počtem devítek, zatímco číselná řada je množina po sobě jdoucích</w:t>
      </w:r>
      <w:r>
        <w:t xml:space="preserve"> čísel, která není číselným rozsahem. S číselným rozsahem je možné zacházet pouze jako s celkem, není možné z něho vybírat a přenášet jen některá čísla a je re</w:t>
      </w:r>
      <w:r>
        <w:softHyphen/>
        <w:t>zervován po celou dobu trvání Smlouvy, zatímco číselná řada se rozpadá na jednotlivá čísla, kter</w:t>
      </w:r>
      <w:r>
        <w:t>á lze samostatně přenášet i v průběhu trvání Smlouvy.</w:t>
      </w:r>
    </w:p>
    <w:p w:rsidR="00215B20" w:rsidRDefault="00FD0AA3">
      <w:pPr>
        <w:pStyle w:val="Zkladntext1"/>
        <w:numPr>
          <w:ilvl w:val="1"/>
          <w:numId w:val="43"/>
        </w:numPr>
        <w:shd w:val="clear" w:color="auto" w:fill="auto"/>
        <w:tabs>
          <w:tab w:val="left" w:pos="567"/>
        </w:tabs>
        <w:spacing w:after="200" w:line="334" w:lineRule="auto"/>
        <w:ind w:left="580" w:hanging="580"/>
        <w:jc w:val="both"/>
      </w:pPr>
      <w:r>
        <w:t>V případě, že Smluvní partner využívá v rámci své vnitřní telefonní sítě více pevných číselných řad, je povinen při</w:t>
      </w:r>
      <w:r>
        <w:softHyphen/>
        <w:t>dělovat telefonní čísla v rámci směrového znaku, který dle národního číslovacího plánu</w:t>
      </w:r>
      <w:r>
        <w:t xml:space="preserve"> odpovídá umístění koncového zařízení v příslušném kraji. V opačném případě dojde k ne</w:t>
      </w:r>
      <w:r>
        <w:softHyphen/>
        <w:t>správnému směrování tísňových volání do jiného regionu.</w:t>
      </w:r>
    </w:p>
    <w:p w:rsidR="00215B20" w:rsidRDefault="00FD0AA3">
      <w:pPr>
        <w:pStyle w:val="Zkladntext1"/>
        <w:numPr>
          <w:ilvl w:val="1"/>
          <w:numId w:val="43"/>
        </w:numPr>
        <w:shd w:val="clear" w:color="auto" w:fill="auto"/>
        <w:tabs>
          <w:tab w:val="left" w:pos="567"/>
        </w:tabs>
        <w:spacing w:after="200" w:line="334" w:lineRule="auto"/>
        <w:ind w:left="580" w:hanging="580"/>
        <w:jc w:val="both"/>
      </w:pPr>
      <w:r>
        <w:t>Smluvní partner je povinen veškerá odchozí volání reali</w:t>
      </w:r>
      <w:r>
        <w:softHyphen/>
        <w:t>zovat se správnou a Smluvnímu partnerovi odpovídající ide</w:t>
      </w:r>
      <w:r>
        <w:t>ntifikací volacího znaku, pomocí kterého TMCZ zajistí rozúčtování takového volání do příslušných fakturačních skupin.</w:t>
      </w:r>
    </w:p>
    <w:p w:rsidR="00215B20" w:rsidRDefault="00FD0AA3">
      <w:pPr>
        <w:pStyle w:val="Zkladntext1"/>
        <w:numPr>
          <w:ilvl w:val="1"/>
          <w:numId w:val="43"/>
        </w:numPr>
        <w:shd w:val="clear" w:color="auto" w:fill="auto"/>
        <w:tabs>
          <w:tab w:val="left" w:pos="567"/>
        </w:tabs>
        <w:spacing w:after="200" w:line="334" w:lineRule="auto"/>
        <w:ind w:left="580" w:hanging="580"/>
        <w:jc w:val="both"/>
      </w:pPr>
      <w:r>
        <w:t>Pokud si Smluvní partner aktivoval službu zamezení zob</w:t>
      </w:r>
      <w:r>
        <w:softHyphen/>
        <w:t>razení volajícího pro pevné hlasové volání, nelze u ní usku</w:t>
      </w:r>
      <w:r>
        <w:softHyphen/>
        <w:t>tečnit zpětné volání př</w:t>
      </w:r>
      <w:r>
        <w:t>ímo volajícímu, tj. zejména u volání na tísňové linky není možné zpětně ověřit původní odchozí hovor.</w:t>
      </w:r>
    </w:p>
    <w:p w:rsidR="00215B20" w:rsidRDefault="00FD0AA3">
      <w:pPr>
        <w:pStyle w:val="Zkladntext1"/>
        <w:numPr>
          <w:ilvl w:val="1"/>
          <w:numId w:val="43"/>
        </w:numPr>
        <w:shd w:val="clear" w:color="auto" w:fill="auto"/>
        <w:tabs>
          <w:tab w:val="left" w:pos="567"/>
        </w:tabs>
        <w:spacing w:after="200" w:line="334" w:lineRule="auto"/>
        <w:ind w:left="580" w:hanging="580"/>
        <w:jc w:val="both"/>
      </w:pPr>
      <w:r>
        <w:t xml:space="preserve">Využívá-li Smluvní partner pevné hlasové služby na bázi VoIP technologie, TMCZ nemůže technicky garantovat funkčnost </w:t>
      </w:r>
      <w:r>
        <w:lastRenderedPageBreak/>
        <w:t>modemových spojení - jedná se napříkl</w:t>
      </w:r>
      <w:r>
        <w:t>ad o elektronické zabezpečovací systémy, elektronické po</w:t>
      </w:r>
      <w:r>
        <w:softHyphen/>
        <w:t>žární systémy, odečty energií, dálkové ovládání strojů či zařízení apod.</w:t>
      </w:r>
    </w:p>
    <w:p w:rsidR="00215B20" w:rsidRDefault="00FD0AA3">
      <w:pPr>
        <w:pStyle w:val="Zkladntext1"/>
        <w:numPr>
          <w:ilvl w:val="1"/>
          <w:numId w:val="43"/>
        </w:numPr>
        <w:shd w:val="clear" w:color="auto" w:fill="auto"/>
        <w:tabs>
          <w:tab w:val="left" w:pos="567"/>
        </w:tabs>
        <w:spacing w:after="200" w:line="334" w:lineRule="auto"/>
        <w:ind w:left="580" w:hanging="580"/>
        <w:jc w:val="both"/>
      </w:pPr>
      <w:r>
        <w:t>Smluvní partner se zavazuje užívat konkrétní Službu vý</w:t>
      </w:r>
      <w:r>
        <w:softHyphen/>
        <w:t>hradně v příslušné lokalitě Smluvního partnera stanovené v příslušné Sm</w:t>
      </w:r>
      <w:r>
        <w:t>louvě/Specifikaci služby pro danou kon</w:t>
      </w:r>
      <w:r>
        <w:softHyphen/>
        <w:t>krétní Službu.</w:t>
      </w:r>
    </w:p>
    <w:p w:rsidR="00215B20" w:rsidRDefault="00FD0AA3">
      <w:pPr>
        <w:pStyle w:val="Zkladntext1"/>
        <w:numPr>
          <w:ilvl w:val="1"/>
          <w:numId w:val="43"/>
        </w:numPr>
        <w:shd w:val="clear" w:color="auto" w:fill="auto"/>
        <w:tabs>
          <w:tab w:val="left" w:pos="567"/>
        </w:tabs>
        <w:spacing w:after="200" w:line="334" w:lineRule="auto"/>
        <w:ind w:left="580" w:hanging="580"/>
        <w:jc w:val="both"/>
      </w:pPr>
      <w:r>
        <w:t>TMCZ je oprávněn změnit číslo účastnické stanice z na</w:t>
      </w:r>
      <w:r>
        <w:softHyphen/>
        <w:t>léhavých technických důvodů i bez souhlasu Smluvního partnera, pokud je to nutné k řádnému poskytování Služby, přičemž na tuto změnu bude Smluvní pa</w:t>
      </w:r>
      <w:r>
        <w:t>rtner pře</w:t>
      </w:r>
      <w:r>
        <w:softHyphen/>
        <w:t>dem upozorněn; technickým důvodem je rozhodnutí pří</w:t>
      </w:r>
      <w:r>
        <w:softHyphen/>
        <w:t>slušného správního orgánu o změně čísla nebo číslovacího plánu v souladu se zákonem č. 127/2005 Sb., nebo pokud je to stanoveno v jiném právním předpisu.</w:t>
      </w:r>
    </w:p>
    <w:p w:rsidR="00215B20" w:rsidRDefault="00FD0AA3">
      <w:pPr>
        <w:pStyle w:val="Nadpis60"/>
        <w:keepNext/>
        <w:keepLines/>
        <w:numPr>
          <w:ilvl w:val="0"/>
          <w:numId w:val="43"/>
        </w:numPr>
        <w:shd w:val="clear" w:color="auto" w:fill="auto"/>
        <w:tabs>
          <w:tab w:val="left" w:pos="567"/>
        </w:tabs>
        <w:spacing w:after="0" w:line="334" w:lineRule="auto"/>
        <w:jc w:val="both"/>
      </w:pPr>
      <w:bookmarkStart w:id="253" w:name="bookmark252"/>
      <w:bookmarkStart w:id="254" w:name="bookmark253"/>
      <w:r>
        <w:rPr>
          <w:color w:val="EC018B"/>
        </w:rPr>
        <w:t>Obchodní tajemství, osobní údaje, ochran</w:t>
      </w:r>
      <w:r>
        <w:rPr>
          <w:color w:val="EC018B"/>
        </w:rPr>
        <w:t>a dat</w:t>
      </w:r>
      <w:bookmarkEnd w:id="253"/>
      <w:bookmarkEnd w:id="254"/>
    </w:p>
    <w:p w:rsidR="00215B20" w:rsidRDefault="00FD0AA3">
      <w:pPr>
        <w:pStyle w:val="Zkladntext1"/>
        <w:numPr>
          <w:ilvl w:val="1"/>
          <w:numId w:val="43"/>
        </w:numPr>
        <w:shd w:val="clear" w:color="auto" w:fill="auto"/>
        <w:tabs>
          <w:tab w:val="left" w:pos="567"/>
        </w:tabs>
        <w:spacing w:after="200" w:line="334" w:lineRule="auto"/>
        <w:jc w:val="both"/>
      </w:pPr>
      <w:r>
        <w:t>Smluvní strany se dohodly, že veškeré skutečnosti, které nejsou běžně dostupné v obchodních kruzích a které jsou obsaženy ve Smlouvě, popř. smluvní strany s nimi přijdou do styku při jejím plnění, tvoří předmět obchodního tajem</w:t>
      </w:r>
      <w:r>
        <w:softHyphen/>
        <w:t>ství, a zavazují se je</w:t>
      </w:r>
      <w:r>
        <w:t xml:space="preserve"> nesdělovat třetím stranám (s výjimkou Oprávněných osob) bez předchozího písemného sou</w:t>
      </w:r>
      <w:r>
        <w:softHyphen/>
        <w:t>hlasu druhé Smluvní strany. Smluvní partner je povinen zajistit ochranu obchodního tajemství rovněž ze strany Oprávněné osoby.</w:t>
      </w:r>
    </w:p>
    <w:p w:rsidR="00215B20" w:rsidRDefault="00FD0AA3">
      <w:pPr>
        <w:pStyle w:val="Zkladntext1"/>
        <w:numPr>
          <w:ilvl w:val="1"/>
          <w:numId w:val="43"/>
        </w:numPr>
        <w:shd w:val="clear" w:color="auto" w:fill="auto"/>
        <w:tabs>
          <w:tab w:val="left" w:pos="566"/>
        </w:tabs>
        <w:spacing w:after="200" w:line="334" w:lineRule="auto"/>
        <w:ind w:left="580" w:hanging="580"/>
        <w:jc w:val="both"/>
      </w:pPr>
      <w:r>
        <w:t>Pokud byla Smlouva uzavřena za pomoci zpro</w:t>
      </w:r>
      <w:r>
        <w:t>středko</w:t>
      </w:r>
      <w:r>
        <w:softHyphen/>
        <w:t>vatele, jehož provize je závislá na objemu Služeb posky</w:t>
      </w:r>
      <w:r>
        <w:softHyphen/>
        <w:t>tovaných dle Smlouvy, je Smluvní partner povinen zpro</w:t>
      </w:r>
      <w:r>
        <w:softHyphen/>
        <w:t xml:space="preserve">středkovateli na jeho žádost (a to i opakovaně) poskytnout údaje o souhrnných částkách vyúčtování Služeb dle této Smlouvy. Smluvní strany </w:t>
      </w:r>
      <w:r>
        <w:t>se dohodly, že k poskytnutí ta</w:t>
      </w:r>
      <w:r>
        <w:softHyphen/>
        <w:t>kové informace je oprávněn rovněž TMCZ, k čemuž dává Smluvní partner svým podpisem Smlouvy výslovný souhlas.</w:t>
      </w:r>
    </w:p>
    <w:p w:rsidR="00215B20" w:rsidRDefault="00FD0AA3">
      <w:pPr>
        <w:pStyle w:val="Zkladntext1"/>
        <w:numPr>
          <w:ilvl w:val="1"/>
          <w:numId w:val="43"/>
        </w:numPr>
        <w:shd w:val="clear" w:color="auto" w:fill="auto"/>
        <w:tabs>
          <w:tab w:val="left" w:pos="566"/>
        </w:tabs>
        <w:spacing w:after="200" w:line="334" w:lineRule="auto"/>
        <w:ind w:left="580" w:hanging="580"/>
        <w:jc w:val="both"/>
      </w:pPr>
      <w:r>
        <w:t>Smluvní strany tímto souhlasně prohlašují, že nepovažují za porušení ochrany obchodního tajemství, pokud TMCZ poskyt</w:t>
      </w:r>
      <w:r>
        <w:t>ne v rozsahu nezbytně nutném skutečnosti a in</w:t>
      </w:r>
      <w:r>
        <w:softHyphen/>
        <w:t>formace ve smyslu odst. 16.1 svým akcionářům a společ</w:t>
      </w:r>
      <w:r>
        <w:softHyphen/>
        <w:t>nostem, které jsou členy koncernu společnosti Deutsche Telekom AG, jakožto podnikatelského seskupení (dále jen „koncern“) ve smyslu ustanovení § 79 zákona č</w:t>
      </w:r>
      <w:r>
        <w:t>. 90/2012 Sb., o obchodních společnostech a družstvech. Smluvní strany tímto rovněž souhlasně prohlašují, že nepovažují za porušení ochrany obchodního tajemství, pokud TMCZ poskytne Smluvní dokumenty skutečnosti a informace ve smyslu odst. 16.1 Oprávněné o</w:t>
      </w:r>
      <w:r>
        <w:t>sobě dle Smlouvy pro účely vzniku smluvního vztahu mezi TMCZ a Oprávněnou oso</w:t>
      </w:r>
      <w:r>
        <w:softHyphen/>
        <w:t>bou dle Smlouvy.</w:t>
      </w:r>
    </w:p>
    <w:p w:rsidR="00215B20" w:rsidRDefault="00FD0AA3">
      <w:pPr>
        <w:pStyle w:val="Zkladntext1"/>
        <w:numPr>
          <w:ilvl w:val="1"/>
          <w:numId w:val="43"/>
        </w:numPr>
        <w:shd w:val="clear" w:color="auto" w:fill="auto"/>
        <w:tabs>
          <w:tab w:val="left" w:pos="566"/>
        </w:tabs>
        <w:spacing w:after="200" w:line="334" w:lineRule="auto"/>
        <w:ind w:left="580" w:hanging="580"/>
        <w:jc w:val="both"/>
      </w:pPr>
      <w:r>
        <w:t>Smluvní partner je povinen TMCZ písemně prokazatelně sdělit, že v rámci poskytování Služeb bude na straně TMCZ docházet ke zpracování osobních údajů ve smyslu zá</w:t>
      </w:r>
      <w:r>
        <w:t>kona č. 101/2000 Sb., o ochraně osobních údajů, které Smluvní partner zpracovává jako správce ve smyslu uvedeného zákona. V takovém případě spolu Smluvní strany uzavřou smlouvu o zpracování osobních údajů (resp. odpovídající smlouvu vyžadovanou právními př</w:t>
      </w:r>
      <w:r>
        <w:t xml:space="preserve">edpisy). Do okamžiku účinnosti takové smlouvy o zpracování osobních údajů nesmí Smluvní partner užívat Službu způsobem, který by měl charakter zpracovávání osobních údajů na straně TMCZ. V případě porušení tohoto odstavce se bez ohledu na ostatní </w:t>
      </w:r>
      <w:r>
        <w:lastRenderedPageBreak/>
        <w:t>ustanoven</w:t>
      </w:r>
      <w:r>
        <w:t>í Smlouvy zavazuje Smluvní partner odškodnit TMCZ za veškerou újmu, která by v takovém pří</w:t>
      </w:r>
      <w:r>
        <w:softHyphen/>
        <w:t>padě TMCZ vznikla.</w:t>
      </w:r>
    </w:p>
    <w:p w:rsidR="00215B20" w:rsidRDefault="00FD0AA3">
      <w:pPr>
        <w:pStyle w:val="Zkladntext1"/>
        <w:numPr>
          <w:ilvl w:val="1"/>
          <w:numId w:val="43"/>
        </w:numPr>
        <w:shd w:val="clear" w:color="auto" w:fill="auto"/>
        <w:tabs>
          <w:tab w:val="left" w:pos="566"/>
        </w:tabs>
        <w:spacing w:after="200" w:line="334" w:lineRule="auto"/>
        <w:ind w:left="580" w:hanging="580"/>
        <w:jc w:val="both"/>
      </w:pPr>
      <w:r>
        <w:t>TMCZ odpovídá v rámci Služby za ztrátu či poškození dat Smluvního partnera, pouze dojde-li k takové ztrátě či po</w:t>
      </w:r>
      <w:r>
        <w:softHyphen/>
        <w:t>škození dat v důsledku zavinění v</w:t>
      </w:r>
      <w:r>
        <w:t>e formě úmyslu či hrubé nedbalosti ze strany TMCZ. Smluvní partner je povinen si provádět pravidelnou zálohu svých dat mimo Službu na vlastní odpovědnost.</w:t>
      </w:r>
    </w:p>
    <w:p w:rsidR="00215B20" w:rsidRDefault="00FD0AA3">
      <w:pPr>
        <w:pStyle w:val="Zkladntext1"/>
        <w:numPr>
          <w:ilvl w:val="1"/>
          <w:numId w:val="43"/>
        </w:numPr>
        <w:shd w:val="clear" w:color="auto" w:fill="auto"/>
        <w:tabs>
          <w:tab w:val="left" w:pos="563"/>
        </w:tabs>
        <w:spacing w:after="200" w:line="334" w:lineRule="auto"/>
        <w:ind w:left="580" w:hanging="580"/>
        <w:jc w:val="both"/>
      </w:pPr>
      <w:r w:rsidRPr="00920265">
        <w:rPr>
          <w:lang w:eastAsia="en-US" w:bidi="en-US"/>
        </w:rPr>
        <w:t xml:space="preserve">TMCZ </w:t>
      </w:r>
      <w:r>
        <w:t xml:space="preserve">neodpovídá </w:t>
      </w:r>
      <w:r w:rsidRPr="00920265">
        <w:rPr>
          <w:lang w:eastAsia="en-US" w:bidi="en-US"/>
        </w:rPr>
        <w:t xml:space="preserve">za obsah </w:t>
      </w:r>
      <w:r>
        <w:t xml:space="preserve">přenášených zpráv či </w:t>
      </w:r>
      <w:r w:rsidRPr="00920265">
        <w:rPr>
          <w:lang w:eastAsia="en-US" w:bidi="en-US"/>
        </w:rPr>
        <w:t xml:space="preserve">dat </w:t>
      </w:r>
      <w:r>
        <w:t>pro</w:t>
      </w:r>
      <w:r>
        <w:softHyphen/>
        <w:t>střednictvím Služby.</w:t>
      </w:r>
    </w:p>
    <w:p w:rsidR="00215B20" w:rsidRDefault="00FD0AA3">
      <w:pPr>
        <w:pStyle w:val="Zkladntext1"/>
        <w:numPr>
          <w:ilvl w:val="1"/>
          <w:numId w:val="43"/>
        </w:numPr>
        <w:shd w:val="clear" w:color="auto" w:fill="auto"/>
        <w:tabs>
          <w:tab w:val="left" w:pos="563"/>
        </w:tabs>
        <w:spacing w:after="200" w:line="334" w:lineRule="auto"/>
        <w:ind w:left="580" w:hanging="580"/>
        <w:jc w:val="both"/>
      </w:pPr>
      <w:r>
        <w:t xml:space="preserve">Smluvní </w:t>
      </w:r>
      <w:r w:rsidRPr="00920265">
        <w:rPr>
          <w:lang w:eastAsia="en-US" w:bidi="en-US"/>
        </w:rPr>
        <w:t xml:space="preserve">partner </w:t>
      </w:r>
      <w:r>
        <w:t xml:space="preserve">souhlasí </w:t>
      </w:r>
      <w:r w:rsidRPr="00920265">
        <w:rPr>
          <w:lang w:eastAsia="en-US" w:bidi="en-US"/>
        </w:rPr>
        <w:t>s</w:t>
      </w:r>
      <w:r w:rsidRPr="00920265">
        <w:rPr>
          <w:lang w:eastAsia="en-US" w:bidi="en-US"/>
        </w:rPr>
        <w:t xml:space="preserve"> </w:t>
      </w:r>
      <w:r>
        <w:t xml:space="preserve">uvedením své obchodní </w:t>
      </w:r>
      <w:r w:rsidRPr="00920265">
        <w:rPr>
          <w:lang w:eastAsia="en-US" w:bidi="en-US"/>
        </w:rPr>
        <w:t xml:space="preserve">firmy jako reference v </w:t>
      </w:r>
      <w:r>
        <w:t xml:space="preserve">marketingových materiálech </w:t>
      </w:r>
      <w:r w:rsidRPr="00920265">
        <w:rPr>
          <w:lang w:eastAsia="en-US" w:bidi="en-US"/>
        </w:rPr>
        <w:t xml:space="preserve">TMCZ </w:t>
      </w:r>
      <w:r>
        <w:t>včet</w:t>
      </w:r>
      <w:r>
        <w:softHyphen/>
        <w:t xml:space="preserve">ně tiskových zpráv. Smluvní </w:t>
      </w:r>
      <w:r w:rsidRPr="00920265">
        <w:rPr>
          <w:lang w:eastAsia="en-US" w:bidi="en-US"/>
        </w:rPr>
        <w:t xml:space="preserve">partner </w:t>
      </w:r>
      <w:r>
        <w:t xml:space="preserve">zajistí </w:t>
      </w:r>
      <w:r w:rsidRPr="00920265">
        <w:rPr>
          <w:lang w:eastAsia="en-US" w:bidi="en-US"/>
        </w:rPr>
        <w:t xml:space="preserve">souhlas </w:t>
      </w:r>
      <w:r>
        <w:t xml:space="preserve">všech Oprávněných </w:t>
      </w:r>
      <w:r w:rsidRPr="00920265">
        <w:rPr>
          <w:lang w:eastAsia="en-US" w:bidi="en-US"/>
        </w:rPr>
        <w:t xml:space="preserve">osob ke dni jejich vstupu do </w:t>
      </w:r>
      <w:r>
        <w:t xml:space="preserve">aktuálního </w:t>
      </w:r>
      <w:r w:rsidRPr="00920265">
        <w:rPr>
          <w:lang w:eastAsia="en-US" w:bidi="en-US"/>
        </w:rPr>
        <w:t xml:space="preserve">Seznamu </w:t>
      </w:r>
      <w:r>
        <w:t xml:space="preserve">Oprávněných </w:t>
      </w:r>
      <w:r w:rsidRPr="00920265">
        <w:rPr>
          <w:lang w:eastAsia="en-US" w:bidi="en-US"/>
        </w:rPr>
        <w:t xml:space="preserve">osob s </w:t>
      </w:r>
      <w:r>
        <w:t xml:space="preserve">uvedením </w:t>
      </w:r>
      <w:r w:rsidRPr="00920265">
        <w:rPr>
          <w:lang w:eastAsia="en-US" w:bidi="en-US"/>
        </w:rPr>
        <w:t xml:space="preserve">jejich </w:t>
      </w:r>
      <w:r>
        <w:t xml:space="preserve">obchodní </w:t>
      </w:r>
      <w:r w:rsidRPr="00920265">
        <w:rPr>
          <w:lang w:eastAsia="en-US" w:bidi="en-US"/>
        </w:rPr>
        <w:t xml:space="preserve">firmy jako reference v </w:t>
      </w:r>
      <w:r>
        <w:t xml:space="preserve">marketingových materiálech </w:t>
      </w:r>
      <w:r w:rsidRPr="00920265">
        <w:rPr>
          <w:lang w:eastAsia="en-US" w:bidi="en-US"/>
        </w:rPr>
        <w:t xml:space="preserve">TMCZ </w:t>
      </w:r>
      <w:r>
        <w:t>včetně tiskových zpráv.</w:t>
      </w:r>
    </w:p>
    <w:p w:rsidR="00215B20" w:rsidRDefault="00FD0AA3">
      <w:pPr>
        <w:pStyle w:val="Zkladntext1"/>
        <w:numPr>
          <w:ilvl w:val="0"/>
          <w:numId w:val="43"/>
        </w:numPr>
        <w:shd w:val="clear" w:color="auto" w:fill="auto"/>
        <w:tabs>
          <w:tab w:val="left" w:pos="563"/>
        </w:tabs>
        <w:spacing w:after="0" w:line="334" w:lineRule="auto"/>
        <w:jc w:val="both"/>
      </w:pPr>
      <w:r>
        <w:rPr>
          <w:b/>
          <w:bCs/>
          <w:color w:val="EC018B"/>
        </w:rPr>
        <w:t xml:space="preserve">Doručování </w:t>
      </w:r>
      <w:r w:rsidRPr="00920265">
        <w:rPr>
          <w:b/>
          <w:bCs/>
          <w:color w:val="EC018B"/>
          <w:lang w:eastAsia="en-US" w:bidi="en-US"/>
        </w:rPr>
        <w:t xml:space="preserve">a </w:t>
      </w:r>
      <w:r>
        <w:rPr>
          <w:b/>
          <w:bCs/>
          <w:color w:val="EC018B"/>
        </w:rPr>
        <w:t xml:space="preserve">náležitosti výpovědi </w:t>
      </w:r>
      <w:r w:rsidRPr="00920265">
        <w:rPr>
          <w:b/>
          <w:bCs/>
          <w:color w:val="EC018B"/>
          <w:lang w:eastAsia="en-US" w:bidi="en-US"/>
        </w:rPr>
        <w:t xml:space="preserve">nebo </w:t>
      </w:r>
      <w:r>
        <w:rPr>
          <w:b/>
          <w:bCs/>
          <w:color w:val="EC018B"/>
        </w:rPr>
        <w:t>oznámení</w:t>
      </w:r>
    </w:p>
    <w:p w:rsidR="00215B20" w:rsidRDefault="00FD0AA3">
      <w:pPr>
        <w:pStyle w:val="Zkladntext1"/>
        <w:shd w:val="clear" w:color="auto" w:fill="auto"/>
        <w:spacing w:after="0" w:line="334" w:lineRule="auto"/>
        <w:ind w:firstLine="580"/>
        <w:jc w:val="both"/>
      </w:pPr>
      <w:r>
        <w:rPr>
          <w:b/>
          <w:bCs/>
          <w:color w:val="EC018B"/>
        </w:rPr>
        <w:t>o odstoupení od smlouvy nebo jednotlivé služby</w:t>
      </w:r>
    </w:p>
    <w:p w:rsidR="00215B20" w:rsidRDefault="00FD0AA3">
      <w:pPr>
        <w:pStyle w:val="Zkladntext1"/>
        <w:numPr>
          <w:ilvl w:val="1"/>
          <w:numId w:val="43"/>
        </w:numPr>
        <w:shd w:val="clear" w:color="auto" w:fill="auto"/>
        <w:tabs>
          <w:tab w:val="left" w:pos="563"/>
        </w:tabs>
        <w:spacing w:after="200" w:line="334" w:lineRule="auto"/>
        <w:ind w:left="580" w:hanging="580"/>
        <w:jc w:val="both"/>
      </w:pPr>
      <w:r>
        <w:t>TMCZ doručí písemnosti na adresu Smluvního partnera naposledy oznámenou TMCZ, a to</w:t>
      </w:r>
      <w:r>
        <w:t xml:space="preserve"> poštou, kurýrem, elek</w:t>
      </w:r>
      <w:r>
        <w:softHyphen/>
        <w:t>tronickou poštou, osobně nebo jiným dohodnutým způso</w:t>
      </w:r>
      <w:r>
        <w:softHyphen/>
        <w:t>bem. Za doručenou se považuje také písemnost, která byla uložena v místně příslušné provozovně držitele poštovní li</w:t>
      </w:r>
      <w:r>
        <w:softHyphen/>
        <w:t xml:space="preserve">cence a nebyla Smluvním partnerem vyzvednuta ve lhůtě sedmi (7) </w:t>
      </w:r>
      <w:r>
        <w:t>kalendářních dnů ode dne jejího uložení.</w:t>
      </w:r>
    </w:p>
    <w:p w:rsidR="00215B20" w:rsidRDefault="00FD0AA3">
      <w:pPr>
        <w:pStyle w:val="Zkladntext1"/>
        <w:numPr>
          <w:ilvl w:val="1"/>
          <w:numId w:val="43"/>
        </w:numPr>
        <w:shd w:val="clear" w:color="auto" w:fill="auto"/>
        <w:tabs>
          <w:tab w:val="left" w:pos="563"/>
        </w:tabs>
        <w:spacing w:after="200" w:line="334" w:lineRule="auto"/>
        <w:ind w:left="580" w:hanging="580"/>
        <w:jc w:val="both"/>
      </w:pPr>
      <w:r>
        <w:t>Za písemné právní jednání TMCZ se považují rovněž úkony učiněné faxem, elektronickou poštou, SMS, MMS či dato</w:t>
      </w:r>
      <w:r>
        <w:softHyphen/>
        <w:t>vou schránkou.</w:t>
      </w:r>
    </w:p>
    <w:p w:rsidR="00215B20" w:rsidRDefault="00FD0AA3">
      <w:pPr>
        <w:pStyle w:val="Zkladntext1"/>
        <w:numPr>
          <w:ilvl w:val="1"/>
          <w:numId w:val="43"/>
        </w:numPr>
        <w:shd w:val="clear" w:color="auto" w:fill="auto"/>
        <w:tabs>
          <w:tab w:val="left" w:pos="563"/>
        </w:tabs>
        <w:spacing w:after="200" w:line="334" w:lineRule="auto"/>
        <w:ind w:left="580" w:hanging="580"/>
        <w:jc w:val="both"/>
      </w:pPr>
      <w:r>
        <w:t>Doručení je účinné i tehdy, když se Smluvní partner na za</w:t>
      </w:r>
      <w:r>
        <w:softHyphen/>
        <w:t>sílací adrese, kterou oznámil TM</w:t>
      </w:r>
      <w:r>
        <w:t>CZ, nezdržuje.</w:t>
      </w:r>
    </w:p>
    <w:p w:rsidR="00215B20" w:rsidRDefault="00FD0AA3">
      <w:pPr>
        <w:pStyle w:val="Zkladntext1"/>
        <w:numPr>
          <w:ilvl w:val="1"/>
          <w:numId w:val="43"/>
        </w:numPr>
        <w:shd w:val="clear" w:color="auto" w:fill="auto"/>
        <w:tabs>
          <w:tab w:val="left" w:pos="563"/>
        </w:tabs>
        <w:spacing w:after="200" w:line="334" w:lineRule="auto"/>
        <w:ind w:left="580" w:hanging="580"/>
        <w:jc w:val="both"/>
      </w:pPr>
      <w:r>
        <w:t>Doručuje-li se prostřednictvím veřejné komunikační sítě (zejména fax, elektronická pošta, SMS či MMS), považuje se písemnost za doručenou okamžikem potvrzení odeslání na elektronickou adresu Smluvního partnera (e-mail) nebo potvrzení o bezpo</w:t>
      </w:r>
      <w:r>
        <w:t>ruchovém přenosu dat (fax), a není-li takového potvrzení, tak nejpozději dnem následujícím po odeslání písemnosti na telefonní číslo Smluvního partnera nebo na jeho e-mailovou adresu.</w:t>
      </w:r>
    </w:p>
    <w:p w:rsidR="00215B20" w:rsidRDefault="00FD0AA3">
      <w:pPr>
        <w:pStyle w:val="Zkladntext1"/>
        <w:numPr>
          <w:ilvl w:val="1"/>
          <w:numId w:val="43"/>
        </w:numPr>
        <w:shd w:val="clear" w:color="auto" w:fill="auto"/>
        <w:tabs>
          <w:tab w:val="left" w:pos="563"/>
        </w:tabs>
        <w:spacing w:after="200" w:line="334" w:lineRule="auto"/>
        <w:ind w:left="580" w:hanging="580"/>
        <w:jc w:val="both"/>
      </w:pPr>
      <w:r>
        <w:t>Odepře-li Smluvní partner písemnost přijmout, je doruče</w:t>
      </w:r>
      <w:r>
        <w:softHyphen/>
        <w:t xml:space="preserve">na dnem, kdy </w:t>
      </w:r>
      <w:r>
        <w:t>její přijetí bylo odepřeno.</w:t>
      </w:r>
    </w:p>
    <w:p w:rsidR="00215B20" w:rsidRDefault="00FD0AA3">
      <w:pPr>
        <w:pStyle w:val="Zkladntext1"/>
        <w:numPr>
          <w:ilvl w:val="1"/>
          <w:numId w:val="43"/>
        </w:numPr>
        <w:shd w:val="clear" w:color="auto" w:fill="auto"/>
        <w:tabs>
          <w:tab w:val="left" w:pos="563"/>
        </w:tabs>
        <w:spacing w:after="200" w:line="334" w:lineRule="auto"/>
        <w:ind w:left="580" w:hanging="580"/>
        <w:jc w:val="both"/>
      </w:pPr>
      <w:r>
        <w:t>Výpověď Smluvního dokumentu nebo jednotlivé Služby ze strany Smluvního partnera musí být učiněna písem</w:t>
      </w:r>
      <w:r>
        <w:softHyphen/>
        <w:t>nou formou, přičemž za písemnou formu není považována elektronická forma, resp. doručení výpovědi prostřednic</w:t>
      </w:r>
      <w:r>
        <w:softHyphen/>
        <w:t>tvím elektronic</w:t>
      </w:r>
      <w:r>
        <w:t>ké pošty, musí být podepsaná Smluvním partnerem nebo oprávněným zástupcem Smluvního part</w:t>
      </w:r>
      <w:r>
        <w:softHyphen/>
        <w:t>nera a musí obsahovat takové údaje, aby z ní bylo zřejmé, kdo výpověď podává a čeho se výpověď týká (takovými údaji mohou být zejména: obchodní firma nebo jméno a příj</w:t>
      </w:r>
      <w:r>
        <w:t xml:space="preserve">mení Smluvního partnera, sídlo nebo trvalé bydliště (pobyt) Smluvního partnera, IČO, rodné číslo nebo datum narození Smluvního </w:t>
      </w:r>
      <w:r>
        <w:lastRenderedPageBreak/>
        <w:t>partnera, číslo ukončované Smlouvy nebo jednotlivé Služby), jinak je taková výpověď neplatná. Uvedené v předchozí větě platí obdo</w:t>
      </w:r>
      <w:r>
        <w:t>bně i pro oznámení o odstoupení od Smluvního dokumentu nebo jednotlivé Služby ze strany Smluvního partnera.</w:t>
      </w:r>
    </w:p>
    <w:p w:rsidR="00215B20" w:rsidRDefault="00FD0AA3">
      <w:pPr>
        <w:pStyle w:val="Nadpis60"/>
        <w:keepNext/>
        <w:keepLines/>
        <w:numPr>
          <w:ilvl w:val="0"/>
          <w:numId w:val="43"/>
        </w:numPr>
        <w:shd w:val="clear" w:color="auto" w:fill="auto"/>
        <w:tabs>
          <w:tab w:val="left" w:pos="572"/>
        </w:tabs>
        <w:spacing w:after="0" w:line="334" w:lineRule="auto"/>
        <w:jc w:val="both"/>
      </w:pPr>
      <w:bookmarkStart w:id="255" w:name="bookmark254"/>
      <w:bookmarkStart w:id="256" w:name="bookmark255"/>
      <w:r>
        <w:rPr>
          <w:color w:val="EC018B"/>
        </w:rPr>
        <w:t>Rozhodné právo, řešení sporů</w:t>
      </w:r>
      <w:bookmarkEnd w:id="255"/>
      <w:bookmarkEnd w:id="256"/>
    </w:p>
    <w:p w:rsidR="00215B20" w:rsidRDefault="00FD0AA3">
      <w:pPr>
        <w:pStyle w:val="Zkladntext1"/>
        <w:numPr>
          <w:ilvl w:val="1"/>
          <w:numId w:val="43"/>
        </w:numPr>
        <w:shd w:val="clear" w:color="auto" w:fill="auto"/>
        <w:tabs>
          <w:tab w:val="left" w:pos="572"/>
        </w:tabs>
        <w:spacing w:after="200" w:line="334" w:lineRule="auto"/>
        <w:ind w:left="580" w:hanging="580"/>
        <w:jc w:val="both"/>
      </w:pPr>
      <w:r>
        <w:t>Práva a povinnosti smluvních stran se řídí občanským zá</w:t>
      </w:r>
      <w:r>
        <w:softHyphen/>
        <w:t>koníkem a ostatními příslušnými právními předpisy české</w:t>
      </w:r>
      <w:r>
        <w:softHyphen/>
        <w:t>ho práv</w:t>
      </w:r>
      <w:r>
        <w:t>ního řádu.</w:t>
      </w:r>
    </w:p>
    <w:p w:rsidR="00215B20" w:rsidRDefault="00FD0AA3">
      <w:pPr>
        <w:pStyle w:val="Zkladntext1"/>
        <w:numPr>
          <w:ilvl w:val="1"/>
          <w:numId w:val="43"/>
        </w:numPr>
        <w:shd w:val="clear" w:color="auto" w:fill="auto"/>
        <w:tabs>
          <w:tab w:val="left" w:pos="572"/>
        </w:tabs>
        <w:spacing w:after="200" w:line="334" w:lineRule="auto"/>
        <w:ind w:left="580" w:hanging="580"/>
        <w:jc w:val="both"/>
      </w:pPr>
      <w:r>
        <w:t>Smluvní strany se zavazují vyvinout maximální úsilí k od</w:t>
      </w:r>
      <w:r>
        <w:softHyphen/>
        <w:t>stranění vzájemných sporů, včetně sporů o její výklad či platnost a usilovat o smírné vyřešení těchto sporů nejprve prostřednictvím jednání Kontaktních osob nebo pověře</w:t>
      </w:r>
      <w:r>
        <w:softHyphen/>
        <w:t>ných zástupců.</w:t>
      </w:r>
    </w:p>
    <w:p w:rsidR="00215B20" w:rsidRDefault="00FD0AA3">
      <w:pPr>
        <w:pStyle w:val="Zkladntext1"/>
        <w:numPr>
          <w:ilvl w:val="1"/>
          <w:numId w:val="43"/>
        </w:numPr>
        <w:shd w:val="clear" w:color="auto" w:fill="auto"/>
        <w:tabs>
          <w:tab w:val="left" w:pos="572"/>
        </w:tabs>
        <w:spacing w:after="200" w:line="334" w:lineRule="auto"/>
        <w:ind w:left="580" w:hanging="580"/>
        <w:jc w:val="both"/>
      </w:pPr>
      <w:r>
        <w:t>Vešk</w:t>
      </w:r>
      <w:r>
        <w:t>eré spory, které se smluvním stranám nepodaří vyře</w:t>
      </w:r>
      <w:r>
        <w:softHyphen/>
        <w:t>šit smírnou cestou, budou řešeny věcně příslušným sou</w:t>
      </w:r>
      <w:r>
        <w:softHyphen/>
        <w:t xml:space="preserve">dem České republiky, nestanoví-li zákon jinak. Nestanoví- -li zákon výlučnou místní příslušnost soudu, dohodly se smluvní strany, že pro všechny spory </w:t>
      </w:r>
      <w:r>
        <w:t>dle Smlouvy bude místně příslušným obecný soud TMCZ.</w:t>
      </w:r>
    </w:p>
    <w:p w:rsidR="00215B20" w:rsidRDefault="00FD0AA3">
      <w:pPr>
        <w:pStyle w:val="Nadpis60"/>
        <w:keepNext/>
        <w:keepLines/>
        <w:numPr>
          <w:ilvl w:val="0"/>
          <w:numId w:val="43"/>
        </w:numPr>
        <w:shd w:val="clear" w:color="auto" w:fill="auto"/>
        <w:tabs>
          <w:tab w:val="left" w:pos="572"/>
        </w:tabs>
        <w:spacing w:after="0" w:line="334" w:lineRule="auto"/>
        <w:jc w:val="both"/>
      </w:pPr>
      <w:bookmarkStart w:id="257" w:name="bookmark256"/>
      <w:bookmarkStart w:id="258" w:name="bookmark257"/>
      <w:r>
        <w:rPr>
          <w:color w:val="EC018B"/>
        </w:rPr>
        <w:t>Ustanovení společná a závěrečná</w:t>
      </w:r>
      <w:bookmarkEnd w:id="257"/>
      <w:bookmarkEnd w:id="258"/>
    </w:p>
    <w:p w:rsidR="00215B20" w:rsidRDefault="00FD0AA3">
      <w:pPr>
        <w:pStyle w:val="Zkladntext1"/>
        <w:numPr>
          <w:ilvl w:val="1"/>
          <w:numId w:val="43"/>
        </w:numPr>
        <w:shd w:val="clear" w:color="auto" w:fill="auto"/>
        <w:tabs>
          <w:tab w:val="left" w:pos="572"/>
        </w:tabs>
        <w:spacing w:after="200" w:line="334" w:lineRule="auto"/>
        <w:ind w:left="580" w:hanging="580"/>
        <w:jc w:val="both"/>
      </w:pPr>
      <w:r>
        <w:t>Smluvní strany sjednávají, že TMCZ je oprávněn měnit jed</w:t>
      </w:r>
      <w:r>
        <w:softHyphen/>
        <w:t>nostranně tyto Podmínky Firemního řešení, Popisy služeb, Ceníky, provozní řády, Kontaktní osoby, Podmínky zpraco</w:t>
      </w:r>
      <w:r>
        <w:softHyphen/>
        <w:t>v</w:t>
      </w:r>
      <w:r>
        <w:t>ání osobních, identifikačních, provozních a lokalizačních údajů účastníků, případně i další dokumenty, v nichž je tak výslovně stanoveno. TMCZ se zavazuje Smluvního part</w:t>
      </w:r>
      <w:r>
        <w:softHyphen/>
        <w:t>nera o takové změně informovat nejméně 30 dní předem, není-li v příslušném dokumentu s</w:t>
      </w:r>
      <w:r>
        <w:t>tanoveno jinak.</w:t>
      </w:r>
    </w:p>
    <w:p w:rsidR="00215B20" w:rsidRDefault="00FD0AA3">
      <w:pPr>
        <w:pStyle w:val="Zkladntext1"/>
        <w:numPr>
          <w:ilvl w:val="1"/>
          <w:numId w:val="43"/>
        </w:numPr>
        <w:shd w:val="clear" w:color="auto" w:fill="auto"/>
        <w:tabs>
          <w:tab w:val="left" w:pos="572"/>
        </w:tabs>
        <w:spacing w:after="200" w:line="334" w:lineRule="auto"/>
        <w:ind w:left="580" w:hanging="580"/>
        <w:jc w:val="both"/>
      </w:pPr>
      <w:r>
        <w:t>Vzhledem ke skutečnosti, že předmětem Smlouvy je indi</w:t>
      </w:r>
      <w:r>
        <w:softHyphen/>
        <w:t>viduální řešení vytvořené mj. z neveřejných služeb elektro</w:t>
      </w:r>
      <w:r>
        <w:softHyphen/>
        <w:t>nických komunikací a poskytované na míru specifickým potřebám Smluvního partnera, Smluvní strany se dohodly, že na Smluvní doku</w:t>
      </w:r>
      <w:r>
        <w:t>menty se neaplikují ustanovení ob</w:t>
      </w:r>
      <w:r>
        <w:softHyphen/>
        <w:t>čanského zákoníku o smlouvách uzavíraných adhezním způsobem.</w:t>
      </w:r>
    </w:p>
    <w:p w:rsidR="00215B20" w:rsidRDefault="00FD0AA3">
      <w:pPr>
        <w:pStyle w:val="Zkladntext1"/>
        <w:numPr>
          <w:ilvl w:val="1"/>
          <w:numId w:val="43"/>
        </w:numPr>
        <w:shd w:val="clear" w:color="auto" w:fill="auto"/>
        <w:tabs>
          <w:tab w:val="left" w:pos="572"/>
        </w:tabs>
        <w:spacing w:after="200" w:line="334" w:lineRule="auto"/>
        <w:ind w:left="580" w:hanging="580"/>
        <w:jc w:val="both"/>
      </w:pPr>
      <w:r>
        <w:t>Obsah závazků plynoucích ze Smluvních dokumentů tvoří pouze práva a povinnosti sjednané či stanovené ve Smluvních dokumentech bez ohledu na jednání Smluvních str</w:t>
      </w:r>
      <w:r>
        <w:t>an před a při uzavírání Smluvních dokumentů.</w:t>
      </w:r>
    </w:p>
    <w:p w:rsidR="00215B20" w:rsidRDefault="00FD0AA3">
      <w:pPr>
        <w:pStyle w:val="Zkladntext1"/>
        <w:numPr>
          <w:ilvl w:val="1"/>
          <w:numId w:val="43"/>
        </w:numPr>
        <w:shd w:val="clear" w:color="auto" w:fill="auto"/>
        <w:tabs>
          <w:tab w:val="left" w:pos="572"/>
        </w:tabs>
        <w:spacing w:after="200" w:line="334" w:lineRule="auto"/>
        <w:ind w:left="580" w:hanging="580"/>
        <w:jc w:val="both"/>
      </w:pPr>
      <w:r>
        <w:t>Započíst nelze proti nejisté pohledávce. Smluvní partner není oprávněn započíst jednostranně své pohledávky proti pohledávkám TMCZ.</w:t>
      </w:r>
    </w:p>
    <w:p w:rsidR="00215B20" w:rsidRDefault="00FD0AA3">
      <w:pPr>
        <w:pStyle w:val="Zkladntext1"/>
        <w:numPr>
          <w:ilvl w:val="1"/>
          <w:numId w:val="43"/>
        </w:numPr>
        <w:shd w:val="clear" w:color="auto" w:fill="auto"/>
        <w:tabs>
          <w:tab w:val="left" w:pos="572"/>
        </w:tabs>
        <w:spacing w:after="200" w:line="334" w:lineRule="auto"/>
        <w:ind w:left="580" w:hanging="580"/>
        <w:jc w:val="both"/>
        <w:sectPr w:rsidR="00215B20">
          <w:pgSz w:w="11900" w:h="16840"/>
          <w:pgMar w:top="1974" w:right="810" w:bottom="1364" w:left="809" w:header="0" w:footer="3" w:gutter="0"/>
          <w:cols w:num="2" w:space="427"/>
          <w:noEndnote/>
          <w:docGrid w:linePitch="360"/>
        </w:sectPr>
      </w:pPr>
      <w:r>
        <w:t>Stanoví-li právní předpisy nebo Smluvní dokument, ze</w:t>
      </w:r>
      <w:r>
        <w:softHyphen/>
        <w:t>j</w:t>
      </w:r>
      <w:r>
        <w:t>ména Smlouva, Podmínky Firemního řešení, Specifikace služeb či Dohoda o cenových podmínkách právo TMCZ ukončit některý ze Smluvních dokumentů (např. odstou</w:t>
      </w:r>
      <w:r>
        <w:softHyphen/>
        <w:t>pením nebo výpovědí), pak je TMCZ oprávněn takto ukon</w:t>
      </w:r>
      <w:r>
        <w:softHyphen/>
        <w:t xml:space="preserve">čit jak celý Smluvní dokument, tak pouze jeho </w:t>
      </w:r>
      <w:r>
        <w:t>část, a to ve vztahu k určité Službě, resp. pouze jednotlivou Službu (byť zahrnutou společně s více Službami v jednom Smluvním dokumentu, zejména však ve Specifikaci služby). Pokud je TMCZ opravněn ukončit Smlouvu, rozumí se tím vždy rov</w:t>
      </w:r>
      <w:r>
        <w:softHyphen/>
        <w:t>něž právo TMCZ uko</w:t>
      </w:r>
      <w:r>
        <w:t>nčit Dohodu o cenových podmínkách</w:t>
      </w:r>
    </w:p>
    <w:p w:rsidR="00215B20" w:rsidRDefault="00FD0AA3">
      <w:pPr>
        <w:pStyle w:val="Zkladntext1"/>
        <w:shd w:val="clear" w:color="auto" w:fill="auto"/>
        <w:spacing w:before="720" w:after="200" w:line="334" w:lineRule="auto"/>
        <w:ind w:left="580"/>
        <w:jc w:val="both"/>
      </w:pPr>
      <w:r w:rsidRPr="00920265">
        <w:rPr>
          <w:lang w:eastAsia="en-US" w:bidi="en-US"/>
        </w:rPr>
        <w:lastRenderedPageBreak/>
        <w:t xml:space="preserve">nebo jednotlivou Specifikaci </w:t>
      </w:r>
      <w:r>
        <w:t xml:space="preserve">služby </w:t>
      </w:r>
      <w:r w:rsidRPr="00920265">
        <w:rPr>
          <w:lang w:eastAsia="en-US" w:bidi="en-US"/>
        </w:rPr>
        <w:t xml:space="preserve">nebo pouze </w:t>
      </w:r>
      <w:r>
        <w:t>jednotli</w:t>
      </w:r>
      <w:r>
        <w:softHyphen/>
        <w:t>vou</w:t>
      </w:r>
      <w:r w:rsidRPr="00920265">
        <w:rPr>
          <w:lang w:eastAsia="en-US" w:bidi="en-US"/>
        </w:rPr>
        <w:t xml:space="preserve"> </w:t>
      </w:r>
      <w:r>
        <w:t>Službu.</w:t>
      </w:r>
    </w:p>
    <w:p w:rsidR="00215B20" w:rsidRDefault="00FD0AA3">
      <w:pPr>
        <w:pStyle w:val="Zkladntext1"/>
        <w:numPr>
          <w:ilvl w:val="1"/>
          <w:numId w:val="43"/>
        </w:numPr>
        <w:shd w:val="clear" w:color="auto" w:fill="auto"/>
        <w:tabs>
          <w:tab w:val="left" w:pos="566"/>
        </w:tabs>
        <w:spacing w:after="200" w:line="334" w:lineRule="auto"/>
        <w:ind w:left="580" w:hanging="580"/>
        <w:jc w:val="both"/>
      </w:pPr>
      <w:r w:rsidRPr="00920265">
        <w:rPr>
          <w:lang w:eastAsia="en-US" w:bidi="en-US"/>
        </w:rPr>
        <w:t xml:space="preserve">TMCZ </w:t>
      </w:r>
      <w:r>
        <w:t xml:space="preserve">výslovně odmítá jakékoli Smluvním </w:t>
      </w:r>
      <w:r w:rsidRPr="00920265">
        <w:rPr>
          <w:lang w:eastAsia="en-US" w:bidi="en-US"/>
        </w:rPr>
        <w:t xml:space="preserve">partnerem </w:t>
      </w:r>
      <w:r>
        <w:t>pro</w:t>
      </w:r>
      <w:r>
        <w:softHyphen/>
        <w:t xml:space="preserve">vedené (byť nepodstatné) změny provedené </w:t>
      </w:r>
      <w:r w:rsidRPr="00920265">
        <w:rPr>
          <w:lang w:eastAsia="en-US" w:bidi="en-US"/>
        </w:rPr>
        <w:t xml:space="preserve">ve </w:t>
      </w:r>
      <w:r>
        <w:t>formulá</w:t>
      </w:r>
      <w:r>
        <w:softHyphen/>
        <w:t xml:space="preserve">řích používaných </w:t>
      </w:r>
      <w:r w:rsidRPr="00920265">
        <w:rPr>
          <w:lang w:eastAsia="en-US" w:bidi="en-US"/>
        </w:rPr>
        <w:t xml:space="preserve">v souvislosti se Smlouvou, s </w:t>
      </w:r>
      <w:r>
        <w:t xml:space="preserve">výjimkou údajů, jejichž doplnění </w:t>
      </w:r>
      <w:r w:rsidRPr="00920265">
        <w:rPr>
          <w:lang w:eastAsia="en-US" w:bidi="en-US"/>
        </w:rPr>
        <w:t xml:space="preserve">se ze strany </w:t>
      </w:r>
      <w:r>
        <w:t xml:space="preserve">Smluvního </w:t>
      </w:r>
      <w:r w:rsidRPr="00920265">
        <w:rPr>
          <w:lang w:eastAsia="en-US" w:bidi="en-US"/>
        </w:rPr>
        <w:t xml:space="preserve">partnera </w:t>
      </w:r>
      <w:r>
        <w:t>předpokládá.</w:t>
      </w:r>
    </w:p>
    <w:p w:rsidR="00215B20" w:rsidRDefault="00FD0AA3">
      <w:pPr>
        <w:pStyle w:val="Zkladntext1"/>
        <w:numPr>
          <w:ilvl w:val="1"/>
          <w:numId w:val="43"/>
        </w:numPr>
        <w:shd w:val="clear" w:color="auto" w:fill="auto"/>
        <w:tabs>
          <w:tab w:val="left" w:pos="566"/>
        </w:tabs>
        <w:spacing w:after="200" w:line="334" w:lineRule="auto"/>
        <w:ind w:left="580" w:hanging="580"/>
        <w:jc w:val="both"/>
      </w:pPr>
      <w:r w:rsidRPr="00920265">
        <w:rPr>
          <w:lang w:eastAsia="en-US" w:bidi="en-US"/>
        </w:rPr>
        <w:t xml:space="preserve">I po </w:t>
      </w:r>
      <w:r>
        <w:t xml:space="preserve">ukončení </w:t>
      </w:r>
      <w:r w:rsidRPr="00920265">
        <w:rPr>
          <w:lang w:eastAsia="en-US" w:bidi="en-US"/>
        </w:rPr>
        <w:t xml:space="preserve">Smlouvy </w:t>
      </w:r>
      <w:r>
        <w:t xml:space="preserve">nadále přetrvávají práva </w:t>
      </w:r>
      <w:r w:rsidRPr="00920265">
        <w:rPr>
          <w:lang w:eastAsia="en-US" w:bidi="en-US"/>
        </w:rPr>
        <w:t xml:space="preserve">a </w:t>
      </w:r>
      <w:r>
        <w:t>povin</w:t>
      </w:r>
      <w:r>
        <w:softHyphen/>
        <w:t>nosti,</w:t>
      </w:r>
      <w:r w:rsidRPr="00920265">
        <w:rPr>
          <w:lang w:eastAsia="en-US" w:bidi="en-US"/>
        </w:rPr>
        <w:t xml:space="preserve"> u </w:t>
      </w:r>
      <w:r>
        <w:t xml:space="preserve">nichž </w:t>
      </w:r>
      <w:r w:rsidRPr="00920265">
        <w:rPr>
          <w:lang w:eastAsia="en-US" w:bidi="en-US"/>
        </w:rPr>
        <w:t xml:space="preserve">je </w:t>
      </w:r>
      <w:r>
        <w:t xml:space="preserve">zřejmé, že nemají ukončením </w:t>
      </w:r>
      <w:r w:rsidRPr="00920265">
        <w:rPr>
          <w:lang w:eastAsia="en-US" w:bidi="en-US"/>
        </w:rPr>
        <w:t xml:space="preserve">Smlouvy </w:t>
      </w:r>
      <w:r>
        <w:t>za</w:t>
      </w:r>
      <w:r>
        <w:softHyphen/>
        <w:t>niknout,</w:t>
      </w:r>
      <w:r w:rsidRPr="00920265">
        <w:rPr>
          <w:lang w:eastAsia="en-US" w:bidi="en-US"/>
        </w:rPr>
        <w:t xml:space="preserve"> </w:t>
      </w:r>
      <w:r>
        <w:t xml:space="preserve">např. </w:t>
      </w:r>
      <w:r w:rsidRPr="00920265">
        <w:rPr>
          <w:lang w:eastAsia="en-US" w:bidi="en-US"/>
        </w:rPr>
        <w:t xml:space="preserve">povinnost zaplatit </w:t>
      </w:r>
      <w:r>
        <w:t xml:space="preserve">dlužné částky či smluvní </w:t>
      </w:r>
      <w:r w:rsidRPr="00920265">
        <w:rPr>
          <w:lang w:eastAsia="en-US" w:bidi="en-US"/>
        </w:rPr>
        <w:t>pokuty.</w:t>
      </w:r>
    </w:p>
    <w:p w:rsidR="00215B20" w:rsidRDefault="00FD0AA3">
      <w:pPr>
        <w:pStyle w:val="Zkladntext1"/>
        <w:numPr>
          <w:ilvl w:val="1"/>
          <w:numId w:val="43"/>
        </w:numPr>
        <w:shd w:val="clear" w:color="auto" w:fill="auto"/>
        <w:tabs>
          <w:tab w:val="left" w:pos="566"/>
        </w:tabs>
        <w:spacing w:after="200" w:line="334" w:lineRule="auto"/>
        <w:ind w:left="580" w:hanging="580"/>
        <w:jc w:val="both"/>
      </w:pPr>
      <w:r w:rsidRPr="00920265">
        <w:rPr>
          <w:lang w:eastAsia="en-US" w:bidi="en-US"/>
        </w:rPr>
        <w:t xml:space="preserve">Pro </w:t>
      </w:r>
      <w:r>
        <w:t xml:space="preserve">vyloučení pochybností </w:t>
      </w:r>
      <w:r w:rsidRPr="00920265">
        <w:rPr>
          <w:lang w:eastAsia="en-US" w:bidi="en-US"/>
        </w:rPr>
        <w:t xml:space="preserve">se </w:t>
      </w:r>
      <w:r>
        <w:t xml:space="preserve">stanoví, že </w:t>
      </w:r>
      <w:r w:rsidRPr="00920265">
        <w:rPr>
          <w:lang w:eastAsia="en-US" w:bidi="en-US"/>
        </w:rPr>
        <w:t xml:space="preserve">tyto </w:t>
      </w:r>
      <w:r>
        <w:t xml:space="preserve">Podmínky Firemního řešení </w:t>
      </w:r>
      <w:r w:rsidRPr="00920265">
        <w:rPr>
          <w:lang w:eastAsia="en-US" w:bidi="en-US"/>
        </w:rPr>
        <w:t xml:space="preserve">se </w:t>
      </w:r>
      <w:r>
        <w:t xml:space="preserve">uplatní </w:t>
      </w:r>
      <w:r w:rsidRPr="00920265">
        <w:rPr>
          <w:lang w:eastAsia="en-US" w:bidi="en-US"/>
        </w:rPr>
        <w:t xml:space="preserve">i na Smlouvu o </w:t>
      </w:r>
      <w:r>
        <w:t xml:space="preserve">zřízení </w:t>
      </w:r>
      <w:r w:rsidRPr="00920265">
        <w:rPr>
          <w:lang w:eastAsia="en-US" w:bidi="en-US"/>
        </w:rPr>
        <w:t xml:space="preserve">a </w:t>
      </w:r>
      <w:r>
        <w:t>posky</w:t>
      </w:r>
      <w:r>
        <w:softHyphen/>
        <w:t xml:space="preserve">tování řešení </w:t>
      </w:r>
      <w:r w:rsidRPr="00920265">
        <w:rPr>
          <w:lang w:eastAsia="en-US" w:bidi="en-US"/>
        </w:rPr>
        <w:t xml:space="preserve">T-Mobile ProfiNet, </w:t>
      </w:r>
      <w:r>
        <w:t xml:space="preserve">která </w:t>
      </w:r>
      <w:r w:rsidRPr="00920265">
        <w:rPr>
          <w:lang w:eastAsia="en-US" w:bidi="en-US"/>
        </w:rPr>
        <w:t xml:space="preserve">je pro </w:t>
      </w:r>
      <w:r>
        <w:t>účely těch</w:t>
      </w:r>
      <w:r>
        <w:softHyphen/>
        <w:t>to</w:t>
      </w:r>
      <w:r w:rsidRPr="00920265">
        <w:rPr>
          <w:lang w:eastAsia="en-US" w:bidi="en-US"/>
        </w:rPr>
        <w:t xml:space="preserve"> </w:t>
      </w:r>
      <w:r>
        <w:t xml:space="preserve">Podmínek Firemního řešení rovněž označována </w:t>
      </w:r>
      <w:r w:rsidRPr="00920265">
        <w:rPr>
          <w:lang w:eastAsia="en-US" w:bidi="en-US"/>
        </w:rPr>
        <w:t>jako „Smlouva“.</w:t>
      </w:r>
    </w:p>
    <w:p w:rsidR="00215B20" w:rsidRDefault="00FD0AA3">
      <w:pPr>
        <w:pStyle w:val="Zkladntext1"/>
        <w:numPr>
          <w:ilvl w:val="1"/>
          <w:numId w:val="43"/>
        </w:numPr>
        <w:shd w:val="clear" w:color="auto" w:fill="auto"/>
        <w:tabs>
          <w:tab w:val="left" w:pos="566"/>
        </w:tabs>
        <w:spacing w:after="200" w:line="334" w:lineRule="auto"/>
        <w:ind w:left="580" w:hanging="580"/>
        <w:jc w:val="both"/>
      </w:pPr>
      <w:r>
        <w:t xml:space="preserve">Práva </w:t>
      </w:r>
      <w:r w:rsidRPr="00920265">
        <w:rPr>
          <w:lang w:eastAsia="en-US" w:bidi="en-US"/>
        </w:rPr>
        <w:t xml:space="preserve">a povinnosti </w:t>
      </w:r>
      <w:r>
        <w:t>Sm</w:t>
      </w:r>
      <w:r>
        <w:t xml:space="preserve">luvních </w:t>
      </w:r>
      <w:r w:rsidRPr="00920265">
        <w:rPr>
          <w:lang w:eastAsia="en-US" w:bidi="en-US"/>
        </w:rPr>
        <w:t xml:space="preserve">stran </w:t>
      </w:r>
      <w:r>
        <w:t xml:space="preserve">neupravené Smluvními </w:t>
      </w:r>
      <w:r w:rsidRPr="00920265">
        <w:rPr>
          <w:lang w:eastAsia="en-US" w:bidi="en-US"/>
        </w:rPr>
        <w:t xml:space="preserve">dokumenty se </w:t>
      </w:r>
      <w:r>
        <w:t xml:space="preserve">podpůrně řídí Všeobecnými podmínkami společnosti </w:t>
      </w:r>
      <w:proofErr w:type="gramStart"/>
      <w:r w:rsidRPr="00920265">
        <w:rPr>
          <w:lang w:eastAsia="en-US" w:bidi="en-US"/>
        </w:rPr>
        <w:t>T-Mobile</w:t>
      </w:r>
      <w:proofErr w:type="gramEnd"/>
      <w:r w:rsidRPr="00920265">
        <w:rPr>
          <w:lang w:eastAsia="en-US" w:bidi="en-US"/>
        </w:rPr>
        <w:t xml:space="preserve"> Czech Republic a.s. („VPST“), s </w:t>
      </w:r>
      <w:r>
        <w:t xml:space="preserve">nimiž </w:t>
      </w:r>
      <w:r w:rsidRPr="00920265">
        <w:rPr>
          <w:lang w:eastAsia="en-US" w:bidi="en-US"/>
        </w:rPr>
        <w:t xml:space="preserve">se </w:t>
      </w:r>
      <w:r>
        <w:t xml:space="preserve">Smluvní </w:t>
      </w:r>
      <w:r w:rsidRPr="00920265">
        <w:rPr>
          <w:lang w:eastAsia="en-US" w:bidi="en-US"/>
        </w:rPr>
        <w:t xml:space="preserve">partner </w:t>
      </w:r>
      <w:r>
        <w:t xml:space="preserve">před </w:t>
      </w:r>
      <w:r w:rsidRPr="00920265">
        <w:rPr>
          <w:lang w:eastAsia="en-US" w:bidi="en-US"/>
        </w:rPr>
        <w:t xml:space="preserve">podpisem Smlouvy </w:t>
      </w:r>
      <w:r>
        <w:t xml:space="preserve">seznámil, což svým </w:t>
      </w:r>
      <w:r w:rsidRPr="00920265">
        <w:rPr>
          <w:lang w:eastAsia="en-US" w:bidi="en-US"/>
        </w:rPr>
        <w:t>podpisem Smlouvy potvrzuje.</w:t>
      </w:r>
    </w:p>
    <w:p w:rsidR="00215B20" w:rsidRDefault="00FD0AA3">
      <w:pPr>
        <w:pStyle w:val="Zkladntext1"/>
        <w:numPr>
          <w:ilvl w:val="1"/>
          <w:numId w:val="43"/>
        </w:numPr>
        <w:shd w:val="clear" w:color="auto" w:fill="auto"/>
        <w:tabs>
          <w:tab w:val="left" w:pos="566"/>
        </w:tabs>
        <w:spacing w:after="200" w:line="334" w:lineRule="auto"/>
        <w:ind w:left="580" w:hanging="580"/>
        <w:jc w:val="both"/>
        <w:sectPr w:rsidR="00215B20">
          <w:pgSz w:w="11900" w:h="16840"/>
          <w:pgMar w:top="1554" w:right="6166" w:bottom="7788" w:left="809" w:header="0" w:footer="3" w:gutter="0"/>
          <w:cols w:space="720"/>
          <w:noEndnote/>
          <w:docGrid w:linePitch="360"/>
        </w:sectPr>
      </w:pPr>
      <w:r w:rsidRPr="00920265">
        <w:rPr>
          <w:lang w:eastAsia="en-US" w:bidi="en-US"/>
        </w:rPr>
        <w:t>T</w:t>
      </w:r>
      <w:r w:rsidRPr="00920265">
        <w:rPr>
          <w:lang w:eastAsia="en-US" w:bidi="en-US"/>
        </w:rPr>
        <w:t xml:space="preserve">yto </w:t>
      </w:r>
      <w:r>
        <w:t xml:space="preserve">Podmínky Firemního řešení nabývají </w:t>
      </w:r>
      <w:r w:rsidRPr="00920265">
        <w:rPr>
          <w:lang w:eastAsia="en-US" w:bidi="en-US"/>
        </w:rPr>
        <w:t xml:space="preserve">platnosti a </w:t>
      </w:r>
      <w:r>
        <w:t>účin</w:t>
      </w:r>
      <w:r>
        <w:softHyphen/>
        <w:t>nosti</w:t>
      </w:r>
      <w:r w:rsidRPr="00920265">
        <w:rPr>
          <w:lang w:eastAsia="en-US" w:bidi="en-US"/>
        </w:rPr>
        <w:t xml:space="preserve"> dne 1. </w:t>
      </w:r>
      <w:r>
        <w:rPr>
          <w:lang w:val="en-US" w:eastAsia="en-US" w:bidi="en-US"/>
        </w:rPr>
        <w:t>12. 2022.</w:t>
      </w:r>
    </w:p>
    <w:p w:rsidR="00215B20" w:rsidRDefault="00FD0AA3">
      <w:pPr>
        <w:jc w:val="center"/>
        <w:rPr>
          <w:sz w:val="2"/>
          <w:szCs w:val="2"/>
        </w:rPr>
      </w:pPr>
      <w:r>
        <w:rPr>
          <w:noProof/>
          <w:lang w:bidi="ar-SA"/>
        </w:rPr>
        <w:lastRenderedPageBreak/>
        <w:drawing>
          <wp:inline distT="0" distB="0" distL="0" distR="0">
            <wp:extent cx="694690" cy="469265"/>
            <wp:effectExtent l="0" t="0" r="0" b="0"/>
            <wp:docPr id="366" name="Picut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2"/>
                    <a:stretch/>
                  </pic:blipFill>
                  <pic:spPr>
                    <a:xfrm>
                      <a:off x="0" y="0"/>
                      <a:ext cx="694690" cy="469265"/>
                    </a:xfrm>
                    <a:prstGeom prst="rect">
                      <a:avLst/>
                    </a:prstGeom>
                  </pic:spPr>
                </pic:pic>
              </a:graphicData>
            </a:graphic>
          </wp:inline>
        </w:drawing>
      </w:r>
    </w:p>
    <w:p w:rsidR="00215B20" w:rsidRDefault="00FD0AA3">
      <w:pPr>
        <w:pStyle w:val="Titulekobrzku0"/>
        <w:shd w:val="clear" w:color="auto" w:fill="auto"/>
        <w:spacing w:line="240" w:lineRule="auto"/>
        <w:ind w:firstLine="0"/>
        <w:rPr>
          <w:sz w:val="22"/>
          <w:szCs w:val="22"/>
        </w:rPr>
      </w:pPr>
      <w:r>
        <w:rPr>
          <w:rFonts w:ascii="Calibri" w:eastAsia="Calibri" w:hAnsi="Calibri" w:cs="Calibri"/>
          <w:color w:val="231F20"/>
          <w:sz w:val="22"/>
          <w:szCs w:val="22"/>
        </w:rPr>
        <w:t>Příloha č. 8:</w:t>
      </w:r>
    </w:p>
    <w:p w:rsidR="00215B20" w:rsidRDefault="00215B20">
      <w:pPr>
        <w:spacing w:after="459" w:line="1" w:lineRule="exact"/>
      </w:pPr>
    </w:p>
    <w:p w:rsidR="00215B20" w:rsidRDefault="00FD0AA3">
      <w:pPr>
        <w:pStyle w:val="Zkladntext30"/>
        <w:shd w:val="clear" w:color="auto" w:fill="auto"/>
        <w:ind w:firstLine="580"/>
        <w:sectPr w:rsidR="00215B20">
          <w:headerReference w:type="even" r:id="rId147"/>
          <w:headerReference w:type="default" r:id="rId148"/>
          <w:footerReference w:type="even" r:id="rId149"/>
          <w:footerReference w:type="default" r:id="rId150"/>
          <w:pgSz w:w="11900" w:h="16840"/>
          <w:pgMar w:top="1554" w:right="6166" w:bottom="7788" w:left="809" w:header="0" w:footer="7360" w:gutter="0"/>
          <w:cols w:space="720"/>
          <w:noEndnote/>
          <w:docGrid w:linePitch="360"/>
        </w:sectPr>
      </w:pPr>
      <w:r>
        <w:t>Oprávnění zastupovat Poskytovatele</w:t>
      </w:r>
      <w:r w:rsidR="00920265">
        <w:t xml:space="preserve">  </w:t>
      </w:r>
    </w:p>
    <w:p w:rsidR="00215B20" w:rsidRDefault="00FD0AA3">
      <w:pPr>
        <w:pStyle w:val="Zkladntext50"/>
        <w:framePr w:w="2668" w:h="308" w:wrap="none" w:hAnchor="page" w:x="8584" w:y="222"/>
        <w:shd w:val="clear" w:color="auto" w:fill="auto"/>
        <w:spacing w:after="0"/>
        <w:ind w:left="0" w:firstLine="0"/>
      </w:pPr>
      <w:r>
        <w:rPr>
          <w:b/>
          <w:bCs/>
          <w:i w:val="0"/>
          <w:iCs w:val="0"/>
          <w:color w:val="D24564"/>
        </w:rPr>
        <w:lastRenderedPageBreak/>
        <w:t>PRO SPOLEČNÉ ZÁŽITKY</w:t>
      </w:r>
    </w:p>
    <w:p w:rsidR="00215B20" w:rsidRDefault="00FD0AA3">
      <w:pPr>
        <w:spacing w:line="360" w:lineRule="exact"/>
      </w:pPr>
      <w:r>
        <w:rPr>
          <w:noProof/>
          <w:lang w:bidi="ar-SA"/>
        </w:rPr>
        <w:lastRenderedPageBreak/>
        <w:drawing>
          <wp:anchor distT="0" distB="0" distL="0" distR="0" simplePos="0" relativeHeight="62914899" behindDoc="1" locked="0" layoutInCell="1" allowOverlap="1">
            <wp:simplePos x="0" y="0"/>
            <wp:positionH relativeFrom="page">
              <wp:posOffset>1388745</wp:posOffset>
            </wp:positionH>
            <wp:positionV relativeFrom="margin">
              <wp:posOffset>0</wp:posOffset>
            </wp:positionV>
            <wp:extent cx="895985" cy="475615"/>
            <wp:effectExtent l="0" t="0" r="0" b="0"/>
            <wp:wrapNone/>
            <wp:docPr id="371" name="Shape 371"/>
            <wp:cNvGraphicFramePr/>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151"/>
                    <a:stretch/>
                  </pic:blipFill>
                  <pic:spPr>
                    <a:xfrm>
                      <a:off x="0" y="0"/>
                      <a:ext cx="895985" cy="475615"/>
                    </a:xfrm>
                    <a:prstGeom prst="rect">
                      <a:avLst/>
                    </a:prstGeom>
                  </pic:spPr>
                </pic:pic>
              </a:graphicData>
            </a:graphic>
          </wp:anchor>
        </w:drawing>
      </w:r>
    </w:p>
    <w:p w:rsidR="00215B20" w:rsidRDefault="00215B20">
      <w:pPr>
        <w:spacing w:after="385" w:line="1" w:lineRule="exact"/>
      </w:pPr>
    </w:p>
    <w:p w:rsidR="00215B20" w:rsidRDefault="00215B20">
      <w:pPr>
        <w:spacing w:line="1" w:lineRule="exact"/>
        <w:sectPr w:rsidR="00215B20">
          <w:headerReference w:type="even" r:id="rId152"/>
          <w:headerReference w:type="default" r:id="rId153"/>
          <w:footerReference w:type="even" r:id="rId154"/>
          <w:footerReference w:type="default" r:id="rId155"/>
          <w:pgSz w:w="11900" w:h="16840"/>
          <w:pgMar w:top="506" w:right="649" w:bottom="895" w:left="453" w:header="0" w:footer="3" w:gutter="0"/>
          <w:cols w:space="720"/>
          <w:noEndnote/>
          <w:docGrid w:linePitch="360"/>
        </w:sectPr>
      </w:pPr>
    </w:p>
    <w:p w:rsidR="00215B20" w:rsidRDefault="00215B20">
      <w:pPr>
        <w:spacing w:line="203" w:lineRule="exact"/>
        <w:rPr>
          <w:sz w:val="16"/>
          <w:szCs w:val="16"/>
        </w:rPr>
      </w:pPr>
    </w:p>
    <w:p w:rsidR="00215B20" w:rsidRDefault="00215B20">
      <w:pPr>
        <w:spacing w:line="1" w:lineRule="exact"/>
        <w:sectPr w:rsidR="00215B20">
          <w:type w:val="continuous"/>
          <w:pgSz w:w="11900" w:h="16840"/>
          <w:pgMar w:top="362" w:right="0" w:bottom="1464" w:left="0" w:header="0" w:footer="3" w:gutter="0"/>
          <w:cols w:space="720"/>
          <w:noEndnote/>
          <w:docGrid w:linePitch="360"/>
        </w:sectPr>
      </w:pPr>
    </w:p>
    <w:p w:rsidR="00215B20" w:rsidRDefault="00FD0AA3">
      <w:pPr>
        <w:pStyle w:val="Jin0"/>
        <w:shd w:val="clear" w:color="auto" w:fill="auto"/>
        <w:spacing w:after="540" w:line="240" w:lineRule="auto"/>
        <w:jc w:val="center"/>
        <w:rPr>
          <w:sz w:val="22"/>
          <w:szCs w:val="22"/>
        </w:rPr>
      </w:pPr>
      <w:r>
        <w:rPr>
          <w:color w:val="000000"/>
          <w:sz w:val="22"/>
          <w:szCs w:val="22"/>
          <w:u w:val="single"/>
        </w:rPr>
        <w:lastRenderedPageBreak/>
        <w:t>POVĚŘENÍ</w:t>
      </w:r>
    </w:p>
    <w:p w:rsidR="00215B20" w:rsidRDefault="00FD0AA3">
      <w:pPr>
        <w:pStyle w:val="Zkladntext50"/>
        <w:shd w:val="clear" w:color="auto" w:fill="auto"/>
        <w:spacing w:after="540" w:line="314" w:lineRule="auto"/>
        <w:ind w:left="0" w:firstLine="0"/>
        <w:rPr>
          <w:sz w:val="19"/>
          <w:szCs w:val="19"/>
        </w:rPr>
      </w:pPr>
      <w:r w:rsidRPr="00920265">
        <w:rPr>
          <w:i w:val="0"/>
          <w:iCs w:val="0"/>
          <w:color w:val="000000"/>
          <w:sz w:val="19"/>
          <w:szCs w:val="19"/>
          <w:lang w:eastAsia="en-US" w:bidi="en-US"/>
        </w:rPr>
        <w:t xml:space="preserve">Jose Severino Perdomo Lorenzo, </w:t>
      </w:r>
      <w:r>
        <w:rPr>
          <w:i w:val="0"/>
          <w:iCs w:val="0"/>
          <w:color w:val="000000"/>
          <w:sz w:val="19"/>
          <w:szCs w:val="19"/>
        </w:rPr>
        <w:t xml:space="preserve">člen představenstva a současně generální ředitel společnosti T-Mobile </w:t>
      </w:r>
      <w:r w:rsidRPr="00920265">
        <w:rPr>
          <w:i w:val="0"/>
          <w:iCs w:val="0"/>
          <w:color w:val="000000"/>
          <w:sz w:val="19"/>
          <w:szCs w:val="19"/>
          <w:lang w:eastAsia="en-US" w:bidi="en-US"/>
        </w:rPr>
        <w:t xml:space="preserve">Czech Republic </w:t>
      </w:r>
      <w:r>
        <w:rPr>
          <w:i w:val="0"/>
          <w:iCs w:val="0"/>
          <w:color w:val="000000"/>
          <w:sz w:val="19"/>
          <w:szCs w:val="19"/>
        </w:rPr>
        <w:t xml:space="preserve">a.s., se sídlem v Praze </w:t>
      </w:r>
      <w:r>
        <w:rPr>
          <w:i w:val="0"/>
          <w:iCs w:val="0"/>
          <w:color w:val="000000"/>
          <w:sz w:val="19"/>
          <w:szCs w:val="19"/>
        </w:rPr>
        <w:t>4, Tomíčkova 2144/1, PSČ 148 00, IČ 64949681 (dále jen „Společnost“), oprávněný jednat za Společnost samostatně, tímto pověřuje níže uvedeného zaměstnance Společnosti:</w:t>
      </w:r>
    </w:p>
    <w:p w:rsidR="00215B20" w:rsidRDefault="00FD0AA3">
      <w:pPr>
        <w:pStyle w:val="Jin0"/>
        <w:shd w:val="clear" w:color="auto" w:fill="auto"/>
        <w:spacing w:after="260" w:line="240" w:lineRule="auto"/>
        <w:jc w:val="center"/>
        <w:rPr>
          <w:sz w:val="22"/>
          <w:szCs w:val="22"/>
        </w:rPr>
      </w:pPr>
      <w:r>
        <w:rPr>
          <w:color w:val="000000"/>
          <w:sz w:val="22"/>
          <w:szCs w:val="22"/>
        </w:rPr>
        <w:t>Štěpána ČEKALA</w:t>
      </w:r>
    </w:p>
    <w:p w:rsidR="00215B20" w:rsidRDefault="00FD0AA3">
      <w:pPr>
        <w:pStyle w:val="Zkladntext50"/>
        <w:shd w:val="clear" w:color="auto" w:fill="auto"/>
        <w:spacing w:after="720"/>
        <w:ind w:left="0" w:firstLine="0"/>
        <w:jc w:val="center"/>
        <w:rPr>
          <w:sz w:val="19"/>
          <w:szCs w:val="19"/>
        </w:rPr>
      </w:pPr>
      <w:r>
        <w:rPr>
          <w:i w:val="0"/>
          <w:iCs w:val="0"/>
          <w:color w:val="000000"/>
          <w:sz w:val="19"/>
          <w:szCs w:val="19"/>
        </w:rPr>
        <w:t xml:space="preserve">nar. </w:t>
      </w:r>
      <w:r w:rsidR="00920265">
        <w:rPr>
          <w:i w:val="0"/>
          <w:iCs w:val="0"/>
          <w:color w:val="000000"/>
          <w:sz w:val="19"/>
          <w:szCs w:val="19"/>
        </w:rPr>
        <w:t>xxx</w:t>
      </w:r>
    </w:p>
    <w:p w:rsidR="00215B20" w:rsidRDefault="00FD0AA3">
      <w:pPr>
        <w:pStyle w:val="Zkladntext50"/>
        <w:shd w:val="clear" w:color="auto" w:fill="auto"/>
        <w:spacing w:after="120" w:line="317" w:lineRule="auto"/>
        <w:ind w:left="0" w:firstLine="0"/>
        <w:rPr>
          <w:sz w:val="19"/>
          <w:szCs w:val="19"/>
        </w:rPr>
      </w:pPr>
      <w:r>
        <w:rPr>
          <w:i w:val="0"/>
          <w:iCs w:val="0"/>
          <w:color w:val="000000"/>
          <w:sz w:val="19"/>
          <w:szCs w:val="19"/>
        </w:rPr>
        <w:t>, aby za Společnost jednal a vykonával:</w:t>
      </w:r>
    </w:p>
    <w:p w:rsidR="00215B20" w:rsidRDefault="00FD0AA3">
      <w:pPr>
        <w:pStyle w:val="Zkladntext50"/>
        <w:numPr>
          <w:ilvl w:val="0"/>
          <w:numId w:val="46"/>
        </w:numPr>
        <w:shd w:val="clear" w:color="auto" w:fill="auto"/>
        <w:tabs>
          <w:tab w:val="left" w:pos="349"/>
        </w:tabs>
        <w:spacing w:after="120" w:line="317" w:lineRule="auto"/>
        <w:ind w:left="440" w:hanging="440"/>
        <w:rPr>
          <w:sz w:val="19"/>
          <w:szCs w:val="19"/>
        </w:rPr>
      </w:pPr>
      <w:r>
        <w:rPr>
          <w:i w:val="0"/>
          <w:iCs w:val="0"/>
          <w:color w:val="000000"/>
          <w:sz w:val="19"/>
          <w:szCs w:val="19"/>
        </w:rPr>
        <w:t>veškeré úkony, kt</w:t>
      </w:r>
      <w:r>
        <w:rPr>
          <w:i w:val="0"/>
          <w:iCs w:val="0"/>
          <w:color w:val="000000"/>
          <w:sz w:val="19"/>
          <w:szCs w:val="19"/>
        </w:rPr>
        <w:t>eré souvisí se smlouvami o poskytování služeb elektronických komunikací a o prodeji komunikačních zařízení a jejich příslušenství firemním zákazníkům a se smlouvami o zprostředkování anebo spolupráci při uzavírání uvedených smluv; zejména se jedná o uzavír</w:t>
      </w:r>
      <w:r>
        <w:rPr>
          <w:i w:val="0"/>
          <w:iCs w:val="0"/>
          <w:color w:val="000000"/>
          <w:sz w:val="19"/>
          <w:szCs w:val="19"/>
        </w:rPr>
        <w:t>ání, změny a ukončování takových smluv;</w:t>
      </w:r>
    </w:p>
    <w:p w:rsidR="00215B20" w:rsidRDefault="00FD0AA3">
      <w:pPr>
        <w:pStyle w:val="Zkladntext50"/>
        <w:numPr>
          <w:ilvl w:val="0"/>
          <w:numId w:val="46"/>
        </w:numPr>
        <w:shd w:val="clear" w:color="auto" w:fill="auto"/>
        <w:tabs>
          <w:tab w:val="left" w:pos="349"/>
        </w:tabs>
        <w:spacing w:after="120" w:line="319" w:lineRule="auto"/>
        <w:ind w:left="440" w:hanging="440"/>
        <w:rPr>
          <w:sz w:val="19"/>
          <w:szCs w:val="19"/>
        </w:rPr>
      </w:pPr>
      <w:r>
        <w:rPr>
          <w:i w:val="0"/>
          <w:iCs w:val="0"/>
          <w:color w:val="000000"/>
          <w:sz w:val="19"/>
          <w:szCs w:val="19"/>
        </w:rPr>
        <w:t>veškeré úkony, které souvisí se smlouvami, které upravují komplexní řešení ProfiNet, tedy zejména, nikoli však výlučně Smlouvy o firemním řešení, Smlouvy o poskytování služeb pro veřejnou zakázku atd., či obdobné sml</w:t>
      </w:r>
      <w:r>
        <w:rPr>
          <w:i w:val="0"/>
          <w:iCs w:val="0"/>
          <w:color w:val="000000"/>
          <w:sz w:val="19"/>
          <w:szCs w:val="19"/>
        </w:rPr>
        <w:t>ouvy, předložené zadavatelem, v obdobném rozsahu; prodej jakýchkoli nehlasových služeb a služeb s přidanou hodnotou; zejména se jedná o uzavírání, změny a ukončování takových smluv;</w:t>
      </w:r>
    </w:p>
    <w:p w:rsidR="00215B20" w:rsidRDefault="00FD0AA3">
      <w:pPr>
        <w:pStyle w:val="Zkladntext50"/>
        <w:numPr>
          <w:ilvl w:val="0"/>
          <w:numId w:val="46"/>
        </w:numPr>
        <w:shd w:val="clear" w:color="auto" w:fill="auto"/>
        <w:tabs>
          <w:tab w:val="left" w:pos="349"/>
        </w:tabs>
        <w:spacing w:after="120" w:line="314" w:lineRule="auto"/>
        <w:ind w:left="440" w:hanging="440"/>
        <w:rPr>
          <w:sz w:val="19"/>
          <w:szCs w:val="19"/>
        </w:rPr>
      </w:pPr>
      <w:r>
        <w:rPr>
          <w:i w:val="0"/>
          <w:iCs w:val="0"/>
          <w:color w:val="000000"/>
          <w:sz w:val="19"/>
          <w:szCs w:val="19"/>
        </w:rPr>
        <w:t xml:space="preserve">veškeré úkony, které souvisí se smlouvami o poskytování ICT řešení, jež </w:t>
      </w:r>
      <w:r>
        <w:rPr>
          <w:i w:val="0"/>
          <w:iCs w:val="0"/>
          <w:color w:val="000000"/>
          <w:sz w:val="19"/>
          <w:szCs w:val="19"/>
        </w:rPr>
        <w:t>upravují podmínky pronájmu komunikačních zařízení a souvisejícího vybavení vč. požadované softwarové podpory; zejména se jedná o uzavírání, změny a ukončování takových smluv,</w:t>
      </w:r>
    </w:p>
    <w:p w:rsidR="00215B20" w:rsidRDefault="00FD0AA3">
      <w:pPr>
        <w:pStyle w:val="Zkladntext50"/>
        <w:numPr>
          <w:ilvl w:val="0"/>
          <w:numId w:val="46"/>
        </w:numPr>
        <w:shd w:val="clear" w:color="auto" w:fill="auto"/>
        <w:tabs>
          <w:tab w:val="left" w:pos="349"/>
        </w:tabs>
        <w:spacing w:after="540" w:line="317" w:lineRule="auto"/>
        <w:ind w:left="440" w:hanging="440"/>
        <w:rPr>
          <w:sz w:val="19"/>
          <w:szCs w:val="19"/>
        </w:rPr>
      </w:pPr>
      <w:r>
        <w:rPr>
          <w:i w:val="0"/>
          <w:iCs w:val="0"/>
          <w:color w:val="000000"/>
          <w:sz w:val="19"/>
          <w:szCs w:val="19"/>
        </w:rPr>
        <w:t xml:space="preserve">veškeré úkony a jednání dle zákona č. 134/2016 Sb„ o zadávání veřejných zakázek, </w:t>
      </w:r>
      <w:r>
        <w:rPr>
          <w:i w:val="0"/>
          <w:iCs w:val="0"/>
          <w:color w:val="000000"/>
          <w:sz w:val="19"/>
          <w:szCs w:val="19"/>
        </w:rPr>
        <w:t xml:space="preserve">ve znění pozdějších předpisů; to znamená, aby podával nabídky a prováděl veškerá právní jednání ve veřejných zakázkách a výběrových řízeních, zejména svým čestným prohlášením prokazoval základní i další kvalifikační předpoklady pro plnění veřejné zakázky; </w:t>
      </w:r>
      <w:r>
        <w:rPr>
          <w:i w:val="0"/>
          <w:iCs w:val="0"/>
          <w:color w:val="000000"/>
          <w:sz w:val="19"/>
          <w:szCs w:val="19"/>
        </w:rPr>
        <w:t>rovněž aby Společnost zastupoval ve správním řízení konaném v souvislosti s jakoukoli veřejnou zakázkou nebo výběrovým řízením, a rovněž aby Společnost zastupoval v řízení před Úřadem pro ochranu hospodářské soutěže.</w:t>
      </w:r>
    </w:p>
    <w:p w:rsidR="00215B20" w:rsidRDefault="00FD0AA3">
      <w:pPr>
        <w:pStyle w:val="Zkladntext50"/>
        <w:shd w:val="clear" w:color="auto" w:fill="auto"/>
        <w:spacing w:after="0" w:line="317" w:lineRule="auto"/>
        <w:ind w:left="0" w:firstLine="0"/>
        <w:rPr>
          <w:sz w:val="19"/>
          <w:szCs w:val="19"/>
        </w:rPr>
      </w:pPr>
      <w:r>
        <w:rPr>
          <w:i w:val="0"/>
          <w:iCs w:val="0"/>
          <w:color w:val="000000"/>
          <w:sz w:val="19"/>
          <w:szCs w:val="19"/>
        </w:rPr>
        <w:t xml:space="preserve">Pověřený zaměstnanec v takto vymezeném </w:t>
      </w:r>
      <w:r>
        <w:rPr>
          <w:i w:val="0"/>
          <w:iCs w:val="0"/>
          <w:color w:val="000000"/>
          <w:sz w:val="19"/>
          <w:szCs w:val="19"/>
        </w:rPr>
        <w:t>rozsahu a po dobu pracovního poměru ve Společnosti jedná za Společnost samostatně a je oprávněn v uvedeném rozsahu podepisovat příslušné písemnosti. Společnost výslovně prohlašuje a pověřený zaměstnanec bere na vědomí, že jakákoliv jeho jednání, která by b</w:t>
      </w:r>
      <w:r>
        <w:rPr>
          <w:i w:val="0"/>
          <w:iCs w:val="0"/>
          <w:color w:val="000000"/>
          <w:sz w:val="19"/>
          <w:szCs w:val="19"/>
        </w:rPr>
        <w:t>yla v rozporu s právními předpisy, nejsou v zájmu Společnosti a nejsou ani považována za jednání v rámci činnosti Společnosti.</w:t>
      </w:r>
    </w:p>
    <w:p w:rsidR="00215B20" w:rsidRDefault="00FD0AA3">
      <w:pPr>
        <w:pStyle w:val="Zkladntext20"/>
        <w:shd w:val="clear" w:color="auto" w:fill="auto"/>
        <w:spacing w:after="380" w:line="240" w:lineRule="auto"/>
        <w:ind w:left="2020"/>
        <w:rPr>
          <w:sz w:val="14"/>
          <w:szCs w:val="14"/>
        </w:rPr>
      </w:pPr>
      <w:r>
        <w:rPr>
          <w:smallCaps/>
          <w:color w:val="283B8F"/>
          <w:sz w:val="14"/>
          <w:szCs w:val="14"/>
        </w:rPr>
        <w:t>í'</w:t>
      </w:r>
    </w:p>
    <w:p w:rsidR="00215B20" w:rsidRDefault="00FD0AA3">
      <w:pPr>
        <w:pStyle w:val="Zkladntext50"/>
        <w:shd w:val="clear" w:color="auto" w:fill="auto"/>
        <w:spacing w:after="320" w:line="317" w:lineRule="auto"/>
        <w:ind w:left="0" w:firstLine="0"/>
        <w:rPr>
          <w:sz w:val="19"/>
          <w:szCs w:val="19"/>
        </w:rPr>
      </w:pPr>
      <w:r>
        <w:rPr>
          <w:i w:val="0"/>
          <w:iCs w:val="0"/>
          <w:color w:val="000000"/>
          <w:sz w:val="19"/>
          <w:szCs w:val="19"/>
        </w:rPr>
        <w:t>Pověřený zaměstnanec je dále oprávněn zmocnit jiného zaměstnance Společnosti, aby místo něho prováděl za Společnost v individu</w:t>
      </w:r>
      <w:r>
        <w:rPr>
          <w:i w:val="0"/>
          <w:iCs w:val="0"/>
          <w:color w:val="000000"/>
          <w:sz w:val="19"/>
          <w:szCs w:val="19"/>
        </w:rPr>
        <w:t>álně určených veřejných zakázkách a výběrových řízeních úkony, které nevedou ke změně práv a povinností sjednaných závazně s účinky vůči Společnosti. Pověřený zaměstnanec je zejména oprávněn zmocnit jiného zaměstnance Společnosti, aby místo něho nahlížel d</w:t>
      </w:r>
      <w:r>
        <w:rPr>
          <w:i w:val="0"/>
          <w:iCs w:val="0"/>
          <w:color w:val="000000"/>
          <w:sz w:val="19"/>
          <w:szCs w:val="19"/>
        </w:rPr>
        <w:t>o protokolu o otevírání obálek, protokolu o posouzení kvalifikace nebo zprávy o posouzení a hodnocení nabídek, podával žádosti o vysvětlení zadávací dokumentace, zastupoval Společnost v elektronické aukci nebo aby se účastnil na prohlídce místa plnění nebo</w:t>
      </w:r>
      <w:r>
        <w:rPr>
          <w:i w:val="0"/>
          <w:iCs w:val="0"/>
          <w:color w:val="000000"/>
          <w:sz w:val="19"/>
          <w:szCs w:val="19"/>
        </w:rPr>
        <w:t xml:space="preserve"> při ústním vysvětlení nabídky v termínech stanovených zadavateli veřejných zakázek v jednotlivých výběrových řízeních. Pověřený zaměstnanec však není oprávněn zmocnit jiného zaměstnance Společnosti, aby místo něho podepsal za Společnost smlouvu se zadavat</w:t>
      </w:r>
      <w:r>
        <w:rPr>
          <w:i w:val="0"/>
          <w:iCs w:val="0"/>
          <w:color w:val="000000"/>
          <w:sz w:val="19"/>
          <w:szCs w:val="19"/>
        </w:rPr>
        <w:t>elem, podal námitky či Společnost zastupoval v řízení před Úřadem pro ochranu hospodářské soutěže.</w:t>
      </w:r>
      <w:r>
        <w:br w:type="page"/>
      </w:r>
    </w:p>
    <w:p w:rsidR="00215B20" w:rsidRDefault="00FD0AA3">
      <w:pPr>
        <w:pStyle w:val="Nadpis10"/>
        <w:keepNext/>
        <w:keepLines/>
        <w:shd w:val="clear" w:color="auto" w:fill="auto"/>
      </w:pPr>
      <w:r>
        <w:rPr>
          <w:noProof/>
          <w:lang w:bidi="ar-SA"/>
        </w:rPr>
        <w:lastRenderedPageBreak/>
        <mc:AlternateContent>
          <mc:Choice Requires="wps">
            <w:drawing>
              <wp:anchor distT="0" distB="0" distL="114300" distR="114300" simplePos="0" relativeHeight="125829423" behindDoc="0" locked="0" layoutInCell="1" allowOverlap="1">
                <wp:simplePos x="0" y="0"/>
                <wp:positionH relativeFrom="page">
                  <wp:posOffset>5436235</wp:posOffset>
                </wp:positionH>
                <wp:positionV relativeFrom="paragraph">
                  <wp:posOffset>304800</wp:posOffset>
                </wp:positionV>
                <wp:extent cx="1691005" cy="192405"/>
                <wp:effectExtent l="0" t="0" r="0" b="0"/>
                <wp:wrapSquare wrapText="bothSides"/>
                <wp:docPr id="377" name="Shape 377"/>
                <wp:cNvGraphicFramePr/>
                <a:graphic xmlns:a="http://schemas.openxmlformats.org/drawingml/2006/main">
                  <a:graphicData uri="http://schemas.microsoft.com/office/word/2010/wordprocessingShape">
                    <wps:wsp>
                      <wps:cNvSpPr txBox="1"/>
                      <wps:spPr>
                        <a:xfrm>
                          <a:off x="0" y="0"/>
                          <a:ext cx="1691005" cy="192405"/>
                        </a:xfrm>
                        <a:prstGeom prst="rect">
                          <a:avLst/>
                        </a:prstGeom>
                        <a:noFill/>
                      </wps:spPr>
                      <wps:txbx>
                        <w:txbxContent>
                          <w:p w:rsidR="00215B20" w:rsidRDefault="00FD0AA3">
                            <w:pPr>
                              <w:pStyle w:val="Zkladntext50"/>
                              <w:shd w:val="clear" w:color="auto" w:fill="auto"/>
                              <w:spacing w:after="0"/>
                              <w:ind w:left="0" w:firstLine="0"/>
                            </w:pPr>
                            <w:r>
                              <w:rPr>
                                <w:b/>
                                <w:bCs/>
                                <w:i w:val="0"/>
                                <w:iCs w:val="0"/>
                                <w:color w:val="D24564"/>
                              </w:rPr>
                              <w:t>PRO SPOLEČNÉ ZÁŽITKY</w:t>
                            </w:r>
                          </w:p>
                        </w:txbxContent>
                      </wps:txbx>
                      <wps:bodyPr wrap="none" lIns="0" tIns="0" rIns="0" bIns="0"/>
                    </wps:wsp>
                  </a:graphicData>
                </a:graphic>
              </wp:anchor>
            </w:drawing>
          </mc:Choice>
          <mc:Fallback>
            <w:pict>
              <v:shape id="Shape 377" o:spid="_x0000_s1066" type="#_x0000_t202" style="position:absolute;left:0;text-align:left;margin-left:428.05pt;margin-top:24pt;width:133.15pt;height:15.15pt;z-index:12582942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" filled="f" stroked="f">
                <v:textbox inset="0,0,0,0">
                  <w:txbxContent>
                    <w:p w:rsidR="00215B20" w:rsidRDefault="00FD0AA3">
                      <w:pPr>
                        <w:pStyle w:val="Zkladntext50"/>
                        <w:shd w:val="clear" w:color="auto" w:fill="auto"/>
                        <w:spacing w:after="0"/>
                        <w:ind w:left="0" w:firstLine="0"/>
                      </w:pPr>
                      <w:r>
                        <w:rPr>
                          <w:b/>
                          <w:bCs/>
                          <w:i w:val="0"/>
                          <w:iCs w:val="0"/>
                          <w:color w:val="D24564"/>
                        </w:rPr>
                        <w:t>PRO SPOLEČNÉ ZÁŽITKY</w:t>
                      </w:r>
                    </w:p>
                  </w:txbxContent>
                </v:textbox>
                <w10:wrap type="square" anchorx="page"/>
              </v:shape>
            </w:pict>
          </mc:Fallback>
        </mc:AlternateContent>
      </w:r>
      <w:bookmarkStart w:id="259" w:name="bookmark258"/>
      <w:bookmarkStart w:id="260" w:name="bookmark259"/>
      <w:r>
        <w:t>T-</w:t>
      </w:r>
      <w:bookmarkEnd w:id="259"/>
      <w:bookmarkEnd w:id="260"/>
    </w:p>
    <w:p w:rsidR="00215B20" w:rsidRDefault="00920265">
      <w:pPr>
        <w:pStyle w:val="Zkladntext50"/>
        <w:shd w:val="clear" w:color="auto" w:fill="auto"/>
        <w:spacing w:after="0" w:line="360" w:lineRule="auto"/>
        <w:ind w:left="0" w:firstLine="0"/>
        <w:rPr>
          <w:i w:val="0"/>
          <w:iCs w:val="0"/>
          <w:color w:val="000000"/>
          <w:sz w:val="19"/>
          <w:szCs w:val="19"/>
        </w:rPr>
      </w:pPr>
      <w:r>
        <w:rPr>
          <w:noProof/>
          <w:lang w:bidi="ar-SA"/>
        </w:rPr>
        <mc:AlternateContent>
          <mc:Choice Requires="wps">
            <w:drawing>
              <wp:anchor distT="0" distB="0" distL="0" distR="0" simplePos="0" relativeHeight="251679744" behindDoc="0" locked="0" layoutInCell="1" allowOverlap="1" wp14:anchorId="0ACD53EA" wp14:editId="0218FA53">
                <wp:simplePos x="0" y="0"/>
                <wp:positionH relativeFrom="page">
                  <wp:posOffset>3905250</wp:posOffset>
                </wp:positionH>
                <wp:positionV relativeFrom="paragraph">
                  <wp:posOffset>2297430</wp:posOffset>
                </wp:positionV>
                <wp:extent cx="1788795" cy="581025"/>
                <wp:effectExtent l="0" t="0" r="0" b="0"/>
                <wp:wrapNone/>
                <wp:docPr id="383" name="Shape 383"/>
                <wp:cNvGraphicFramePr/>
                <a:graphic xmlns:a="http://schemas.openxmlformats.org/drawingml/2006/main">
                  <a:graphicData uri="http://schemas.microsoft.com/office/word/2010/wordprocessingShape">
                    <wps:wsp>
                      <wps:cNvSpPr txBox="1"/>
                      <wps:spPr>
                        <a:xfrm>
                          <a:off x="0" y="0"/>
                          <a:ext cx="1788795" cy="581025"/>
                        </a:xfrm>
                        <a:prstGeom prst="rect">
                          <a:avLst/>
                        </a:prstGeom>
                        <a:noFill/>
                      </wps:spPr>
                      <wps:txbx>
                        <w:txbxContent>
                          <w:p w:rsidR="00215B20" w:rsidRDefault="00920265">
                            <w:pPr>
                              <w:pStyle w:val="Titulekobrzku0"/>
                              <w:shd w:val="clear" w:color="auto" w:fill="auto"/>
                              <w:spacing w:line="240" w:lineRule="auto"/>
                              <w:ind w:firstLine="0"/>
                              <w:rPr>
                                <w:sz w:val="19"/>
                                <w:szCs w:val="19"/>
                              </w:rPr>
                            </w:pPr>
                            <w:r>
                              <w:rPr>
                                <w:color w:val="000000"/>
                                <w:sz w:val="19"/>
                                <w:szCs w:val="19"/>
                              </w:rPr>
                              <w:t xml:space="preserve">Jose Severino Perdomo Lorenzo </w:t>
                            </w:r>
                            <w:r w:rsidR="00FD0AA3">
                              <w:rPr>
                                <w:color w:val="000000"/>
                                <w:sz w:val="19"/>
                                <w:szCs w:val="19"/>
                              </w:rPr>
                              <w:t xml:space="preserve">za </w:t>
                            </w:r>
                            <w:proofErr w:type="gramStart"/>
                            <w:r w:rsidR="00FD0AA3">
                              <w:rPr>
                                <w:color w:val="000000"/>
                                <w:sz w:val="19"/>
                                <w:szCs w:val="19"/>
                              </w:rPr>
                              <w:t>T-Mobile</w:t>
                            </w:r>
                            <w:proofErr w:type="gramEnd"/>
                            <w:r w:rsidR="00FD0AA3">
                              <w:rPr>
                                <w:color w:val="000000"/>
                                <w:sz w:val="19"/>
                                <w:szCs w:val="19"/>
                              </w:rPr>
                              <w:t xml:space="preserve"> </w:t>
                            </w:r>
                            <w:r w:rsidR="00FD0AA3">
                              <w:rPr>
                                <w:color w:val="000000"/>
                                <w:sz w:val="19"/>
                                <w:szCs w:val="19"/>
                                <w:lang w:val="en-US" w:eastAsia="en-US" w:bidi="en-US"/>
                              </w:rPr>
                              <w:t xml:space="preserve">Czech Republic </w:t>
                            </w:r>
                            <w:r w:rsidR="00FD0AA3">
                              <w:rPr>
                                <w:color w:val="000000"/>
                                <w:sz w:val="19"/>
                                <w:szCs w:val="19"/>
                              </w:rPr>
                              <w:t>a.s.</w:t>
                            </w:r>
                          </w:p>
                        </w:txbxContent>
                      </wps:txbx>
                      <wps:bodyPr lIns="0" tIns="0" rIns="0" bIns="0">
                        <a:noAutofit/>
                      </wps:bodyPr>
                    </wps:wsp>
                  </a:graphicData>
                </a:graphic>
                <wp14:sizeRelV relativeFrom="margin">
                  <wp14:pctHeight>0</wp14:pctHeight>
                </wp14:sizeRelV>
              </wp:anchor>
            </w:drawing>
          </mc:Choice>
          <mc:Fallback>
            <w:pict>
              <v:shape w14:anchorId="0ACD53EA" id="Shape 383" o:spid="_x0000_s1067" type="#_x0000_t202" style="position:absolute;margin-left:307.5pt;margin-top:180.9pt;width:140.85pt;height:45.75pt;z-index:2516797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" filled="f" stroked="f">
                <v:textbox inset="0,0,0,0">
                  <w:txbxContent>
                    <w:p w:rsidR="00215B20" w:rsidRDefault="00920265">
                      <w:pPr>
                        <w:pStyle w:val="Titulekobrzku0"/>
                        <w:shd w:val="clear" w:color="auto" w:fill="auto"/>
                        <w:spacing w:line="240" w:lineRule="auto"/>
                        <w:ind w:firstLine="0"/>
                        <w:rPr>
                          <w:sz w:val="19"/>
                          <w:szCs w:val="19"/>
                        </w:rPr>
                      </w:pPr>
                      <w:r>
                        <w:rPr>
                          <w:color w:val="000000"/>
                          <w:sz w:val="19"/>
                          <w:szCs w:val="19"/>
                        </w:rPr>
                        <w:t xml:space="preserve">Jose Severino Perdomo Lorenzo </w:t>
                      </w:r>
                      <w:r w:rsidR="00FD0AA3">
                        <w:rPr>
                          <w:color w:val="000000"/>
                          <w:sz w:val="19"/>
                          <w:szCs w:val="19"/>
                        </w:rPr>
                        <w:t xml:space="preserve">za </w:t>
                      </w:r>
                      <w:proofErr w:type="gramStart"/>
                      <w:r w:rsidR="00FD0AA3">
                        <w:rPr>
                          <w:color w:val="000000"/>
                          <w:sz w:val="19"/>
                          <w:szCs w:val="19"/>
                        </w:rPr>
                        <w:t>T-Mobile</w:t>
                      </w:r>
                      <w:proofErr w:type="gramEnd"/>
                      <w:r w:rsidR="00FD0AA3">
                        <w:rPr>
                          <w:color w:val="000000"/>
                          <w:sz w:val="19"/>
                          <w:szCs w:val="19"/>
                        </w:rPr>
                        <w:t xml:space="preserve"> </w:t>
                      </w:r>
                      <w:r w:rsidR="00FD0AA3">
                        <w:rPr>
                          <w:color w:val="000000"/>
                          <w:sz w:val="19"/>
                          <w:szCs w:val="19"/>
                          <w:lang w:val="en-US" w:eastAsia="en-US" w:bidi="en-US"/>
                        </w:rPr>
                        <w:t xml:space="preserve">Czech Republic </w:t>
                      </w:r>
                      <w:r w:rsidR="00FD0AA3">
                        <w:rPr>
                          <w:color w:val="000000"/>
                          <w:sz w:val="19"/>
                          <w:szCs w:val="19"/>
                        </w:rPr>
                        <w:t>a.s.</w:t>
                      </w:r>
                    </w:p>
                  </w:txbxContent>
                </v:textbox>
                <w10:wrap anchorx="page"/>
              </v:shape>
            </w:pict>
          </mc:Fallback>
        </mc:AlternateContent>
      </w:r>
      <w:r w:rsidR="00FD0AA3">
        <w:rPr>
          <w:i w:val="0"/>
          <w:iCs w:val="0"/>
          <w:color w:val="000000"/>
          <w:sz w:val="19"/>
          <w:szCs w:val="19"/>
        </w:rPr>
        <w:t xml:space="preserve">Podepisování pověřeného zaměstnance se děje tak, že k napsané nebo vytištěné obchodní firmě Společnosti či otisku razítka </w:t>
      </w:r>
      <w:r w:rsidR="00FD0AA3">
        <w:rPr>
          <w:i w:val="0"/>
          <w:iCs w:val="0"/>
          <w:color w:val="000000"/>
          <w:sz w:val="19"/>
          <w:szCs w:val="19"/>
        </w:rPr>
        <w:t>Společnosti připojí pověřený zaměstnanec svůj podpis.</w:t>
      </w:r>
    </w:p>
    <w:p w:rsidR="00215B20" w:rsidRPr="00920265" w:rsidRDefault="00920265" w:rsidP="00920265">
      <w:pPr>
        <w:pStyle w:val="Zkladntext50"/>
        <w:shd w:val="clear" w:color="auto" w:fill="auto"/>
        <w:spacing w:after="0" w:line="360" w:lineRule="auto"/>
        <w:ind w:left="0" w:firstLine="0"/>
        <w:rPr>
          <w:sz w:val="19"/>
          <w:szCs w:val="19"/>
        </w:rPr>
        <w:sectPr w:rsidR="00215B20" w:rsidRPr="00920265">
          <w:type w:val="continuous"/>
          <w:pgSz w:w="11900" w:h="16840"/>
          <w:pgMar w:top="362" w:right="929" w:bottom="1464" w:left="439" w:header="0" w:footer="3" w:gutter="0"/>
          <w:cols w:space="720"/>
          <w:noEndnote/>
          <w:docGrid w:linePitch="360"/>
        </w:sectPr>
      </w:pPr>
      <w:r>
        <w:rPr>
          <w:noProof/>
          <w:lang w:bidi="ar-SA"/>
        </w:rPr>
        <mc:AlternateContent>
          <mc:Choice Requires="wps">
            <w:drawing>
              <wp:anchor distT="0" distB="0" distL="0" distR="0" simplePos="0" relativeHeight="251681792" behindDoc="0" locked="0" layoutInCell="1" allowOverlap="1" wp14:anchorId="4170BC04" wp14:editId="1CE9C284">
                <wp:simplePos x="0" y="0"/>
                <wp:positionH relativeFrom="page">
                  <wp:posOffset>3841115</wp:posOffset>
                </wp:positionH>
                <wp:positionV relativeFrom="paragraph">
                  <wp:posOffset>2886075</wp:posOffset>
                </wp:positionV>
                <wp:extent cx="1788795" cy="581025"/>
                <wp:effectExtent l="0" t="0" r="0" b="0"/>
                <wp:wrapNone/>
                <wp:docPr id="3" name="Shape 383"/>
                <wp:cNvGraphicFramePr/>
                <a:graphic xmlns:a="http://schemas.openxmlformats.org/drawingml/2006/main">
                  <a:graphicData uri="http://schemas.microsoft.com/office/word/2010/wordprocessingShape">
                    <wps:wsp>
                      <wps:cNvSpPr txBox="1"/>
                      <wps:spPr>
                        <a:xfrm>
                          <a:off x="0" y="0"/>
                          <a:ext cx="1788795" cy="581025"/>
                        </a:xfrm>
                        <a:prstGeom prst="rect">
                          <a:avLst/>
                        </a:prstGeom>
                        <a:noFill/>
                      </wps:spPr>
                      <wps:txbx>
                        <w:txbxContent>
                          <w:p w:rsidR="00920265" w:rsidRDefault="00920265" w:rsidP="00920265">
                            <w:pPr>
                              <w:pStyle w:val="Titulekobrzku0"/>
                              <w:shd w:val="clear" w:color="auto" w:fill="auto"/>
                              <w:spacing w:line="240" w:lineRule="auto"/>
                              <w:ind w:firstLine="0"/>
                              <w:rPr>
                                <w:sz w:val="19"/>
                                <w:szCs w:val="19"/>
                              </w:rPr>
                            </w:pPr>
                            <w:r>
                              <w:rPr>
                                <w:color w:val="000000"/>
                                <w:sz w:val="19"/>
                                <w:szCs w:val="19"/>
                              </w:rPr>
                              <w:t>Štěpán Čekal</w:t>
                            </w:r>
                          </w:p>
                        </w:txbxContent>
                      </wps:txbx>
                      <wps:bodyPr lIns="0" tIns="0" rIns="0" bIns="0">
                        <a:noAutofit/>
                      </wps:bodyPr>
                    </wps:wsp>
                  </a:graphicData>
                </a:graphic>
                <wp14:sizeRelV relativeFrom="margin">
                  <wp14:pctHeight>0</wp14:pctHeight>
                </wp14:sizeRelV>
              </wp:anchor>
            </w:drawing>
          </mc:Choice>
          <mc:Fallback>
            <w:pict>
              <v:shape w14:anchorId="4170BC04" id="_x0000_s1068" type="#_x0000_t202" style="position:absolute;margin-left:302.45pt;margin-top:227.25pt;width:140.85pt;height:45.75pt;z-index:2516817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" filled="f" stroked="f">
                <v:textbox inset="0,0,0,0">
                  <w:txbxContent>
                    <w:p w:rsidR="00920265" w:rsidRDefault="00920265" w:rsidP="00920265">
                      <w:pPr>
                        <w:pStyle w:val="Titulekobrzku0"/>
                        <w:shd w:val="clear" w:color="auto" w:fill="auto"/>
                        <w:spacing w:line="240" w:lineRule="auto"/>
                        <w:ind w:firstLine="0"/>
                        <w:rPr>
                          <w:sz w:val="19"/>
                          <w:szCs w:val="19"/>
                        </w:rPr>
                      </w:pPr>
                      <w:r>
                        <w:rPr>
                          <w:color w:val="000000"/>
                          <w:sz w:val="19"/>
                          <w:szCs w:val="19"/>
                        </w:rPr>
                        <w:t>Štěpán Čekal</w:t>
                      </w:r>
                    </w:p>
                  </w:txbxContent>
                </v:textbox>
                <w10:wrap anchorx="page"/>
              </v:shape>
            </w:pict>
          </mc:Fallback>
        </mc:AlternateContent>
      </w:r>
      <w:r w:rsidR="00FD0AA3">
        <w:rPr>
          <w:noProof/>
          <w:lang w:bidi="ar-SA"/>
        </w:rPr>
        <mc:AlternateContent>
          <mc:Choice Requires="wps">
            <w:drawing>
              <wp:anchor distT="779145" distB="2425065" distL="0" distR="0" simplePos="0" relativeHeight="125829425" behindDoc="0" locked="0" layoutInCell="1" allowOverlap="1" wp14:anchorId="4ED80C5B" wp14:editId="515EE70F">
                <wp:simplePos x="0" y="0"/>
                <wp:positionH relativeFrom="page">
                  <wp:posOffset>292100</wp:posOffset>
                </wp:positionH>
                <wp:positionV relativeFrom="paragraph">
                  <wp:posOffset>779145</wp:posOffset>
                </wp:positionV>
                <wp:extent cx="1783080" cy="198755"/>
                <wp:effectExtent l="0" t="0" r="0" b="0"/>
                <wp:wrapTopAndBottom/>
                <wp:docPr id="379" name="Shape 379"/>
                <wp:cNvGraphicFramePr/>
                <a:graphic xmlns:a="http://schemas.openxmlformats.org/drawingml/2006/main">
                  <a:graphicData uri="http://schemas.microsoft.com/office/word/2010/wordprocessingShape">
                    <wps:wsp>
                      <wps:cNvSpPr txBox="1"/>
                      <wps:spPr>
                        <a:xfrm>
                          <a:off x="0" y="0"/>
                          <a:ext cx="1783080" cy="198755"/>
                        </a:xfrm>
                        <a:prstGeom prst="rect">
                          <a:avLst/>
                        </a:prstGeom>
                        <a:noFill/>
                      </wps:spPr>
                      <wps:txbx>
                        <w:txbxContent>
                          <w:p w:rsidR="00215B20" w:rsidRDefault="00FD0AA3">
                            <w:pPr>
                              <w:pStyle w:val="Zkladntext50"/>
                              <w:shd w:val="clear" w:color="auto" w:fill="auto"/>
                              <w:tabs>
                                <w:tab w:val="left" w:pos="1965"/>
                                <w:tab w:val="left" w:leader="dot" w:pos="2273"/>
                              </w:tabs>
                              <w:spacing w:after="0"/>
                              <w:ind w:left="0" w:firstLine="0"/>
                              <w:rPr>
                                <w:sz w:val="19"/>
                                <w:szCs w:val="19"/>
                              </w:rPr>
                            </w:pPr>
                            <w:r>
                              <w:rPr>
                                <w:i w:val="0"/>
                                <w:iCs w:val="0"/>
                                <w:color w:val="000000"/>
                                <w:sz w:val="19"/>
                                <w:szCs w:val="19"/>
                              </w:rPr>
                              <w:t>V Praze, dne</w:t>
                            </w:r>
                            <w:r w:rsidR="00920265">
                              <w:rPr>
                                <w:i w:val="0"/>
                                <w:iCs w:val="0"/>
                                <w:color w:val="000000"/>
                                <w:sz w:val="19"/>
                                <w:szCs w:val="19"/>
                              </w:rPr>
                              <w:t xml:space="preserve"> 13. 1. </w:t>
                            </w:r>
                            <w:r>
                              <w:rPr>
                                <w:i w:val="0"/>
                                <w:iCs w:val="0"/>
                                <w:color w:val="000000"/>
                                <w:sz w:val="19"/>
                                <w:szCs w:val="19"/>
                              </w:rPr>
                              <w:t>2021</w:t>
                            </w:r>
                          </w:p>
                        </w:txbxContent>
                      </wps:txbx>
                      <wps:bodyPr wrap="none" lIns="0" tIns="0" rIns="0" bIns="0"/>
                    </wps:wsp>
                  </a:graphicData>
                </a:graphic>
              </wp:anchor>
            </w:drawing>
          </mc:Choice>
          <mc:Fallback>
            <w:pict>
              <v:shape w14:anchorId="4ED80C5B" id="Shape 379" o:spid="_x0000_s1069" type="#_x0000_t202" style="position:absolute;margin-left:23pt;margin-top:61.35pt;width:140.4pt;height:15.65pt;z-index:125829425;visibility:visible;mso-wrap-style:none;mso-wrap-distance-left:0;mso-wrap-distance-top:61.35pt;mso-wrap-distance-right:0;mso-wrap-distance-bottom:190.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" filled="f" stroked="f">
                <v:textbox inset="0,0,0,0">
                  <w:txbxContent>
                    <w:p w:rsidR="00215B20" w:rsidRDefault="00FD0AA3">
                      <w:pPr>
                        <w:pStyle w:val="Zkladntext50"/>
                        <w:shd w:val="clear" w:color="auto" w:fill="auto"/>
                        <w:tabs>
                          <w:tab w:val="left" w:pos="1965"/>
                          <w:tab w:val="left" w:leader="dot" w:pos="2273"/>
                        </w:tabs>
                        <w:spacing w:after="0"/>
                        <w:ind w:left="0" w:firstLine="0"/>
                        <w:rPr>
                          <w:sz w:val="19"/>
                          <w:szCs w:val="19"/>
                        </w:rPr>
                      </w:pPr>
                      <w:r>
                        <w:rPr>
                          <w:i w:val="0"/>
                          <w:iCs w:val="0"/>
                          <w:color w:val="000000"/>
                          <w:sz w:val="19"/>
                          <w:szCs w:val="19"/>
                        </w:rPr>
                        <w:t>V Praze, dne</w:t>
                      </w:r>
                      <w:r w:rsidR="00920265">
                        <w:rPr>
                          <w:i w:val="0"/>
                          <w:iCs w:val="0"/>
                          <w:color w:val="000000"/>
                          <w:sz w:val="19"/>
                          <w:szCs w:val="19"/>
                        </w:rPr>
                        <w:t xml:space="preserve"> 13. 1. </w:t>
                      </w:r>
                      <w:r>
                        <w:rPr>
                          <w:i w:val="0"/>
                          <w:iCs w:val="0"/>
                          <w:color w:val="000000"/>
                          <w:sz w:val="19"/>
                          <w:szCs w:val="19"/>
                        </w:rPr>
                        <w:t>2021</w:t>
                      </w:r>
                    </w:p>
                  </w:txbxContent>
                </v:textbox>
                <w10:wrap type="topAndBottom" anchorx="page"/>
              </v:shape>
            </w:pict>
          </mc:Fallback>
        </mc:AlternateContent>
      </w:r>
      <w:r w:rsidR="00FD0AA3">
        <w:rPr>
          <w:noProof/>
          <w:lang w:bidi="ar-SA"/>
        </w:rPr>
        <mc:AlternateContent>
          <mc:Choice Requires="wps">
            <w:drawing>
              <wp:anchor distT="2675255" distB="556260" distL="0" distR="0" simplePos="0" relativeHeight="125829428" behindDoc="0" locked="0" layoutInCell="1" allowOverlap="1" wp14:anchorId="40D308C9" wp14:editId="7B04D4CB">
                <wp:simplePos x="0" y="0"/>
                <wp:positionH relativeFrom="page">
                  <wp:posOffset>298450</wp:posOffset>
                </wp:positionH>
                <wp:positionV relativeFrom="paragraph">
                  <wp:posOffset>2675255</wp:posOffset>
                </wp:positionV>
                <wp:extent cx="1345565" cy="171450"/>
                <wp:effectExtent l="0" t="0" r="0" b="0"/>
                <wp:wrapTopAndBottom/>
                <wp:docPr id="385" name="Shape 385"/>
                <wp:cNvGraphicFramePr/>
                <a:graphic xmlns:a="http://schemas.openxmlformats.org/drawingml/2006/main">
                  <a:graphicData uri="http://schemas.microsoft.com/office/word/2010/wordprocessingShape">
                    <wps:wsp>
                      <wps:cNvSpPr txBox="1"/>
                      <wps:spPr>
                        <a:xfrm>
                          <a:off x="0" y="0"/>
                          <a:ext cx="1345565" cy="171450"/>
                        </a:xfrm>
                        <a:prstGeom prst="rect">
                          <a:avLst/>
                        </a:prstGeom>
                        <a:noFill/>
                      </wps:spPr>
                      <wps:txbx>
                        <w:txbxContent>
                          <w:p w:rsidR="00215B20" w:rsidRDefault="00FD0AA3">
                            <w:pPr>
                              <w:pStyle w:val="Zkladntext50"/>
                              <w:shd w:val="clear" w:color="auto" w:fill="auto"/>
                              <w:spacing w:after="0"/>
                              <w:ind w:left="0" w:firstLine="0"/>
                              <w:rPr>
                                <w:sz w:val="19"/>
                                <w:szCs w:val="19"/>
                              </w:rPr>
                            </w:pPr>
                            <w:r>
                              <w:rPr>
                                <w:i w:val="0"/>
                                <w:iCs w:val="0"/>
                                <w:color w:val="000000"/>
                                <w:sz w:val="19"/>
                                <w:szCs w:val="19"/>
                              </w:rPr>
                              <w:t>Toto pověření přijímám:</w:t>
                            </w:r>
                          </w:p>
                        </w:txbxContent>
                      </wps:txbx>
                      <wps:bodyPr wrap="none" lIns="0" tIns="0" rIns="0" bIns="0"/>
                    </wps:wsp>
                  </a:graphicData>
                </a:graphic>
              </wp:anchor>
            </w:drawing>
          </mc:Choice>
          <mc:Fallback>
            <w:pict>
              <v:shape w14:anchorId="40D308C9" id="Shape 385" o:spid="_x0000_s1070" type="#_x0000_t202" style="position:absolute;margin-left:23.5pt;margin-top:210.65pt;width:105.95pt;height:13.5pt;z-index:125829428;visibility:visible;mso-wrap-style:none;mso-wrap-distance-left:0;mso-wrap-distance-top:210.65pt;mso-wrap-distance-right:0;mso-wrap-distance-bottom:4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" filled="f" stroked="f">
                <v:textbox inset="0,0,0,0">
                  <w:txbxContent>
                    <w:p w:rsidR="00215B20" w:rsidRDefault="00FD0AA3">
                      <w:pPr>
                        <w:pStyle w:val="Zkladntext50"/>
                        <w:shd w:val="clear" w:color="auto" w:fill="auto"/>
                        <w:spacing w:after="0"/>
                        <w:ind w:left="0" w:firstLine="0"/>
                        <w:rPr>
                          <w:sz w:val="19"/>
                          <w:szCs w:val="19"/>
                        </w:rPr>
                      </w:pPr>
                      <w:r>
                        <w:rPr>
                          <w:i w:val="0"/>
                          <w:iCs w:val="0"/>
                          <w:color w:val="000000"/>
                          <w:sz w:val="19"/>
                          <w:szCs w:val="19"/>
                        </w:rPr>
                        <w:t>Toto pověření přijímám:</w:t>
                      </w:r>
                    </w:p>
                  </w:txbxContent>
                </v:textbox>
                <w10:wrap type="topAndBottom" anchorx="page"/>
              </v:shape>
            </w:pict>
          </mc:Fallback>
        </mc:AlternateContent>
      </w:r>
    </w:p>
    <w:p w:rsidR="00215B20" w:rsidRDefault="00215B20" w:rsidP="00920265">
      <w:pPr>
        <w:spacing w:line="360" w:lineRule="exact"/>
      </w:pPr>
    </w:p>
    <w:sectPr w:rsidR="00215B20">
      <w:headerReference w:type="even" r:id="rId156"/>
      <w:headerReference w:type="default" r:id="rId157"/>
      <w:footerReference w:type="even" r:id="rId158"/>
      <w:footerReference w:type="default" r:id="rId159"/>
      <w:pgSz w:w="11900" w:h="16840"/>
      <w:pgMar w:top="1498" w:right="1481" w:bottom="1498" w:left="963" w:header="1070" w:footer="107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AA3" w:rsidRDefault="00FD0AA3">
      <w:r>
        <w:separator/>
      </w:r>
    </w:p>
  </w:endnote>
  <w:endnote w:type="continuationSeparator" w:id="0">
    <w:p w:rsidR="00FD0AA3" w:rsidRDefault="00FD0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Medium Cond">
    <w:panose1 w:val="020B06060304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01" behindDoc="1" locked="0" layoutInCell="1" allowOverlap="1">
              <wp:simplePos x="0" y="0"/>
              <wp:positionH relativeFrom="page">
                <wp:posOffset>6202045</wp:posOffset>
              </wp:positionH>
              <wp:positionV relativeFrom="page">
                <wp:posOffset>10226040</wp:posOffset>
              </wp:positionV>
              <wp:extent cx="624840" cy="64135"/>
              <wp:effectExtent l="0" t="0" r="0" b="0"/>
              <wp:wrapNone/>
              <wp:docPr id="39" name="Shape 39"/>
              <wp:cNvGraphicFramePr/>
              <a:graphic xmlns:a="http://schemas.openxmlformats.org/drawingml/2006/main">
                <a:graphicData uri="http://schemas.microsoft.com/office/word/2010/wordprocessingShape">
                  <wps:wsp>
                    <wps:cNvSpPr txBox="1"/>
                    <wps:spPr>
                      <a:xfrm>
                        <a:off x="0" y="0"/>
                        <a:ext cx="624840" cy="64135"/>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6</w:t>
                          </w:r>
                          <w:r>
                            <w:rPr>
                              <w:rFonts w:ascii="Arial" w:eastAsia="Arial" w:hAnsi="Arial" w:cs="Arial"/>
                              <w:color w:val="231F20"/>
                              <w:sz w:val="13"/>
                              <w:szCs w:val="13"/>
                            </w:rPr>
                            <w:fldChar w:fldCharType="end"/>
                          </w:r>
                          <w:r>
                            <w:rPr>
                              <w:rFonts w:ascii="Arial" w:eastAsia="Arial" w:hAnsi="Arial" w:cs="Arial"/>
                              <w:color w:val="231F20"/>
                              <w:sz w:val="13"/>
                              <w:szCs w:val="13"/>
                            </w:rPr>
                            <w:t>/6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 o:spid="_x0000_s1075" type="#_x0000_t202" style="position:absolute;margin-left:488.35pt;margin-top:805.2pt;width:49.2pt;height:5.05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6</w:t>
                    </w:r>
                    <w:r>
                      <w:rPr>
                        <w:rFonts w:ascii="Arial" w:eastAsia="Arial" w:hAnsi="Arial" w:cs="Arial"/>
                        <w:color w:val="231F20"/>
                        <w:sz w:val="13"/>
                        <w:szCs w:val="13"/>
                      </w:rPr>
                      <w:fldChar w:fldCharType="end"/>
                    </w:r>
                    <w:r>
                      <w:rPr>
                        <w:rFonts w:ascii="Arial" w:eastAsia="Arial" w:hAnsi="Arial" w:cs="Arial"/>
                        <w:color w:val="231F20"/>
                        <w:sz w:val="13"/>
                        <w:szCs w:val="13"/>
                      </w:rPr>
                      <w:t>/6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38" behindDoc="1" locked="0" layoutInCell="1" allowOverlap="1">
              <wp:simplePos x="0" y="0"/>
              <wp:positionH relativeFrom="page">
                <wp:posOffset>716280</wp:posOffset>
              </wp:positionH>
              <wp:positionV relativeFrom="page">
                <wp:posOffset>10253345</wp:posOffset>
              </wp:positionV>
              <wp:extent cx="4550410" cy="204470"/>
              <wp:effectExtent l="0" t="0" r="0" b="0"/>
              <wp:wrapNone/>
              <wp:docPr id="88" name="Shape 88"/>
              <wp:cNvGraphicFramePr/>
              <a:graphic xmlns:a="http://schemas.openxmlformats.org/drawingml/2006/main">
                <a:graphicData uri="http://schemas.microsoft.com/office/word/2010/wordprocessingShape">
                  <wps:wsp>
                    <wps:cNvSpPr txBox="1"/>
                    <wps:spPr>
                      <a:xfrm>
                        <a:off x="0" y="0"/>
                        <a:ext cx="4550410" cy="20447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T-Mobile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 xml:space="preserve">a.s., Tomíčkova 2144/1, 14800 Praha 4,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IČ:64949681, DIČ: CZ64949681</w:t>
                          </w:r>
                        </w:p>
                        <w:p w:rsidR="00215B20" w:rsidRDefault="00FD0AA3">
                          <w:pPr>
                            <w:pStyle w:val="Zhlavnebozpat20"/>
                            <w:shd w:val="clear" w:color="auto" w:fill="auto"/>
                            <w:rPr>
                              <w:sz w:val="13"/>
                              <w:szCs w:val="13"/>
                            </w:rPr>
                          </w:pPr>
                          <w:r>
                            <w:rPr>
                              <w:rFonts w:ascii="Arial" w:eastAsia="Arial" w:hAnsi="Arial" w:cs="Arial"/>
                              <w:color w:val="231F20"/>
                              <w:sz w:val="13"/>
                              <w:szCs w:val="13"/>
                            </w:rPr>
                            <w:t xml:space="preserve">Zapsaná </w:t>
                          </w:r>
                          <w:r>
                            <w:rPr>
                              <w:rFonts w:ascii="Arial" w:eastAsia="Arial" w:hAnsi="Arial" w:cs="Arial"/>
                              <w:color w:val="231F20"/>
                              <w:sz w:val="13"/>
                              <w:szCs w:val="13"/>
                              <w:lang w:val="en-US" w:eastAsia="en-US" w:bidi="en-US"/>
                            </w:rPr>
                            <w:t xml:space="preserve">do OR </w:t>
                          </w:r>
                          <w:r>
                            <w:rPr>
                              <w:rFonts w:ascii="Arial" w:eastAsia="Arial" w:hAnsi="Arial" w:cs="Arial"/>
                              <w:color w:val="231F20"/>
                              <w:sz w:val="13"/>
                              <w:szCs w:val="13"/>
                            </w:rPr>
                            <w:t xml:space="preserve">u </w:t>
                          </w:r>
                          <w:r>
                            <w:rPr>
                              <w:rFonts w:ascii="Arial" w:eastAsia="Arial" w:hAnsi="Arial" w:cs="Arial"/>
                              <w:color w:val="231F20"/>
                              <w:sz w:val="13"/>
                              <w:szCs w:val="13"/>
                            </w:rPr>
                            <w:t xml:space="preserve">Městského soudu v </w:t>
                          </w:r>
                          <w:proofErr w:type="gramStart"/>
                          <w:r>
                            <w:rPr>
                              <w:rFonts w:ascii="Arial" w:eastAsia="Arial" w:hAnsi="Arial" w:cs="Arial"/>
                              <w:color w:val="231F20"/>
                              <w:sz w:val="13"/>
                              <w:szCs w:val="13"/>
                            </w:rPr>
                            <w:t>Praze, B.3787</w:t>
                          </w:r>
                          <w:proofErr w:type="gramEnd"/>
                          <w:r>
                            <w:rPr>
                              <w:rFonts w:ascii="Arial" w:eastAsia="Arial" w:hAnsi="Arial" w:cs="Arial"/>
                              <w:color w:val="231F20"/>
                              <w:sz w:val="13"/>
                              <w:szCs w:val="13"/>
                            </w:rPr>
                            <w:t>,</w:t>
                          </w:r>
                        </w:p>
                      </w:txbxContent>
                    </wps:txbx>
                    <wps:bodyPr wrap="none" lIns="0" tIns="0" rIns="0" bIns="0">
                      <a:spAutoFit/>
                    </wps:bodyPr>
                  </wps:wsp>
                </a:graphicData>
              </a:graphic>
            </wp:anchor>
          </w:drawing>
        </mc:Choice>
        <mc:Fallback>
          <w:pict>
            <v:shape id="_x0000_s1114" type="#_x0000_t202" style="position:absolute;margin-left:56.399999999999999pt;margin-top:807.35000000000002pt;width:358.30000000000001pt;height:16.100000000000001pt;z-index:-18874401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T-Mobile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 xml:space="preserve">a.s., Tomíčkova 2144/1, 14800 Praha 4,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Zapsaná </w:t>
                    </w:r>
                    <w:r>
                      <w:rPr>
                        <w:rFonts w:ascii="Arial" w:eastAsia="Arial" w:hAnsi="Arial" w:cs="Arial"/>
                        <w:color w:val="231F20"/>
                        <w:spacing w:val="0"/>
                        <w:w w:val="100"/>
                        <w:position w:val="0"/>
                        <w:sz w:val="13"/>
                        <w:szCs w:val="13"/>
                        <w:shd w:val="clear" w:color="auto" w:fill="auto"/>
                        <w:lang w:val="en-US" w:eastAsia="en-US" w:bidi="en-US"/>
                      </w:rPr>
                      <w:t xml:space="preserve">do OR </w:t>
                    </w:r>
                    <w:r>
                      <w:rPr>
                        <w:rFonts w:ascii="Arial" w:eastAsia="Arial" w:hAnsi="Arial" w:cs="Arial"/>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40" behindDoc="1" locked="0" layoutInCell="1" allowOverlap="1">
              <wp:simplePos x="0" y="0"/>
              <wp:positionH relativeFrom="page">
                <wp:posOffset>6156960</wp:posOffset>
              </wp:positionH>
              <wp:positionV relativeFrom="page">
                <wp:posOffset>10271125</wp:posOffset>
              </wp:positionV>
              <wp:extent cx="670560" cy="167640"/>
              <wp:effectExtent l="0" t="0" r="0" b="0"/>
              <wp:wrapNone/>
              <wp:docPr id="90" name="Shape 90"/>
              <wp:cNvGraphicFramePr/>
              <a:graphic xmlns:a="http://schemas.openxmlformats.org/drawingml/2006/main">
                <a:graphicData uri="http://schemas.microsoft.com/office/word/2010/wordprocessingShape">
                  <wps:wsp>
                    <wps:cNvSpPr txBox="1"/>
                    <wps:spPr>
                      <a:xfrm>
                        <a:off x="0" y="0"/>
                        <a:ext cx="670560" cy="16764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6</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rPr>
                            <w:t>ver. OTP 201606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0" o:spid="_x0000_s1093" type="#_x0000_t202" style="position:absolute;margin-left:484.8pt;margin-top:808.75pt;width:52.8pt;height:13.2pt;z-index:-4404017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6</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rPr>
                      <w:t>ver. OTP 201606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30" behindDoc="1" locked="0" layoutInCell="1" allowOverlap="1">
              <wp:simplePos x="0" y="0"/>
              <wp:positionH relativeFrom="page">
                <wp:posOffset>716280</wp:posOffset>
              </wp:positionH>
              <wp:positionV relativeFrom="page">
                <wp:posOffset>10253345</wp:posOffset>
              </wp:positionV>
              <wp:extent cx="4550410" cy="204470"/>
              <wp:effectExtent l="0" t="0" r="0" b="0"/>
              <wp:wrapNone/>
              <wp:docPr id="78" name="Shape 78"/>
              <wp:cNvGraphicFramePr/>
              <a:graphic xmlns:a="http://schemas.openxmlformats.org/drawingml/2006/main">
                <a:graphicData uri="http://schemas.microsoft.com/office/word/2010/wordprocessingShape">
                  <wps:wsp>
                    <wps:cNvSpPr txBox="1"/>
                    <wps:spPr>
                      <a:xfrm>
                        <a:off x="0" y="0"/>
                        <a:ext cx="4550410" cy="20447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T-Mobile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 xml:space="preserve">a.s., Tomíčkova 2144/1, 14800 Praha 4,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IČ:64949681, DIČ: CZ64949681</w:t>
                          </w:r>
                        </w:p>
                        <w:p w:rsidR="00215B20" w:rsidRDefault="00FD0AA3">
                          <w:pPr>
                            <w:pStyle w:val="Zhlavnebozpat20"/>
                            <w:shd w:val="clear" w:color="auto" w:fill="auto"/>
                            <w:rPr>
                              <w:sz w:val="13"/>
                              <w:szCs w:val="13"/>
                            </w:rPr>
                          </w:pPr>
                          <w:r>
                            <w:rPr>
                              <w:rFonts w:ascii="Arial" w:eastAsia="Arial" w:hAnsi="Arial" w:cs="Arial"/>
                              <w:color w:val="231F20"/>
                              <w:sz w:val="13"/>
                              <w:szCs w:val="13"/>
                            </w:rPr>
                            <w:t xml:space="preserve">Zapsaná </w:t>
                          </w:r>
                          <w:r>
                            <w:rPr>
                              <w:rFonts w:ascii="Arial" w:eastAsia="Arial" w:hAnsi="Arial" w:cs="Arial"/>
                              <w:color w:val="231F20"/>
                              <w:sz w:val="13"/>
                              <w:szCs w:val="13"/>
                              <w:lang w:val="en-US" w:eastAsia="en-US" w:bidi="en-US"/>
                            </w:rPr>
                            <w:t xml:space="preserve">do OR </w:t>
                          </w:r>
                          <w:r>
                            <w:rPr>
                              <w:rFonts w:ascii="Arial" w:eastAsia="Arial" w:hAnsi="Arial" w:cs="Arial"/>
                              <w:color w:val="231F20"/>
                              <w:sz w:val="13"/>
                              <w:szCs w:val="13"/>
                            </w:rPr>
                            <w:t xml:space="preserve">u Městského soudu v </w:t>
                          </w:r>
                          <w:proofErr w:type="gramStart"/>
                          <w:r>
                            <w:rPr>
                              <w:rFonts w:ascii="Arial" w:eastAsia="Arial" w:hAnsi="Arial" w:cs="Arial"/>
                              <w:color w:val="231F20"/>
                              <w:sz w:val="13"/>
                              <w:szCs w:val="13"/>
                            </w:rPr>
                            <w:t>Praze, B.3787</w:t>
                          </w:r>
                          <w:proofErr w:type="gramEnd"/>
                          <w:r>
                            <w:rPr>
                              <w:rFonts w:ascii="Arial" w:eastAsia="Arial" w:hAnsi="Arial" w:cs="Arial"/>
                              <w:color w:val="231F20"/>
                              <w:sz w:val="13"/>
                              <w:szCs w:val="13"/>
                            </w:rPr>
                            <w:t>,</w:t>
                          </w:r>
                        </w:p>
                      </w:txbxContent>
                    </wps:txbx>
                    <wps:bodyPr wrap="none" lIns="0" tIns="0" rIns="0" bIns="0">
                      <a:spAutoFit/>
                    </wps:bodyPr>
                  </wps:wsp>
                </a:graphicData>
              </a:graphic>
            </wp:anchor>
          </w:drawing>
        </mc:Choice>
        <mc:Fallback>
          <w:pict>
            <v:shape id="_x0000_s1104" type="#_x0000_t202" style="position:absolute;margin-left:56.399999999999999pt;margin-top:807.35000000000002pt;width:358.30000000000001pt;height:16.100000000000001pt;z-index:-18874402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T-Mobile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 xml:space="preserve">a.s., Tomíčkova 2144/1, 14800 Praha 4,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Zapsaná </w:t>
                    </w:r>
                    <w:r>
                      <w:rPr>
                        <w:rFonts w:ascii="Arial" w:eastAsia="Arial" w:hAnsi="Arial" w:cs="Arial"/>
                        <w:color w:val="231F20"/>
                        <w:spacing w:val="0"/>
                        <w:w w:val="100"/>
                        <w:position w:val="0"/>
                        <w:sz w:val="13"/>
                        <w:szCs w:val="13"/>
                        <w:shd w:val="clear" w:color="auto" w:fill="auto"/>
                        <w:lang w:val="en-US" w:eastAsia="en-US" w:bidi="en-US"/>
                      </w:rPr>
                      <w:t xml:space="preserve">do OR </w:t>
                    </w:r>
                    <w:r>
                      <w:rPr>
                        <w:rFonts w:ascii="Arial" w:eastAsia="Arial" w:hAnsi="Arial" w:cs="Arial"/>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32" behindDoc="1" locked="0" layoutInCell="1" allowOverlap="1">
              <wp:simplePos x="0" y="0"/>
              <wp:positionH relativeFrom="page">
                <wp:posOffset>6156960</wp:posOffset>
              </wp:positionH>
              <wp:positionV relativeFrom="page">
                <wp:posOffset>10271125</wp:posOffset>
              </wp:positionV>
              <wp:extent cx="670560" cy="167640"/>
              <wp:effectExtent l="0" t="0" r="0" b="0"/>
              <wp:wrapNone/>
              <wp:docPr id="80" name="Shape 80"/>
              <wp:cNvGraphicFramePr/>
              <a:graphic xmlns:a="http://schemas.openxmlformats.org/drawingml/2006/main">
                <a:graphicData uri="http://schemas.microsoft.com/office/word/2010/wordprocessingShape">
                  <wps:wsp>
                    <wps:cNvSpPr txBox="1"/>
                    <wps:spPr>
                      <a:xfrm>
                        <a:off x="0" y="0"/>
                        <a:ext cx="670560" cy="16764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7</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rPr>
                            <w:t>ver. OTP 201606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 o:spid="_x0000_s1095" type="#_x0000_t202" style="position:absolute;margin-left:484.8pt;margin-top:808.75pt;width:52.8pt;height:13.2pt;z-index:-4404017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7</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rPr>
                      <w:t>ver. OTP 201606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46" behindDoc="1" locked="0" layoutInCell="1" allowOverlap="1">
              <wp:simplePos x="0" y="0"/>
              <wp:positionH relativeFrom="page">
                <wp:posOffset>715010</wp:posOffset>
              </wp:positionH>
              <wp:positionV relativeFrom="page">
                <wp:posOffset>10132060</wp:posOffset>
              </wp:positionV>
              <wp:extent cx="4550410" cy="204470"/>
              <wp:effectExtent l="0" t="0" r="0" b="0"/>
              <wp:wrapNone/>
              <wp:docPr id="97" name="Shape 97"/>
              <wp:cNvGraphicFramePr/>
              <a:graphic xmlns:a="http://schemas.openxmlformats.org/drawingml/2006/main">
                <a:graphicData uri="http://schemas.microsoft.com/office/word/2010/wordprocessingShape">
                  <wps:wsp>
                    <wps:cNvSpPr txBox="1"/>
                    <wps:spPr>
                      <a:xfrm>
                        <a:off x="0" y="0"/>
                        <a:ext cx="4550410" cy="20447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T-Mobile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 xml:space="preserve">a.s., Tomíčkova 2144/1, 14800 Praha 4,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 xml:space="preserve">IČ:64949681, DIČ: </w:t>
                          </w:r>
                          <w:r>
                            <w:rPr>
                              <w:rFonts w:ascii="Arial" w:eastAsia="Arial" w:hAnsi="Arial" w:cs="Arial"/>
                              <w:color w:val="231F20"/>
                              <w:sz w:val="13"/>
                              <w:szCs w:val="13"/>
                            </w:rPr>
                            <w:t>CZ64949681</w:t>
                          </w:r>
                        </w:p>
                        <w:p w:rsidR="00215B20" w:rsidRDefault="00FD0AA3">
                          <w:pPr>
                            <w:pStyle w:val="Zhlavnebozpat20"/>
                            <w:shd w:val="clear" w:color="auto" w:fill="auto"/>
                            <w:rPr>
                              <w:sz w:val="13"/>
                              <w:szCs w:val="13"/>
                            </w:rPr>
                          </w:pPr>
                          <w:r>
                            <w:rPr>
                              <w:rFonts w:ascii="Arial" w:eastAsia="Arial" w:hAnsi="Arial" w:cs="Arial"/>
                              <w:color w:val="231F20"/>
                              <w:sz w:val="13"/>
                              <w:szCs w:val="13"/>
                            </w:rPr>
                            <w:t xml:space="preserve">Zapsaná </w:t>
                          </w:r>
                          <w:r>
                            <w:rPr>
                              <w:rFonts w:ascii="Arial" w:eastAsia="Arial" w:hAnsi="Arial" w:cs="Arial"/>
                              <w:color w:val="231F20"/>
                              <w:sz w:val="13"/>
                              <w:szCs w:val="13"/>
                              <w:lang w:val="en-US" w:eastAsia="en-US" w:bidi="en-US"/>
                            </w:rPr>
                            <w:t xml:space="preserve">do OR </w:t>
                          </w:r>
                          <w:r>
                            <w:rPr>
                              <w:rFonts w:ascii="Arial" w:eastAsia="Arial" w:hAnsi="Arial" w:cs="Arial"/>
                              <w:color w:val="231F20"/>
                              <w:sz w:val="13"/>
                              <w:szCs w:val="13"/>
                            </w:rPr>
                            <w:t xml:space="preserve">u Městského soudu v </w:t>
                          </w:r>
                          <w:proofErr w:type="gramStart"/>
                          <w:r>
                            <w:rPr>
                              <w:rFonts w:ascii="Arial" w:eastAsia="Arial" w:hAnsi="Arial" w:cs="Arial"/>
                              <w:color w:val="231F20"/>
                              <w:sz w:val="13"/>
                              <w:szCs w:val="13"/>
                            </w:rPr>
                            <w:t>Praze, B.3787</w:t>
                          </w:r>
                          <w:proofErr w:type="gramEnd"/>
                          <w:r>
                            <w:rPr>
                              <w:rFonts w:ascii="Arial" w:eastAsia="Arial" w:hAnsi="Arial" w:cs="Arial"/>
                              <w:color w:val="231F20"/>
                              <w:sz w:val="13"/>
                              <w:szCs w:val="13"/>
                            </w:rPr>
                            <w:t>,</w:t>
                          </w:r>
                        </w:p>
                      </w:txbxContent>
                    </wps:txbx>
                    <wps:bodyPr wrap="none" lIns="0" tIns="0" rIns="0" bIns="0">
                      <a:spAutoFit/>
                    </wps:bodyPr>
                  </wps:wsp>
                </a:graphicData>
              </a:graphic>
            </wp:anchor>
          </w:drawing>
        </mc:Choice>
        <mc:Fallback>
          <w:pict>
            <v:shape id="_x0000_s1123" type="#_x0000_t202" style="position:absolute;margin-left:56.299999999999997pt;margin-top:797.79999999999995pt;width:358.30000000000001pt;height:16.100000000000001pt;z-index:-18874400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T-Mobile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 xml:space="preserve">a.s., Tomíčkova 2144/1, 14800 Praha 4,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Zapsaná </w:t>
                    </w:r>
                    <w:r>
                      <w:rPr>
                        <w:rFonts w:ascii="Arial" w:eastAsia="Arial" w:hAnsi="Arial" w:cs="Arial"/>
                        <w:color w:val="231F20"/>
                        <w:spacing w:val="0"/>
                        <w:w w:val="100"/>
                        <w:position w:val="0"/>
                        <w:sz w:val="13"/>
                        <w:szCs w:val="13"/>
                        <w:shd w:val="clear" w:color="auto" w:fill="auto"/>
                        <w:lang w:val="en-US" w:eastAsia="en-US" w:bidi="en-US"/>
                      </w:rPr>
                      <w:t xml:space="preserve">do OR </w:t>
                    </w:r>
                    <w:r>
                      <w:rPr>
                        <w:rFonts w:ascii="Arial" w:eastAsia="Arial" w:hAnsi="Arial" w:cs="Arial"/>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48" behindDoc="1" locked="0" layoutInCell="1" allowOverlap="1">
              <wp:simplePos x="0" y="0"/>
              <wp:positionH relativeFrom="page">
                <wp:posOffset>6155690</wp:posOffset>
              </wp:positionH>
              <wp:positionV relativeFrom="page">
                <wp:posOffset>10150475</wp:posOffset>
              </wp:positionV>
              <wp:extent cx="670560" cy="167640"/>
              <wp:effectExtent l="0" t="0" r="0" b="0"/>
              <wp:wrapNone/>
              <wp:docPr id="99" name="Shape 99"/>
              <wp:cNvGraphicFramePr/>
              <a:graphic xmlns:a="http://schemas.openxmlformats.org/drawingml/2006/main">
                <a:graphicData uri="http://schemas.microsoft.com/office/word/2010/wordprocessingShape">
                  <wps:wsp>
                    <wps:cNvSpPr txBox="1"/>
                    <wps:spPr>
                      <a:xfrm>
                        <a:off x="0" y="0"/>
                        <a:ext cx="670560" cy="16764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8</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lang w:val="en-US" w:eastAsia="en-US" w:bidi="en-US"/>
                            </w:rPr>
                            <w:t xml:space="preserve">ver. </w:t>
                          </w:r>
                          <w:r>
                            <w:rPr>
                              <w:rFonts w:ascii="Arial" w:eastAsia="Arial" w:hAnsi="Arial" w:cs="Arial"/>
                              <w:color w:val="231F20"/>
                              <w:sz w:val="13"/>
                              <w:szCs w:val="13"/>
                            </w:rPr>
                            <w:t>OTP 201606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 o:spid="_x0000_s1097" type="#_x0000_t202" style="position:absolute;margin-left:484.7pt;margin-top:799.25pt;width:52.8pt;height:13.2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8</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lang w:val="en-US" w:eastAsia="en-US" w:bidi="en-US"/>
                      </w:rPr>
                      <w:t xml:space="preserve">ver. </w:t>
                    </w:r>
                    <w:r>
                      <w:rPr>
                        <w:rFonts w:ascii="Arial" w:eastAsia="Arial" w:hAnsi="Arial" w:cs="Arial"/>
                        <w:color w:val="231F20"/>
                        <w:sz w:val="13"/>
                        <w:szCs w:val="13"/>
                      </w:rPr>
                      <w:t>OTP 201606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42" behindDoc="1" locked="0" layoutInCell="1" allowOverlap="1">
              <wp:simplePos x="0" y="0"/>
              <wp:positionH relativeFrom="page">
                <wp:posOffset>715010</wp:posOffset>
              </wp:positionH>
              <wp:positionV relativeFrom="page">
                <wp:posOffset>10132060</wp:posOffset>
              </wp:positionV>
              <wp:extent cx="4550410" cy="204470"/>
              <wp:effectExtent l="0" t="0" r="0" b="0"/>
              <wp:wrapNone/>
              <wp:docPr id="93" name="Shape 93"/>
              <wp:cNvGraphicFramePr/>
              <a:graphic xmlns:a="http://schemas.openxmlformats.org/drawingml/2006/main">
                <a:graphicData uri="http://schemas.microsoft.com/office/word/2010/wordprocessingShape">
                  <wps:wsp>
                    <wps:cNvSpPr txBox="1"/>
                    <wps:spPr>
                      <a:xfrm>
                        <a:off x="0" y="0"/>
                        <a:ext cx="4550410" cy="20447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T-Mobile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 xml:space="preserve">a.s., Tomíčkova 2144/1, 14800 Praha 4,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IČ:64949681, DIČ: CZ64949681</w:t>
                          </w:r>
                        </w:p>
                        <w:p w:rsidR="00215B20" w:rsidRDefault="00FD0AA3">
                          <w:pPr>
                            <w:pStyle w:val="Zhlavnebozpat20"/>
                            <w:shd w:val="clear" w:color="auto" w:fill="auto"/>
                            <w:rPr>
                              <w:sz w:val="13"/>
                              <w:szCs w:val="13"/>
                            </w:rPr>
                          </w:pPr>
                          <w:r>
                            <w:rPr>
                              <w:rFonts w:ascii="Arial" w:eastAsia="Arial" w:hAnsi="Arial" w:cs="Arial"/>
                              <w:color w:val="231F20"/>
                              <w:sz w:val="13"/>
                              <w:szCs w:val="13"/>
                            </w:rPr>
                            <w:t xml:space="preserve">Zapsaná </w:t>
                          </w:r>
                          <w:r>
                            <w:rPr>
                              <w:rFonts w:ascii="Arial" w:eastAsia="Arial" w:hAnsi="Arial" w:cs="Arial"/>
                              <w:color w:val="231F20"/>
                              <w:sz w:val="13"/>
                              <w:szCs w:val="13"/>
                              <w:lang w:val="en-US" w:eastAsia="en-US" w:bidi="en-US"/>
                            </w:rPr>
                            <w:t xml:space="preserve">do OR </w:t>
                          </w:r>
                          <w:r>
                            <w:rPr>
                              <w:rFonts w:ascii="Arial" w:eastAsia="Arial" w:hAnsi="Arial" w:cs="Arial"/>
                              <w:color w:val="231F20"/>
                              <w:sz w:val="13"/>
                              <w:szCs w:val="13"/>
                            </w:rPr>
                            <w:t xml:space="preserve">u Městského soudu v </w:t>
                          </w:r>
                          <w:proofErr w:type="gramStart"/>
                          <w:r>
                            <w:rPr>
                              <w:rFonts w:ascii="Arial" w:eastAsia="Arial" w:hAnsi="Arial" w:cs="Arial"/>
                              <w:color w:val="231F20"/>
                              <w:sz w:val="13"/>
                              <w:szCs w:val="13"/>
                            </w:rPr>
                            <w:t>Praze, B.3787</w:t>
                          </w:r>
                          <w:proofErr w:type="gramEnd"/>
                          <w:r>
                            <w:rPr>
                              <w:rFonts w:ascii="Arial" w:eastAsia="Arial" w:hAnsi="Arial" w:cs="Arial"/>
                              <w:color w:val="231F20"/>
                              <w:sz w:val="13"/>
                              <w:szCs w:val="13"/>
                            </w:rPr>
                            <w:t>,</w:t>
                          </w:r>
                        </w:p>
                      </w:txbxContent>
                    </wps:txbx>
                    <wps:bodyPr wrap="none" lIns="0" tIns="0" rIns="0" bIns="0">
                      <a:spAutoFit/>
                    </wps:bodyPr>
                  </wps:wsp>
                </a:graphicData>
              </a:graphic>
            </wp:anchor>
          </w:drawing>
        </mc:Choice>
        <mc:Fallback>
          <w:pict>
            <v:shape id="_x0000_s1119" type="#_x0000_t202" style="position:absolute;margin-left:56.299999999999997pt;margin-top:797.79999999999995pt;width:358.30000000000001pt;height:16.100000000000001pt;z-index:-18874401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T-Mobile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 xml:space="preserve">a.s., Tomíčkova 2144/1, 14800 Praha 4,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Zapsaná </w:t>
                    </w:r>
                    <w:r>
                      <w:rPr>
                        <w:rFonts w:ascii="Arial" w:eastAsia="Arial" w:hAnsi="Arial" w:cs="Arial"/>
                        <w:color w:val="231F20"/>
                        <w:spacing w:val="0"/>
                        <w:w w:val="100"/>
                        <w:position w:val="0"/>
                        <w:sz w:val="13"/>
                        <w:szCs w:val="13"/>
                        <w:shd w:val="clear" w:color="auto" w:fill="auto"/>
                        <w:lang w:val="en-US" w:eastAsia="en-US" w:bidi="en-US"/>
                      </w:rPr>
                      <w:t xml:space="preserve">do OR </w:t>
                    </w:r>
                    <w:r>
                      <w:rPr>
                        <w:rFonts w:ascii="Arial" w:eastAsia="Arial" w:hAnsi="Arial" w:cs="Arial"/>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44" behindDoc="1" locked="0" layoutInCell="1" allowOverlap="1">
              <wp:simplePos x="0" y="0"/>
              <wp:positionH relativeFrom="page">
                <wp:posOffset>6155690</wp:posOffset>
              </wp:positionH>
              <wp:positionV relativeFrom="page">
                <wp:posOffset>10150475</wp:posOffset>
              </wp:positionV>
              <wp:extent cx="670560" cy="167640"/>
              <wp:effectExtent l="0" t="0" r="0" b="0"/>
              <wp:wrapNone/>
              <wp:docPr id="95" name="Shape 95"/>
              <wp:cNvGraphicFramePr/>
              <a:graphic xmlns:a="http://schemas.openxmlformats.org/drawingml/2006/main">
                <a:graphicData uri="http://schemas.microsoft.com/office/word/2010/wordprocessingShape">
                  <wps:wsp>
                    <wps:cNvSpPr txBox="1"/>
                    <wps:spPr>
                      <a:xfrm>
                        <a:off x="0" y="0"/>
                        <a:ext cx="670560" cy="16764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Pr>
                              <w:rFonts w:ascii="Arial" w:eastAsia="Arial" w:hAnsi="Arial" w:cs="Arial"/>
                              <w:color w:val="231F20"/>
                              <w:sz w:val="13"/>
                              <w:szCs w:val="13"/>
                            </w:rPr>
                            <w:t>#</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lang w:val="en-US" w:eastAsia="en-US" w:bidi="en-US"/>
                            </w:rPr>
                            <w:t xml:space="preserve">ver. </w:t>
                          </w:r>
                          <w:r>
                            <w:rPr>
                              <w:rFonts w:ascii="Arial" w:eastAsia="Arial" w:hAnsi="Arial" w:cs="Arial"/>
                              <w:color w:val="231F20"/>
                              <w:sz w:val="13"/>
                              <w:szCs w:val="13"/>
                            </w:rPr>
                            <w:t>OTP 201606</w:t>
                          </w:r>
                        </w:p>
                      </w:txbxContent>
                    </wps:txbx>
                    <wps:bodyPr wrap="none" lIns="0" tIns="0" rIns="0" bIns="0">
                      <a:spAutoFit/>
                    </wps:bodyPr>
                  </wps:wsp>
                </a:graphicData>
              </a:graphic>
            </wp:anchor>
          </w:drawing>
        </mc:Choice>
        <mc:Fallback>
          <w:pict>
            <v:shape id="_x0000_s1121" type="#_x0000_t202" style="position:absolute;margin-left:484.69999999999999pt;margin-top:799.25pt;width:52.799999999999997pt;height:13.199999999999999pt;z-index:-18874400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Stránka </w:t>
                    </w:r>
                    <w:fldSimple w:instr=" PAGE \* MERGEFORMAT ">
                      <w:r>
                        <w:rPr>
                          <w:rFonts w:ascii="Arial" w:eastAsia="Arial" w:hAnsi="Arial" w:cs="Arial"/>
                          <w:color w:val="231F20"/>
                          <w:spacing w:val="0"/>
                          <w:w w:val="100"/>
                          <w:position w:val="0"/>
                          <w:sz w:val="13"/>
                          <w:szCs w:val="13"/>
                          <w:shd w:val="clear" w:color="auto" w:fill="auto"/>
                          <w:lang w:val="cs-CZ" w:eastAsia="cs-CZ" w:bidi="cs-CZ"/>
                        </w:rPr>
                        <w:t>#</w:t>
                      </w:r>
                    </w:fldSimple>
                    <w:r>
                      <w:rPr>
                        <w:rFonts w:ascii="Arial" w:eastAsia="Arial" w:hAnsi="Arial" w:cs="Arial"/>
                        <w:color w:val="231F20"/>
                        <w:spacing w:val="0"/>
                        <w:w w:val="100"/>
                        <w:position w:val="0"/>
                        <w:sz w:val="13"/>
                        <w:szCs w:val="13"/>
                        <w:shd w:val="clear" w:color="auto" w:fill="auto"/>
                        <w:lang w:val="cs-CZ" w:eastAsia="cs-CZ" w:bidi="cs-CZ"/>
                      </w:rPr>
                      <w:t xml:space="preserve"> /11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en-US" w:eastAsia="en-US" w:bidi="en-US"/>
                      </w:rPr>
                      <w:t xml:space="preserve">ver. </w:t>
                    </w:r>
                    <w:r>
                      <w:rPr>
                        <w:rFonts w:ascii="Arial" w:eastAsia="Arial" w:hAnsi="Arial" w:cs="Arial"/>
                        <w:color w:val="231F20"/>
                        <w:spacing w:val="0"/>
                        <w:w w:val="100"/>
                        <w:position w:val="0"/>
                        <w:sz w:val="13"/>
                        <w:szCs w:val="13"/>
                        <w:shd w:val="clear" w:color="auto" w:fill="auto"/>
                        <w:lang w:val="cs-CZ" w:eastAsia="cs-CZ" w:bidi="cs-CZ"/>
                      </w:rPr>
                      <w:t>OTP 201606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62" behindDoc="1" locked="0" layoutInCell="1" allowOverlap="1">
              <wp:simplePos x="0" y="0"/>
              <wp:positionH relativeFrom="page">
                <wp:posOffset>716280</wp:posOffset>
              </wp:positionH>
              <wp:positionV relativeFrom="page">
                <wp:posOffset>10253345</wp:posOffset>
              </wp:positionV>
              <wp:extent cx="4550410" cy="204470"/>
              <wp:effectExtent l="0" t="0" r="0" b="0"/>
              <wp:wrapNone/>
              <wp:docPr id="117" name="Shape 117"/>
              <wp:cNvGraphicFramePr/>
              <a:graphic xmlns:a="http://schemas.openxmlformats.org/drawingml/2006/main">
                <a:graphicData uri="http://schemas.microsoft.com/office/word/2010/wordprocessingShape">
                  <wps:wsp>
                    <wps:cNvSpPr txBox="1"/>
                    <wps:spPr>
                      <a:xfrm>
                        <a:off x="0" y="0"/>
                        <a:ext cx="4550410" cy="20447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T-Mobile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 xml:space="preserve">a.s., Tomíčkova 2144/1, 14800 Praha 4,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IČ:64949681, DIČ: CZ64949681</w:t>
                          </w:r>
                        </w:p>
                        <w:p w:rsidR="00215B20" w:rsidRDefault="00FD0AA3">
                          <w:pPr>
                            <w:pStyle w:val="Zhlavnebozpat20"/>
                            <w:shd w:val="clear" w:color="auto" w:fill="auto"/>
                            <w:rPr>
                              <w:sz w:val="13"/>
                              <w:szCs w:val="13"/>
                            </w:rPr>
                          </w:pPr>
                          <w:r>
                            <w:rPr>
                              <w:rFonts w:ascii="Arial" w:eastAsia="Arial" w:hAnsi="Arial" w:cs="Arial"/>
                              <w:color w:val="231F20"/>
                              <w:sz w:val="13"/>
                              <w:szCs w:val="13"/>
                            </w:rPr>
                            <w:t xml:space="preserve">Zapsaná </w:t>
                          </w:r>
                          <w:r>
                            <w:rPr>
                              <w:rFonts w:ascii="Arial" w:eastAsia="Arial" w:hAnsi="Arial" w:cs="Arial"/>
                              <w:color w:val="231F20"/>
                              <w:sz w:val="13"/>
                              <w:szCs w:val="13"/>
                              <w:lang w:val="en-US" w:eastAsia="en-US" w:bidi="en-US"/>
                            </w:rPr>
                            <w:t xml:space="preserve">do OR </w:t>
                          </w:r>
                          <w:r>
                            <w:rPr>
                              <w:rFonts w:ascii="Arial" w:eastAsia="Arial" w:hAnsi="Arial" w:cs="Arial"/>
                              <w:color w:val="231F20"/>
                              <w:sz w:val="13"/>
                              <w:szCs w:val="13"/>
                            </w:rPr>
                            <w:t xml:space="preserve">u Městského soudu v </w:t>
                          </w:r>
                          <w:proofErr w:type="gramStart"/>
                          <w:r>
                            <w:rPr>
                              <w:rFonts w:ascii="Arial" w:eastAsia="Arial" w:hAnsi="Arial" w:cs="Arial"/>
                              <w:color w:val="231F20"/>
                              <w:sz w:val="13"/>
                              <w:szCs w:val="13"/>
                            </w:rPr>
                            <w:t>Praze, B.3787</w:t>
                          </w:r>
                          <w:proofErr w:type="gramEnd"/>
                          <w:r>
                            <w:rPr>
                              <w:rFonts w:ascii="Arial" w:eastAsia="Arial" w:hAnsi="Arial" w:cs="Arial"/>
                              <w:color w:val="231F20"/>
                              <w:sz w:val="13"/>
                              <w:szCs w:val="13"/>
                            </w:rPr>
                            <w:t>,</w:t>
                          </w:r>
                        </w:p>
                      </w:txbxContent>
                    </wps:txbx>
                    <wps:bodyPr wrap="none" lIns="0" tIns="0" rIns="0" bIns="0">
                      <a:spAutoFit/>
                    </wps:bodyPr>
                  </wps:wsp>
                </a:graphicData>
              </a:graphic>
            </wp:anchor>
          </w:drawing>
        </mc:Choice>
        <mc:Fallback>
          <w:pict>
            <v:shape id="_x0000_s1143" type="#_x0000_t202" style="position:absolute;margin-left:56.399999999999999pt;margin-top:807.35000000000002pt;width:358.30000000000001pt;height:16.100000000000001pt;z-index:-18874399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T-Mobile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 xml:space="preserve">a.s., Tomíčkova 2144/1, 14800 Praha 4,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Zapsaná </w:t>
                    </w:r>
                    <w:r>
                      <w:rPr>
                        <w:rFonts w:ascii="Arial" w:eastAsia="Arial" w:hAnsi="Arial" w:cs="Arial"/>
                        <w:color w:val="231F20"/>
                        <w:spacing w:val="0"/>
                        <w:w w:val="100"/>
                        <w:position w:val="0"/>
                        <w:sz w:val="13"/>
                        <w:szCs w:val="13"/>
                        <w:shd w:val="clear" w:color="auto" w:fill="auto"/>
                        <w:lang w:val="en-US" w:eastAsia="en-US" w:bidi="en-US"/>
                      </w:rPr>
                      <w:t xml:space="preserve">do OR </w:t>
                    </w:r>
                    <w:r>
                      <w:rPr>
                        <w:rFonts w:ascii="Arial" w:eastAsia="Arial" w:hAnsi="Arial" w:cs="Arial"/>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64" behindDoc="1" locked="0" layoutInCell="1" allowOverlap="1">
              <wp:simplePos x="0" y="0"/>
              <wp:positionH relativeFrom="page">
                <wp:posOffset>6156960</wp:posOffset>
              </wp:positionH>
              <wp:positionV relativeFrom="page">
                <wp:posOffset>10271125</wp:posOffset>
              </wp:positionV>
              <wp:extent cx="670560" cy="167640"/>
              <wp:effectExtent l="0" t="0" r="0" b="0"/>
              <wp:wrapNone/>
              <wp:docPr id="119" name="Shape 119"/>
              <wp:cNvGraphicFramePr/>
              <a:graphic xmlns:a="http://schemas.openxmlformats.org/drawingml/2006/main">
                <a:graphicData uri="http://schemas.microsoft.com/office/word/2010/wordprocessingShape">
                  <wps:wsp>
                    <wps:cNvSpPr txBox="1"/>
                    <wps:spPr>
                      <a:xfrm>
                        <a:off x="0" y="0"/>
                        <a:ext cx="670560" cy="16764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10</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rPr>
                            <w:t>ver. OTP 201606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9" o:spid="_x0000_s1105" type="#_x0000_t202" style="position:absolute;margin-left:484.8pt;margin-top:808.75pt;width:52.8pt;height:13.2pt;z-index:-4404017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10</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rPr>
                      <w:t>ver. OTP 201606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54" behindDoc="1" locked="0" layoutInCell="1" allowOverlap="1">
              <wp:simplePos x="0" y="0"/>
              <wp:positionH relativeFrom="page">
                <wp:posOffset>716280</wp:posOffset>
              </wp:positionH>
              <wp:positionV relativeFrom="page">
                <wp:posOffset>10253345</wp:posOffset>
              </wp:positionV>
              <wp:extent cx="4550410" cy="204470"/>
              <wp:effectExtent l="0" t="0" r="0" b="0"/>
              <wp:wrapNone/>
              <wp:docPr id="107" name="Shape 107"/>
              <wp:cNvGraphicFramePr/>
              <a:graphic xmlns:a="http://schemas.openxmlformats.org/drawingml/2006/main">
                <a:graphicData uri="http://schemas.microsoft.com/office/word/2010/wordprocessingShape">
                  <wps:wsp>
                    <wps:cNvSpPr txBox="1"/>
                    <wps:spPr>
                      <a:xfrm>
                        <a:off x="0" y="0"/>
                        <a:ext cx="4550410" cy="20447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T-Mobile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 xml:space="preserve">a.s., Tomíčkova 2144/1, 14800 Praha 4,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IČ:64949681, DIČ: CZ64949681</w:t>
                          </w:r>
                        </w:p>
                        <w:p w:rsidR="00215B20" w:rsidRDefault="00FD0AA3">
                          <w:pPr>
                            <w:pStyle w:val="Zhlavnebozpat20"/>
                            <w:shd w:val="clear" w:color="auto" w:fill="auto"/>
                            <w:rPr>
                              <w:sz w:val="13"/>
                              <w:szCs w:val="13"/>
                            </w:rPr>
                          </w:pPr>
                          <w:r>
                            <w:rPr>
                              <w:rFonts w:ascii="Arial" w:eastAsia="Arial" w:hAnsi="Arial" w:cs="Arial"/>
                              <w:color w:val="231F20"/>
                              <w:sz w:val="13"/>
                              <w:szCs w:val="13"/>
                            </w:rPr>
                            <w:t xml:space="preserve">Zapsaná </w:t>
                          </w:r>
                          <w:r>
                            <w:rPr>
                              <w:rFonts w:ascii="Arial" w:eastAsia="Arial" w:hAnsi="Arial" w:cs="Arial"/>
                              <w:color w:val="231F20"/>
                              <w:sz w:val="13"/>
                              <w:szCs w:val="13"/>
                              <w:lang w:val="en-US" w:eastAsia="en-US" w:bidi="en-US"/>
                            </w:rPr>
                            <w:t xml:space="preserve">do OR </w:t>
                          </w:r>
                          <w:r>
                            <w:rPr>
                              <w:rFonts w:ascii="Arial" w:eastAsia="Arial" w:hAnsi="Arial" w:cs="Arial"/>
                              <w:color w:val="231F20"/>
                              <w:sz w:val="13"/>
                              <w:szCs w:val="13"/>
                            </w:rPr>
                            <w:t xml:space="preserve">u Městského soudu v </w:t>
                          </w:r>
                          <w:proofErr w:type="gramStart"/>
                          <w:r>
                            <w:rPr>
                              <w:rFonts w:ascii="Arial" w:eastAsia="Arial" w:hAnsi="Arial" w:cs="Arial"/>
                              <w:color w:val="231F20"/>
                              <w:sz w:val="13"/>
                              <w:szCs w:val="13"/>
                            </w:rPr>
                            <w:t>Praze, B.3787</w:t>
                          </w:r>
                          <w:proofErr w:type="gramEnd"/>
                          <w:r>
                            <w:rPr>
                              <w:rFonts w:ascii="Arial" w:eastAsia="Arial" w:hAnsi="Arial" w:cs="Arial"/>
                              <w:color w:val="231F20"/>
                              <w:sz w:val="13"/>
                              <w:szCs w:val="13"/>
                            </w:rPr>
                            <w:t>,</w:t>
                          </w:r>
                        </w:p>
                      </w:txbxContent>
                    </wps:txbx>
                    <wps:bodyPr wrap="none" lIns="0" tIns="0" rIns="0" bIns="0">
                      <a:spAutoFit/>
                    </wps:bodyPr>
                  </wps:wsp>
                </a:graphicData>
              </a:graphic>
            </wp:anchor>
          </w:drawing>
        </mc:Choice>
        <mc:Fallback>
          <w:pict>
            <v:shape id="_x0000_s1133" type="#_x0000_t202" style="position:absolute;margin-left:56.399999999999999pt;margin-top:807.35000000000002pt;width:358.30000000000001pt;height:16.100000000000001pt;z-index:-18874399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T-Mobile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 xml:space="preserve">a.s., Tomíčkova 2144/1, 14800 Praha 4,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Zapsaná </w:t>
                    </w:r>
                    <w:r>
                      <w:rPr>
                        <w:rFonts w:ascii="Arial" w:eastAsia="Arial" w:hAnsi="Arial" w:cs="Arial"/>
                        <w:color w:val="231F20"/>
                        <w:spacing w:val="0"/>
                        <w:w w:val="100"/>
                        <w:position w:val="0"/>
                        <w:sz w:val="13"/>
                        <w:szCs w:val="13"/>
                        <w:shd w:val="clear" w:color="auto" w:fill="auto"/>
                        <w:lang w:val="en-US" w:eastAsia="en-US" w:bidi="en-US"/>
                      </w:rPr>
                      <w:t xml:space="preserve">do OR </w:t>
                    </w:r>
                    <w:r>
                      <w:rPr>
                        <w:rFonts w:ascii="Arial" w:eastAsia="Arial" w:hAnsi="Arial" w:cs="Arial"/>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56" behindDoc="1" locked="0" layoutInCell="1" allowOverlap="1">
              <wp:simplePos x="0" y="0"/>
              <wp:positionH relativeFrom="page">
                <wp:posOffset>6156960</wp:posOffset>
              </wp:positionH>
              <wp:positionV relativeFrom="page">
                <wp:posOffset>10271125</wp:posOffset>
              </wp:positionV>
              <wp:extent cx="670560" cy="167640"/>
              <wp:effectExtent l="0" t="0" r="0" b="0"/>
              <wp:wrapNone/>
              <wp:docPr id="109" name="Shape 109"/>
              <wp:cNvGraphicFramePr/>
              <a:graphic xmlns:a="http://schemas.openxmlformats.org/drawingml/2006/main">
                <a:graphicData uri="http://schemas.microsoft.com/office/word/2010/wordprocessingShape">
                  <wps:wsp>
                    <wps:cNvSpPr txBox="1"/>
                    <wps:spPr>
                      <a:xfrm>
                        <a:off x="0" y="0"/>
                        <a:ext cx="670560" cy="16764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9</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rPr>
                            <w:t>ver. OTP 201606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 o:spid="_x0000_s1107" type="#_x0000_t202" style="position:absolute;margin-left:484.8pt;margin-top:808.75pt;width:52.8pt;height:13.2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9</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rPr>
                      <w:t>ver. OTP 201606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74" behindDoc="1" locked="0" layoutInCell="1" allowOverlap="1">
              <wp:simplePos x="0" y="0"/>
              <wp:positionH relativeFrom="page">
                <wp:posOffset>717550</wp:posOffset>
              </wp:positionH>
              <wp:positionV relativeFrom="page">
                <wp:posOffset>10346690</wp:posOffset>
              </wp:positionV>
              <wp:extent cx="4166870" cy="237490"/>
              <wp:effectExtent l="0" t="0" r="0" b="0"/>
              <wp:wrapNone/>
              <wp:docPr id="132" name="Shape 132"/>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T-Mobile </w:t>
                          </w:r>
                          <w:r>
                            <w:rPr>
                              <w:color w:val="231F20"/>
                              <w:sz w:val="13"/>
                              <w:szCs w:val="13"/>
                              <w:lang w:val="en-US" w:eastAsia="en-US" w:bidi="en-US"/>
                            </w:rPr>
                            <w:t xml:space="preserve">Czech Republic </w:t>
                          </w:r>
                          <w:r>
                            <w:rPr>
                              <w:color w:val="231F20"/>
                              <w:sz w:val="13"/>
                              <w:szCs w:val="13"/>
                            </w:rPr>
                            <w:t>a.s., Tomíčkova 2</w:t>
                          </w:r>
                          <w:r>
                            <w:rPr>
                              <w:color w:val="231F20"/>
                              <w:sz w:val="13"/>
                              <w:szCs w:val="13"/>
                            </w:rPr>
                            <w:t xml:space="preserve">144/1, 14800 Praha 4, </w:t>
                          </w:r>
                          <w:r>
                            <w:rPr>
                              <w:color w:val="231F20"/>
                              <w:sz w:val="13"/>
                              <w:szCs w:val="13"/>
                              <w:lang w:val="en-US" w:eastAsia="en-US" w:bidi="en-US"/>
                            </w:rPr>
                            <w:t xml:space="preserve">Czech Republic, </w:t>
                          </w:r>
                          <w:r>
                            <w:rPr>
                              <w:color w:val="231F20"/>
                              <w:sz w:val="13"/>
                              <w:szCs w:val="13"/>
                            </w:rPr>
                            <w:t>IČ:64949681, DIČ: 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 xml:space="preserve">do OR </w:t>
                          </w:r>
                          <w:r>
                            <w:rPr>
                              <w:color w:val="231F20"/>
                              <w:sz w:val="13"/>
                              <w:szCs w:val="13"/>
                            </w:rPr>
                            <w:t xml:space="preserve">u 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158" type="#_x0000_t202" style="position:absolute;margin-left:56.5pt;margin-top:814.70000000000005pt;width:328.10000000000002pt;height:18.699999999999999pt;z-index:-18874397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T-Mobile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 xml:space="preserve">a.s., Tomíčkova 2144/1, 14800 Praha 4,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w:t>
                    </w:r>
                    <w:r>
                      <w:rPr>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76" behindDoc="1" locked="0" layoutInCell="1" allowOverlap="1">
              <wp:simplePos x="0" y="0"/>
              <wp:positionH relativeFrom="page">
                <wp:posOffset>6282690</wp:posOffset>
              </wp:positionH>
              <wp:positionV relativeFrom="page">
                <wp:posOffset>10365105</wp:posOffset>
              </wp:positionV>
              <wp:extent cx="545465" cy="201295"/>
              <wp:effectExtent l="0" t="0" r="0" b="0"/>
              <wp:wrapNone/>
              <wp:docPr id="134" name="Shape 134"/>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2</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4" o:spid="_x0000_s1111" type="#_x0000_t202" style="position:absolute;margin-left:494.7pt;margin-top:816.15pt;width:42.95pt;height:15.85pt;z-index:-440401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" filled="f" stroked="f">
              <v:textbox style="mso-fit-shape-to-text:t" inset="0,0,0,0">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2</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70" behindDoc="1" locked="0" layoutInCell="1" allowOverlap="1">
              <wp:simplePos x="0" y="0"/>
              <wp:positionH relativeFrom="page">
                <wp:posOffset>717550</wp:posOffset>
              </wp:positionH>
              <wp:positionV relativeFrom="page">
                <wp:posOffset>10346690</wp:posOffset>
              </wp:positionV>
              <wp:extent cx="4166870" cy="237490"/>
              <wp:effectExtent l="0" t="0" r="0" b="0"/>
              <wp:wrapNone/>
              <wp:docPr id="128" name="Shape 128"/>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T-</w:t>
                          </w:r>
                          <w:r>
                            <w:rPr>
                              <w:color w:val="231F20"/>
                              <w:sz w:val="13"/>
                              <w:szCs w:val="13"/>
                            </w:rPr>
                            <w:t xml:space="preserve">Mobile </w:t>
                          </w:r>
                          <w:r>
                            <w:rPr>
                              <w:color w:val="231F20"/>
                              <w:sz w:val="13"/>
                              <w:szCs w:val="13"/>
                              <w:lang w:val="en-US" w:eastAsia="en-US" w:bidi="en-US"/>
                            </w:rPr>
                            <w:t xml:space="preserve">Czech Republic </w:t>
                          </w:r>
                          <w:r>
                            <w:rPr>
                              <w:color w:val="231F20"/>
                              <w:sz w:val="13"/>
                              <w:szCs w:val="13"/>
                            </w:rPr>
                            <w:t xml:space="preserve">a.s., Tomíčkova 2144/1, 14800 Praha 4, </w:t>
                          </w:r>
                          <w:r>
                            <w:rPr>
                              <w:color w:val="231F20"/>
                              <w:sz w:val="13"/>
                              <w:szCs w:val="13"/>
                              <w:lang w:val="en-US" w:eastAsia="en-US" w:bidi="en-US"/>
                            </w:rPr>
                            <w:t xml:space="preserve">Czech Republic, </w:t>
                          </w:r>
                          <w:r>
                            <w:rPr>
                              <w:color w:val="231F20"/>
                              <w:sz w:val="13"/>
                              <w:szCs w:val="13"/>
                            </w:rPr>
                            <w:t>IČ:64949681, DIČ: 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 xml:space="preserve">do OR </w:t>
                          </w:r>
                          <w:r>
                            <w:rPr>
                              <w:color w:val="231F20"/>
                              <w:sz w:val="13"/>
                              <w:szCs w:val="13"/>
                            </w:rPr>
                            <w:t xml:space="preserve">u 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154" type="#_x0000_t202" style="position:absolute;margin-left:56.5pt;margin-top:814.70000000000005pt;width:328.10000000000002pt;height:18.699999999999999pt;z-index:-18874398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T-Mobile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 xml:space="preserve">a.s., Tomíčkova 2144/1, 14800 Praha 4,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w:t>
                    </w:r>
                    <w:r>
                      <w:rPr>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72" behindDoc="1" locked="0" layoutInCell="1" allowOverlap="1">
              <wp:simplePos x="0" y="0"/>
              <wp:positionH relativeFrom="page">
                <wp:posOffset>6282690</wp:posOffset>
              </wp:positionH>
              <wp:positionV relativeFrom="page">
                <wp:posOffset>10365105</wp:posOffset>
              </wp:positionV>
              <wp:extent cx="545465" cy="201295"/>
              <wp:effectExtent l="0" t="0" r="0" b="0"/>
              <wp:wrapNone/>
              <wp:docPr id="130" name="Shape 130"/>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1</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0" o:spid="_x0000_s1113" type="#_x0000_t202" style="position:absolute;margin-left:494.7pt;margin-top:816.15pt;width:42.95pt;height:15.85pt;z-index:-4404017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" filled="f" stroked="f">
              <v:textbox style="mso-fit-shape-to-text:t" inset="0,0,0,0">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1</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699" behindDoc="1" locked="0" layoutInCell="1" allowOverlap="1">
              <wp:simplePos x="0" y="0"/>
              <wp:positionH relativeFrom="page">
                <wp:posOffset>6202045</wp:posOffset>
              </wp:positionH>
              <wp:positionV relativeFrom="page">
                <wp:posOffset>10226040</wp:posOffset>
              </wp:positionV>
              <wp:extent cx="624840" cy="64135"/>
              <wp:effectExtent l="0" t="0" r="0" b="0"/>
              <wp:wrapNone/>
              <wp:docPr id="37" name="Shape 37"/>
              <wp:cNvGraphicFramePr/>
              <a:graphic xmlns:a="http://schemas.openxmlformats.org/drawingml/2006/main">
                <a:graphicData uri="http://schemas.microsoft.com/office/word/2010/wordprocessingShape">
                  <wps:wsp>
                    <wps:cNvSpPr txBox="1"/>
                    <wps:spPr>
                      <a:xfrm>
                        <a:off x="0" y="0"/>
                        <a:ext cx="624840" cy="64135"/>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5</w:t>
                          </w:r>
                          <w:r>
                            <w:rPr>
                              <w:rFonts w:ascii="Arial" w:eastAsia="Arial" w:hAnsi="Arial" w:cs="Arial"/>
                              <w:color w:val="231F20"/>
                              <w:sz w:val="13"/>
                              <w:szCs w:val="13"/>
                            </w:rPr>
                            <w:fldChar w:fldCharType="end"/>
                          </w:r>
                          <w:r>
                            <w:rPr>
                              <w:rFonts w:ascii="Arial" w:eastAsia="Arial" w:hAnsi="Arial" w:cs="Arial"/>
                              <w:color w:val="231F20"/>
                              <w:sz w:val="13"/>
                              <w:szCs w:val="13"/>
                            </w:rPr>
                            <w:t>/6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076" type="#_x0000_t202" style="position:absolute;margin-left:488.35pt;margin-top:805.2pt;width:49.2pt;height:5.05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5</w:t>
                    </w:r>
                    <w:r>
                      <w:rPr>
                        <w:rFonts w:ascii="Arial" w:eastAsia="Arial" w:hAnsi="Arial" w:cs="Arial"/>
                        <w:color w:val="231F20"/>
                        <w:sz w:val="13"/>
                        <w:szCs w:val="13"/>
                      </w:rPr>
                      <w:fldChar w:fldCharType="end"/>
                    </w:r>
                    <w:r>
                      <w:rPr>
                        <w:rFonts w:ascii="Arial" w:eastAsia="Arial" w:hAnsi="Arial" w:cs="Arial"/>
                        <w:color w:val="231F20"/>
                        <w:sz w:val="13"/>
                        <w:szCs w:val="13"/>
                      </w:rPr>
                      <w:t>/6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90" behindDoc="1" locked="0" layoutInCell="1" allowOverlap="1">
              <wp:simplePos x="0" y="0"/>
              <wp:positionH relativeFrom="page">
                <wp:posOffset>718185</wp:posOffset>
              </wp:positionH>
              <wp:positionV relativeFrom="page">
                <wp:posOffset>10052685</wp:posOffset>
              </wp:positionV>
              <wp:extent cx="4166870" cy="237490"/>
              <wp:effectExtent l="0" t="0" r="0" b="0"/>
              <wp:wrapNone/>
              <wp:docPr id="154" name="Shape 154"/>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T-Mobile </w:t>
                          </w:r>
                          <w:r>
                            <w:rPr>
                              <w:color w:val="231F20"/>
                              <w:sz w:val="13"/>
                              <w:szCs w:val="13"/>
                              <w:lang w:val="en-US" w:eastAsia="en-US" w:bidi="en-US"/>
                            </w:rPr>
                            <w:t xml:space="preserve">Czech Republic </w:t>
                          </w:r>
                          <w:r>
                            <w:rPr>
                              <w:color w:val="231F20"/>
                              <w:sz w:val="13"/>
                              <w:szCs w:val="13"/>
                            </w:rPr>
                            <w:t xml:space="preserve">a.s., Tomíčkova 2144/1, 14800 Praha 4, </w:t>
                          </w:r>
                          <w:r>
                            <w:rPr>
                              <w:color w:val="231F20"/>
                              <w:sz w:val="13"/>
                              <w:szCs w:val="13"/>
                              <w:lang w:val="en-US" w:eastAsia="en-US" w:bidi="en-US"/>
                            </w:rPr>
                            <w:t xml:space="preserve">Czech Republic, </w:t>
                          </w:r>
                          <w:r>
                            <w:rPr>
                              <w:color w:val="231F20"/>
                              <w:sz w:val="13"/>
                              <w:szCs w:val="13"/>
                            </w:rPr>
                            <w:t>IČ:64949681, DIČ: 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 xml:space="preserve">do OR </w:t>
                          </w:r>
                          <w:r>
                            <w:rPr>
                              <w:color w:val="231F20"/>
                              <w:sz w:val="13"/>
                              <w:szCs w:val="13"/>
                            </w:rPr>
                            <w:t xml:space="preserve">u 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180" type="#_x0000_t202" style="position:absolute;margin-left:56.549999999999997pt;margin-top:791.54999999999995pt;width:328.10000000000002pt;height:18.699999999999999pt;z-index:-18874396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T-Mobile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 xml:space="preserve">a.s., Tomíčkova 2144/1, 14800 Praha 4,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w:t>
                    </w:r>
                    <w:r>
                      <w:rPr>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92" behindDoc="1" locked="0" layoutInCell="1" allowOverlap="1">
              <wp:simplePos x="0" y="0"/>
              <wp:positionH relativeFrom="page">
                <wp:posOffset>6283960</wp:posOffset>
              </wp:positionH>
              <wp:positionV relativeFrom="page">
                <wp:posOffset>10071100</wp:posOffset>
              </wp:positionV>
              <wp:extent cx="545465" cy="201295"/>
              <wp:effectExtent l="0" t="0" r="0" b="0"/>
              <wp:wrapNone/>
              <wp:docPr id="156" name="Shape 156"/>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Pr>
                              <w:color w:val="231F20"/>
                              <w:sz w:val="13"/>
                              <w:szCs w:val="13"/>
                            </w:rPr>
                            <w:t>#</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rPr>
                            <w:t>ver. OTP 1806</w:t>
                          </w:r>
                        </w:p>
                      </w:txbxContent>
                    </wps:txbx>
                    <wps:bodyPr wrap="none" lIns="0" tIns="0" rIns="0" bIns="0">
                      <a:spAutoFit/>
                    </wps:bodyPr>
                  </wps:wsp>
                </a:graphicData>
              </a:graphic>
            </wp:anchor>
          </w:drawing>
        </mc:Choice>
        <mc:Fallback>
          <w:pict>
            <v:shape id="_x0000_s1182" type="#_x0000_t202" style="position:absolute;margin-left:494.80000000000001pt;margin-top:793.pt;width:42.950000000000003pt;height:15.85pt;z-index:-18874396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Stránka </w:t>
                    </w:r>
                    <w:fldSimple w:instr=" PAGE \* MERGEFORMAT ">
                      <w:r>
                        <w:rPr>
                          <w:color w:val="231F20"/>
                          <w:spacing w:val="0"/>
                          <w:w w:val="100"/>
                          <w:position w:val="0"/>
                          <w:sz w:val="13"/>
                          <w:szCs w:val="13"/>
                          <w:shd w:val="clear" w:color="auto" w:fill="auto"/>
                          <w:lang w:val="cs-CZ" w:eastAsia="cs-CZ" w:bidi="cs-CZ"/>
                        </w:rPr>
                        <w:t>#</w:t>
                      </w:r>
                    </w:fldSimple>
                    <w:r>
                      <w:rPr>
                        <w:color w:val="231F20"/>
                        <w:spacing w:val="0"/>
                        <w:w w:val="100"/>
                        <w:position w:val="0"/>
                        <w:sz w:val="13"/>
                        <w:szCs w:val="13"/>
                        <w:shd w:val="clear" w:color="auto" w:fill="auto"/>
                        <w:lang w:val="cs-CZ" w:eastAsia="cs-CZ" w:bidi="cs-CZ"/>
                      </w:rPr>
                      <w:t xml:space="preserve"> /li</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ver. OTP 1806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82" behindDoc="1" locked="0" layoutInCell="1" allowOverlap="1">
              <wp:simplePos x="0" y="0"/>
              <wp:positionH relativeFrom="page">
                <wp:posOffset>718185</wp:posOffset>
              </wp:positionH>
              <wp:positionV relativeFrom="page">
                <wp:posOffset>10052685</wp:posOffset>
              </wp:positionV>
              <wp:extent cx="4166870" cy="237490"/>
              <wp:effectExtent l="0" t="0" r="0" b="0"/>
              <wp:wrapNone/>
              <wp:docPr id="144" name="Shape 144"/>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T-Mobile </w:t>
                          </w:r>
                          <w:r>
                            <w:rPr>
                              <w:color w:val="231F20"/>
                              <w:sz w:val="13"/>
                              <w:szCs w:val="13"/>
                              <w:lang w:val="en-US" w:eastAsia="en-US" w:bidi="en-US"/>
                            </w:rPr>
                            <w:t xml:space="preserve">Czech Republic </w:t>
                          </w:r>
                          <w:r>
                            <w:rPr>
                              <w:color w:val="231F20"/>
                              <w:sz w:val="13"/>
                              <w:szCs w:val="13"/>
                            </w:rPr>
                            <w:t xml:space="preserve">a.s., Tomíčkova 2144/1, 14800 Praha 4, </w:t>
                          </w:r>
                          <w:r>
                            <w:rPr>
                              <w:color w:val="231F20"/>
                              <w:sz w:val="13"/>
                              <w:szCs w:val="13"/>
                              <w:lang w:val="en-US" w:eastAsia="en-US" w:bidi="en-US"/>
                            </w:rPr>
                            <w:t xml:space="preserve">Czech Republic, </w:t>
                          </w:r>
                          <w:r>
                            <w:rPr>
                              <w:color w:val="231F20"/>
                              <w:sz w:val="13"/>
                              <w:szCs w:val="13"/>
                            </w:rPr>
                            <w:t>IČ:64949681, DIČ: 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 xml:space="preserve">do OR </w:t>
                          </w:r>
                          <w:r>
                            <w:rPr>
                              <w:color w:val="231F20"/>
                              <w:sz w:val="13"/>
                              <w:szCs w:val="13"/>
                            </w:rPr>
                            <w:t xml:space="preserve">u 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170" type="#_x0000_t202" style="position:absolute;margin-left:56.549999999999997pt;margin-top:791.54999999999995pt;width:328.10000000000002pt;height:18.699999999999999pt;z-index:-18874397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T-Mobile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 xml:space="preserve">a.s., Tomíčkova 2144/1, 14800 Praha 4,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w:t>
                    </w:r>
                    <w:r>
                      <w:rPr>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84" behindDoc="1" locked="0" layoutInCell="1" allowOverlap="1">
              <wp:simplePos x="0" y="0"/>
              <wp:positionH relativeFrom="page">
                <wp:posOffset>6283960</wp:posOffset>
              </wp:positionH>
              <wp:positionV relativeFrom="page">
                <wp:posOffset>10071100</wp:posOffset>
              </wp:positionV>
              <wp:extent cx="545465" cy="201295"/>
              <wp:effectExtent l="0" t="0" r="0" b="0"/>
              <wp:wrapNone/>
              <wp:docPr id="146" name="Shape 146"/>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3</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rPr>
                            <w:t xml:space="preserve">ver. OTP </w:t>
                          </w:r>
                          <w:r>
                            <w:rPr>
                              <w:color w:val="231F20"/>
                              <w:sz w:val="13"/>
                              <w:szCs w:val="13"/>
                            </w:rPr>
                            <w:t>1806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6" o:spid="_x0000_s1121" type="#_x0000_t202" style="position:absolute;margin-left:494.8pt;margin-top:793pt;width:42.95pt;height:15.85pt;z-index:-44040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" filled="f" stroked="f">
              <v:textbox style="mso-fit-shape-to-text:t" inset="0,0,0,0">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3</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rPr>
                      <w:t xml:space="preserve">ver. OTP </w:t>
                    </w:r>
                    <w:r>
                      <w:rPr>
                        <w:color w:val="231F20"/>
                        <w:sz w:val="13"/>
                        <w:szCs w:val="13"/>
                      </w:rPr>
                      <w:t>1806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98" behindDoc="1" locked="0" layoutInCell="1" allowOverlap="1">
              <wp:simplePos x="0" y="0"/>
              <wp:positionH relativeFrom="page">
                <wp:posOffset>717550</wp:posOffset>
              </wp:positionH>
              <wp:positionV relativeFrom="page">
                <wp:posOffset>10346690</wp:posOffset>
              </wp:positionV>
              <wp:extent cx="4166870" cy="237490"/>
              <wp:effectExtent l="0" t="0" r="0" b="0"/>
              <wp:wrapNone/>
              <wp:docPr id="165" name="Shape 165"/>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T-Mobile </w:t>
                          </w:r>
                          <w:r>
                            <w:rPr>
                              <w:color w:val="231F20"/>
                              <w:sz w:val="13"/>
                              <w:szCs w:val="13"/>
                              <w:lang w:val="en-US" w:eastAsia="en-US" w:bidi="en-US"/>
                            </w:rPr>
                            <w:t xml:space="preserve">Czech Republic </w:t>
                          </w:r>
                          <w:r>
                            <w:rPr>
                              <w:color w:val="231F20"/>
                              <w:sz w:val="13"/>
                              <w:szCs w:val="13"/>
                            </w:rPr>
                            <w:t xml:space="preserve">a.s., Tomíčkova 2144/1, 14800 Praha 4, </w:t>
                          </w:r>
                          <w:r>
                            <w:rPr>
                              <w:color w:val="231F20"/>
                              <w:sz w:val="13"/>
                              <w:szCs w:val="13"/>
                              <w:lang w:val="en-US" w:eastAsia="en-US" w:bidi="en-US"/>
                            </w:rPr>
                            <w:t xml:space="preserve">Czech Republic, </w:t>
                          </w:r>
                          <w:r>
                            <w:rPr>
                              <w:color w:val="231F20"/>
                              <w:sz w:val="13"/>
                              <w:szCs w:val="13"/>
                            </w:rPr>
                            <w:t>IČ:64949681, DIČ: 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do</w:t>
                          </w:r>
                          <w:r>
                            <w:rPr>
                              <w:color w:val="231F20"/>
                              <w:sz w:val="13"/>
                              <w:szCs w:val="13"/>
                              <w:lang w:val="en-US" w:eastAsia="en-US" w:bidi="en-US"/>
                            </w:rPr>
                            <w:t xml:space="preserve"> OR </w:t>
                          </w:r>
                          <w:r>
                            <w:rPr>
                              <w:color w:val="231F20"/>
                              <w:sz w:val="13"/>
                              <w:szCs w:val="13"/>
                            </w:rPr>
                            <w:t xml:space="preserve">u 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191" type="#_x0000_t202" style="position:absolute;margin-left:56.5pt;margin-top:814.70000000000005pt;width:328.10000000000002pt;height:18.699999999999999pt;z-index:-18874395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T-Mobile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 xml:space="preserve">a.s., Tomíčkova 2144/1, 14800 Praha 4,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w:t>
                    </w:r>
                    <w:r>
                      <w:rPr>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800" behindDoc="1" locked="0" layoutInCell="1" allowOverlap="1">
              <wp:simplePos x="0" y="0"/>
              <wp:positionH relativeFrom="page">
                <wp:posOffset>6282690</wp:posOffset>
              </wp:positionH>
              <wp:positionV relativeFrom="page">
                <wp:posOffset>10365105</wp:posOffset>
              </wp:positionV>
              <wp:extent cx="545465" cy="201295"/>
              <wp:effectExtent l="0" t="0" r="0" b="0"/>
              <wp:wrapNone/>
              <wp:docPr id="167" name="Shape 167"/>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4</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7" o:spid="_x0000_s1123" type="#_x0000_t202" style="position:absolute;margin-left:494.7pt;margin-top:816.15pt;width:42.95pt;height:15.85pt;z-index:-44040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" filled="f" stroked="f">
              <v:textbox style="mso-fit-shape-to-text:t" inset="0,0,0,0">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4</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94" behindDoc="1" locked="0" layoutInCell="1" allowOverlap="1">
              <wp:simplePos x="0" y="0"/>
              <wp:positionH relativeFrom="page">
                <wp:posOffset>717550</wp:posOffset>
              </wp:positionH>
              <wp:positionV relativeFrom="page">
                <wp:posOffset>10346690</wp:posOffset>
              </wp:positionV>
              <wp:extent cx="4166870" cy="237490"/>
              <wp:effectExtent l="0" t="0" r="0" b="0"/>
              <wp:wrapNone/>
              <wp:docPr id="161" name="Shape 161"/>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T-Mobile </w:t>
                          </w:r>
                          <w:r>
                            <w:rPr>
                              <w:color w:val="231F20"/>
                              <w:sz w:val="13"/>
                              <w:szCs w:val="13"/>
                              <w:lang w:val="en-US" w:eastAsia="en-US" w:bidi="en-US"/>
                            </w:rPr>
                            <w:t xml:space="preserve">Czech Republic </w:t>
                          </w:r>
                          <w:r>
                            <w:rPr>
                              <w:color w:val="231F20"/>
                              <w:sz w:val="13"/>
                              <w:szCs w:val="13"/>
                            </w:rPr>
                            <w:t xml:space="preserve">a.s., Tomíčkova 2144/1, 14800 Praha 4, </w:t>
                          </w:r>
                          <w:r>
                            <w:rPr>
                              <w:color w:val="231F20"/>
                              <w:sz w:val="13"/>
                              <w:szCs w:val="13"/>
                              <w:lang w:val="en-US" w:eastAsia="en-US" w:bidi="en-US"/>
                            </w:rPr>
                            <w:t xml:space="preserve">Czech Republic, </w:t>
                          </w:r>
                          <w:r>
                            <w:rPr>
                              <w:color w:val="231F20"/>
                              <w:sz w:val="13"/>
                              <w:szCs w:val="13"/>
                            </w:rPr>
                            <w:t>IČ:64949681, DIČ: 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 xml:space="preserve">do OR </w:t>
                          </w:r>
                          <w:r>
                            <w:rPr>
                              <w:color w:val="231F20"/>
                              <w:sz w:val="13"/>
                              <w:szCs w:val="13"/>
                            </w:rPr>
                            <w:t xml:space="preserve">u 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187" type="#_x0000_t202" style="position:absolute;margin-left:56.5pt;margin-top:814.70000000000005pt;width:328.10000000000002pt;height:18.699999999999999pt;z-index:-18874395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T-Mobile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 xml:space="preserve">a.s., Tomíčkova 2144/1, 14800 Praha 4,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w:t>
                    </w:r>
                    <w:r>
                      <w:rPr>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96" behindDoc="1" locked="0" layoutInCell="1" allowOverlap="1">
              <wp:simplePos x="0" y="0"/>
              <wp:positionH relativeFrom="page">
                <wp:posOffset>6282690</wp:posOffset>
              </wp:positionH>
              <wp:positionV relativeFrom="page">
                <wp:posOffset>10365105</wp:posOffset>
              </wp:positionV>
              <wp:extent cx="545465" cy="201295"/>
              <wp:effectExtent l="0" t="0" r="0" b="0"/>
              <wp:wrapNone/>
              <wp:docPr id="163" name="Shape 163"/>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5</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3" o:spid="_x0000_s1125" type="#_x0000_t202" style="position:absolute;margin-left:494.7pt;margin-top:816.15pt;width:42.95pt;height:15.85pt;z-index:-4404016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" filled="f" stroked="f">
              <v:textbox style="mso-fit-shape-to-text:t" inset="0,0,0,0">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5</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10" behindDoc="1" locked="0" layoutInCell="1" allowOverlap="1">
              <wp:simplePos x="0" y="0"/>
              <wp:positionH relativeFrom="page">
                <wp:posOffset>717550</wp:posOffset>
              </wp:positionH>
              <wp:positionV relativeFrom="page">
                <wp:posOffset>10052685</wp:posOffset>
              </wp:positionV>
              <wp:extent cx="4166870" cy="237490"/>
              <wp:effectExtent l="0" t="0" r="0" b="0"/>
              <wp:wrapNone/>
              <wp:docPr id="179" name="Shape 179"/>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lang w:val="en-US" w:eastAsia="en-US" w:bidi="en-US"/>
                            </w:rPr>
                            <w:t xml:space="preserve">T-Mobile Czech Republic a.s., Tomickova 2144/1, 14800 Praha 4, Czech Republic, </w:t>
                          </w:r>
                          <w:r>
                            <w:rPr>
                              <w:color w:val="231F20"/>
                              <w:sz w:val="13"/>
                              <w:szCs w:val="13"/>
                            </w:rPr>
                            <w:t xml:space="preserve">IČ:64949681, DIČ: </w:t>
                          </w:r>
                          <w:r>
                            <w:rPr>
                              <w:color w:val="231F20"/>
                              <w:sz w:val="13"/>
                              <w:szCs w:val="13"/>
                              <w:lang w:val="en-US" w:eastAsia="en-US" w:bidi="en-US"/>
                            </w:rPr>
                            <w:t>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 xml:space="preserve">do OR u </w:t>
                          </w:r>
                          <w:r>
                            <w:rPr>
                              <w:color w:val="231F20"/>
                              <w:sz w:val="13"/>
                              <w:szCs w:val="13"/>
                            </w:rPr>
                            <w:t xml:space="preserve">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205" type="#_x0000_t202" style="position:absolute;margin-left:56.5pt;margin-top:791.54999999999995pt;width:328.10000000000002pt;height:18.699999999999999pt;z-index:-18874394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en-US" w:eastAsia="en-US" w:bidi="en-US"/>
                      </w:rPr>
                      <w:t xml:space="preserve">T-Mobile Czech Republic a.s., Tomickova 2144/1, 14800 Praha 4, Czech Republic, </w:t>
                    </w:r>
                    <w:r>
                      <w:rPr>
                        <w:color w:val="231F20"/>
                        <w:spacing w:val="0"/>
                        <w:w w:val="100"/>
                        <w:position w:val="0"/>
                        <w:sz w:val="13"/>
                        <w:szCs w:val="13"/>
                        <w:shd w:val="clear" w:color="auto" w:fill="auto"/>
                        <w:lang w:val="cs-CZ" w:eastAsia="cs-CZ" w:bidi="cs-CZ"/>
                      </w:rPr>
                      <w:t xml:space="preserve">IČ:64949681, DIČ: </w:t>
                    </w:r>
                    <w:r>
                      <w:rPr>
                        <w:color w:val="231F20"/>
                        <w:spacing w:val="0"/>
                        <w:w w:val="100"/>
                        <w:position w:val="0"/>
                        <w:sz w:val="13"/>
                        <w:szCs w:val="13"/>
                        <w:shd w:val="clear" w:color="auto" w:fill="auto"/>
                        <w:lang w:val="en-US" w:eastAsia="en-US" w:bidi="en-US"/>
                      </w:rPr>
                      <w:t>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u </w:t>
                    </w:r>
                    <w:r>
                      <w:rPr>
                        <w:color w:val="231F20"/>
                        <w:spacing w:val="0"/>
                        <w:w w:val="100"/>
                        <w:position w:val="0"/>
                        <w:sz w:val="13"/>
                        <w:szCs w:val="13"/>
                        <w:shd w:val="clear" w:color="auto" w:fill="auto"/>
                        <w:lang w:val="cs-CZ" w:eastAsia="cs-CZ" w:bidi="cs-CZ"/>
                      </w:rPr>
                      <w:t>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812" behindDoc="1" locked="0" layoutInCell="1" allowOverlap="1">
              <wp:simplePos x="0" y="0"/>
              <wp:positionH relativeFrom="page">
                <wp:posOffset>6283325</wp:posOffset>
              </wp:positionH>
              <wp:positionV relativeFrom="page">
                <wp:posOffset>10071100</wp:posOffset>
              </wp:positionV>
              <wp:extent cx="545465" cy="201295"/>
              <wp:effectExtent l="0" t="0" r="0" b="0"/>
              <wp:wrapNone/>
              <wp:docPr id="181" name="Shape 181"/>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8</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1" o:spid="_x0000_s1129" type="#_x0000_t202" style="position:absolute;margin-left:494.75pt;margin-top:793pt;width:42.95pt;height:15.85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" filled="f" stroked="f">
              <v:textbox style="mso-fit-shape-to-text:t" inset="0,0,0,0">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8</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02" behindDoc="1" locked="0" layoutInCell="1" allowOverlap="1">
              <wp:simplePos x="0" y="0"/>
              <wp:positionH relativeFrom="page">
                <wp:posOffset>717550</wp:posOffset>
              </wp:positionH>
              <wp:positionV relativeFrom="page">
                <wp:posOffset>10346690</wp:posOffset>
              </wp:positionV>
              <wp:extent cx="4166870" cy="237490"/>
              <wp:effectExtent l="0" t="0" r="0" b="0"/>
              <wp:wrapNone/>
              <wp:docPr id="169" name="Shape 169"/>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T-Mobile </w:t>
                          </w:r>
                          <w:r>
                            <w:rPr>
                              <w:color w:val="231F20"/>
                              <w:sz w:val="13"/>
                              <w:szCs w:val="13"/>
                              <w:lang w:val="en-US" w:eastAsia="en-US" w:bidi="en-US"/>
                            </w:rPr>
                            <w:t xml:space="preserve">Czech Republic </w:t>
                          </w:r>
                          <w:r>
                            <w:rPr>
                              <w:color w:val="231F20"/>
                              <w:sz w:val="13"/>
                              <w:szCs w:val="13"/>
                            </w:rPr>
                            <w:t xml:space="preserve">a.s., Tomíčkova 2144/1, 14800 Praha 4, </w:t>
                          </w:r>
                          <w:r>
                            <w:rPr>
                              <w:color w:val="231F20"/>
                              <w:sz w:val="13"/>
                              <w:szCs w:val="13"/>
                              <w:lang w:val="en-US" w:eastAsia="en-US" w:bidi="en-US"/>
                            </w:rPr>
                            <w:t xml:space="preserve">Czech Republic, </w:t>
                          </w:r>
                          <w:r>
                            <w:rPr>
                              <w:color w:val="231F20"/>
                              <w:sz w:val="13"/>
                              <w:szCs w:val="13"/>
                            </w:rPr>
                            <w:t>IČ:64949681, DIČ: 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 xml:space="preserve">do OR </w:t>
                          </w:r>
                          <w:r>
                            <w:rPr>
                              <w:color w:val="231F20"/>
                              <w:sz w:val="13"/>
                              <w:szCs w:val="13"/>
                            </w:rPr>
                            <w:t xml:space="preserve">u 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195" type="#_x0000_t202" style="position:absolute;margin-left:56.5pt;margin-top:814.70000000000005pt;width:328.10000000000002pt;height:18.699999999999999pt;z-index:-18874395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T-Mobile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 xml:space="preserve">a.s., Tomíčkova 2144/1, 14800 Praha 4, </w:t>
                    </w:r>
                    <w:r>
                      <w:rPr>
                        <w:color w:val="231F20"/>
                        <w:spacing w:val="0"/>
                        <w:w w:val="100"/>
                        <w:position w:val="0"/>
                        <w:sz w:val="13"/>
                        <w:szCs w:val="13"/>
                        <w:shd w:val="clear" w:color="auto" w:fill="auto"/>
                        <w:lang w:val="en-US" w:eastAsia="en-US" w:bidi="en-US"/>
                      </w:rPr>
                      <w:t xml:space="preserve">Czech Republic, </w:t>
                    </w:r>
                    <w:r>
                      <w:rPr>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w:t>
                    </w:r>
                    <w:r>
                      <w:rPr>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804" behindDoc="1" locked="0" layoutInCell="1" allowOverlap="1">
              <wp:simplePos x="0" y="0"/>
              <wp:positionH relativeFrom="page">
                <wp:posOffset>6282690</wp:posOffset>
              </wp:positionH>
              <wp:positionV relativeFrom="page">
                <wp:posOffset>10365105</wp:posOffset>
              </wp:positionV>
              <wp:extent cx="545465" cy="201295"/>
              <wp:effectExtent l="0" t="0" r="0" b="0"/>
              <wp:wrapNone/>
              <wp:docPr id="171" name="Shape 171"/>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9</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1" o:spid="_x0000_s1131" type="#_x0000_t202" style="position:absolute;margin-left:494.7pt;margin-top:816.15pt;width:42.95pt;height:15.85pt;z-index:-4404016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" filled="f" stroked="f">
              <v:textbox style="mso-fit-shape-to-text:t" inset="0,0,0,0">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9</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29" behindDoc="1" locked="0" layoutInCell="1" allowOverlap="1">
              <wp:simplePos x="0" y="0"/>
              <wp:positionH relativeFrom="page">
                <wp:posOffset>717550</wp:posOffset>
              </wp:positionH>
              <wp:positionV relativeFrom="page">
                <wp:posOffset>10052685</wp:posOffset>
              </wp:positionV>
              <wp:extent cx="4166870" cy="237490"/>
              <wp:effectExtent l="0" t="0" r="0" b="0"/>
              <wp:wrapNone/>
              <wp:docPr id="281" name="Shape 281"/>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lang w:val="en-US" w:eastAsia="en-US" w:bidi="en-US"/>
                            </w:rPr>
                            <w:t xml:space="preserve">T-Mobile Czech Republic a.s., Tomickova 2144/1, 14800 Praha 4, Czech Republic, </w:t>
                          </w:r>
                          <w:r>
                            <w:rPr>
                              <w:color w:val="231F20"/>
                              <w:sz w:val="13"/>
                              <w:szCs w:val="13"/>
                            </w:rPr>
                            <w:t xml:space="preserve">IČ:64949681, DIČ: </w:t>
                          </w:r>
                          <w:r>
                            <w:rPr>
                              <w:color w:val="231F20"/>
                              <w:sz w:val="13"/>
                              <w:szCs w:val="13"/>
                              <w:lang w:val="en-US" w:eastAsia="en-US" w:bidi="en-US"/>
                            </w:rPr>
                            <w:t>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 xml:space="preserve">do OR u </w:t>
                          </w:r>
                          <w:r>
                            <w:rPr>
                              <w:color w:val="231F20"/>
                              <w:sz w:val="13"/>
                              <w:szCs w:val="13"/>
                            </w:rPr>
                            <w:t xml:space="preserve">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307" type="#_x0000_t202" style="position:absolute;margin-left:56.5pt;margin-top:791.54999999999995pt;width:328.10000000000002pt;height:18.699999999999999pt;z-index:-18874392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en-US" w:eastAsia="en-US" w:bidi="en-US"/>
                      </w:rPr>
                      <w:t xml:space="preserve">T-Mobile Czech Republic a.s., Tomickova 2144/1, 14800 Praha 4, Czech Republic, </w:t>
                    </w:r>
                    <w:r>
                      <w:rPr>
                        <w:color w:val="231F20"/>
                        <w:spacing w:val="0"/>
                        <w:w w:val="100"/>
                        <w:position w:val="0"/>
                        <w:sz w:val="13"/>
                        <w:szCs w:val="13"/>
                        <w:shd w:val="clear" w:color="auto" w:fill="auto"/>
                        <w:lang w:val="cs-CZ" w:eastAsia="cs-CZ" w:bidi="cs-CZ"/>
                      </w:rPr>
                      <w:t xml:space="preserve">IČ:64949681, DIČ: </w:t>
                    </w:r>
                    <w:r>
                      <w:rPr>
                        <w:color w:val="231F20"/>
                        <w:spacing w:val="0"/>
                        <w:w w:val="100"/>
                        <w:position w:val="0"/>
                        <w:sz w:val="13"/>
                        <w:szCs w:val="13"/>
                        <w:shd w:val="clear" w:color="auto" w:fill="auto"/>
                        <w:lang w:val="en-US" w:eastAsia="en-US" w:bidi="en-US"/>
                      </w:rPr>
                      <w:t>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u </w:t>
                    </w:r>
                    <w:r>
                      <w:rPr>
                        <w:color w:val="231F20"/>
                        <w:spacing w:val="0"/>
                        <w:w w:val="100"/>
                        <w:position w:val="0"/>
                        <w:sz w:val="13"/>
                        <w:szCs w:val="13"/>
                        <w:shd w:val="clear" w:color="auto" w:fill="auto"/>
                        <w:lang w:val="cs-CZ" w:eastAsia="cs-CZ" w:bidi="cs-CZ"/>
                      </w:rPr>
                      <w:t>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831" behindDoc="1" locked="0" layoutInCell="1" allowOverlap="1">
              <wp:simplePos x="0" y="0"/>
              <wp:positionH relativeFrom="page">
                <wp:posOffset>6283325</wp:posOffset>
              </wp:positionH>
              <wp:positionV relativeFrom="page">
                <wp:posOffset>10071100</wp:posOffset>
              </wp:positionV>
              <wp:extent cx="545465" cy="201295"/>
              <wp:effectExtent l="0" t="0" r="0" b="0"/>
              <wp:wrapNone/>
              <wp:docPr id="283" name="Shape 283"/>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10</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3" o:spid="_x0000_s1137" type="#_x0000_t202" style="position:absolute;margin-left:494.75pt;margin-top:793pt;width:42.95pt;height:15.85pt;z-index:-4404016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" filled="f" stroked="f">
              <v:textbox style="mso-fit-shape-to-text:t" inset="0,0,0,0">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10</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OTP 1806</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21" behindDoc="1" locked="0" layoutInCell="1" allowOverlap="1">
              <wp:simplePos x="0" y="0"/>
              <wp:positionH relativeFrom="page">
                <wp:posOffset>717550</wp:posOffset>
              </wp:positionH>
              <wp:positionV relativeFrom="page">
                <wp:posOffset>10052685</wp:posOffset>
              </wp:positionV>
              <wp:extent cx="4166870" cy="237490"/>
              <wp:effectExtent l="0" t="0" r="0" b="0"/>
              <wp:wrapNone/>
              <wp:docPr id="271" name="Shape 271"/>
              <wp:cNvGraphicFramePr/>
              <a:graphic xmlns:a="http://schemas.openxmlformats.org/drawingml/2006/main">
                <a:graphicData uri="http://schemas.microsoft.com/office/word/2010/wordprocessingShape">
                  <wps:wsp>
                    <wps:cNvSpPr txBox="1"/>
                    <wps:spPr>
                      <a:xfrm>
                        <a:off x="0" y="0"/>
                        <a:ext cx="4166870" cy="237490"/>
                      </a:xfrm>
                      <a:prstGeom prst="rect">
                        <a:avLst/>
                      </a:prstGeom>
                      <a:noFill/>
                    </wps:spPr>
                    <wps:txbx>
                      <w:txbxContent>
                        <w:p w:rsidR="00215B20" w:rsidRDefault="00FD0AA3">
                          <w:pPr>
                            <w:pStyle w:val="Zhlavnebozpat20"/>
                            <w:shd w:val="clear" w:color="auto" w:fill="auto"/>
                            <w:rPr>
                              <w:sz w:val="13"/>
                              <w:szCs w:val="13"/>
                            </w:rPr>
                          </w:pPr>
                          <w:r>
                            <w:rPr>
                              <w:color w:val="231F20"/>
                              <w:sz w:val="13"/>
                              <w:szCs w:val="13"/>
                              <w:lang w:val="en-US" w:eastAsia="en-US" w:bidi="en-US"/>
                            </w:rPr>
                            <w:t xml:space="preserve">T-Mobile Czech Republic a.s., Tomickova 2144/1, 14800 Praha 4, Czech Republic, </w:t>
                          </w:r>
                          <w:r>
                            <w:rPr>
                              <w:color w:val="231F20"/>
                              <w:sz w:val="13"/>
                              <w:szCs w:val="13"/>
                            </w:rPr>
                            <w:t xml:space="preserve">IČ:64949681, DIČ: </w:t>
                          </w:r>
                          <w:r>
                            <w:rPr>
                              <w:color w:val="231F20"/>
                              <w:sz w:val="13"/>
                              <w:szCs w:val="13"/>
                              <w:lang w:val="en-US" w:eastAsia="en-US" w:bidi="en-US"/>
                            </w:rPr>
                            <w:t>CZ64949681</w:t>
                          </w:r>
                        </w:p>
                        <w:p w:rsidR="00215B20" w:rsidRDefault="00FD0AA3">
                          <w:pPr>
                            <w:pStyle w:val="Zhlavnebozpat20"/>
                            <w:shd w:val="clear" w:color="auto" w:fill="auto"/>
                            <w:rPr>
                              <w:sz w:val="13"/>
                              <w:szCs w:val="13"/>
                            </w:rPr>
                          </w:pPr>
                          <w:r>
                            <w:rPr>
                              <w:color w:val="231F20"/>
                              <w:sz w:val="13"/>
                              <w:szCs w:val="13"/>
                            </w:rPr>
                            <w:t xml:space="preserve">Zapsaná </w:t>
                          </w:r>
                          <w:r>
                            <w:rPr>
                              <w:color w:val="231F20"/>
                              <w:sz w:val="13"/>
                              <w:szCs w:val="13"/>
                              <w:lang w:val="en-US" w:eastAsia="en-US" w:bidi="en-US"/>
                            </w:rPr>
                            <w:t xml:space="preserve">do OR u </w:t>
                          </w:r>
                          <w:r>
                            <w:rPr>
                              <w:color w:val="231F20"/>
                              <w:sz w:val="13"/>
                              <w:szCs w:val="13"/>
                            </w:rPr>
                            <w:t xml:space="preserve">Městského soudu v </w:t>
                          </w:r>
                          <w:proofErr w:type="gramStart"/>
                          <w:r>
                            <w:rPr>
                              <w:color w:val="231F20"/>
                              <w:sz w:val="13"/>
                              <w:szCs w:val="13"/>
                            </w:rPr>
                            <w:t>Praze, B.3787</w:t>
                          </w:r>
                          <w:proofErr w:type="gramEnd"/>
                          <w:r>
                            <w:rPr>
                              <w:color w:val="231F20"/>
                              <w:sz w:val="13"/>
                              <w:szCs w:val="13"/>
                            </w:rPr>
                            <w:t>,</w:t>
                          </w:r>
                        </w:p>
                      </w:txbxContent>
                    </wps:txbx>
                    <wps:bodyPr wrap="none" lIns="0" tIns="0" rIns="0" bIns="0">
                      <a:spAutoFit/>
                    </wps:bodyPr>
                  </wps:wsp>
                </a:graphicData>
              </a:graphic>
            </wp:anchor>
          </w:drawing>
        </mc:Choice>
        <mc:Fallback>
          <w:pict>
            <v:shape id="_x0000_s1297" type="#_x0000_t202" style="position:absolute;margin-left:56.5pt;margin-top:791.54999999999995pt;width:328.10000000000002pt;height:18.699999999999999pt;z-index:-188743932;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en-US" w:eastAsia="en-US" w:bidi="en-US"/>
                      </w:rPr>
                      <w:t xml:space="preserve">T-Mobile Czech Republic a.s., Tomickova 2144/1, 14800 Praha 4, Czech Republic, </w:t>
                    </w:r>
                    <w:r>
                      <w:rPr>
                        <w:color w:val="231F20"/>
                        <w:spacing w:val="0"/>
                        <w:w w:val="100"/>
                        <w:position w:val="0"/>
                        <w:sz w:val="13"/>
                        <w:szCs w:val="13"/>
                        <w:shd w:val="clear" w:color="auto" w:fill="auto"/>
                        <w:lang w:val="cs-CZ" w:eastAsia="cs-CZ" w:bidi="cs-CZ"/>
                      </w:rPr>
                      <w:t xml:space="preserve">IČ:64949681, DIČ: </w:t>
                    </w:r>
                    <w:r>
                      <w:rPr>
                        <w:color w:val="231F20"/>
                        <w:spacing w:val="0"/>
                        <w:w w:val="100"/>
                        <w:position w:val="0"/>
                        <w:sz w:val="13"/>
                        <w:szCs w:val="13"/>
                        <w:shd w:val="clear" w:color="auto" w:fill="auto"/>
                        <w:lang w:val="en-US" w:eastAsia="en-US" w:bidi="en-US"/>
                      </w:rPr>
                      <w:t>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color w:val="231F20"/>
                        <w:spacing w:val="0"/>
                        <w:w w:val="100"/>
                        <w:position w:val="0"/>
                        <w:sz w:val="13"/>
                        <w:szCs w:val="13"/>
                        <w:shd w:val="clear" w:color="auto" w:fill="auto"/>
                        <w:lang w:val="cs-CZ" w:eastAsia="cs-CZ" w:bidi="cs-CZ"/>
                      </w:rPr>
                      <w:t xml:space="preserve">Zapsaná </w:t>
                    </w:r>
                    <w:r>
                      <w:rPr>
                        <w:color w:val="231F20"/>
                        <w:spacing w:val="0"/>
                        <w:w w:val="100"/>
                        <w:position w:val="0"/>
                        <w:sz w:val="13"/>
                        <w:szCs w:val="13"/>
                        <w:shd w:val="clear" w:color="auto" w:fill="auto"/>
                        <w:lang w:val="en-US" w:eastAsia="en-US" w:bidi="en-US"/>
                      </w:rPr>
                      <w:t xml:space="preserve">do OR u </w:t>
                    </w:r>
                    <w:r>
                      <w:rPr>
                        <w:color w:val="231F20"/>
                        <w:spacing w:val="0"/>
                        <w:w w:val="100"/>
                        <w:position w:val="0"/>
                        <w:sz w:val="13"/>
                        <w:szCs w:val="13"/>
                        <w:shd w:val="clear" w:color="auto" w:fill="auto"/>
                        <w:lang w:val="cs-CZ" w:eastAsia="cs-CZ" w:bidi="cs-CZ"/>
                      </w:rPr>
                      <w:t>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823" behindDoc="1" locked="0" layoutInCell="1" allowOverlap="1">
              <wp:simplePos x="0" y="0"/>
              <wp:positionH relativeFrom="page">
                <wp:posOffset>6283325</wp:posOffset>
              </wp:positionH>
              <wp:positionV relativeFrom="page">
                <wp:posOffset>10071100</wp:posOffset>
              </wp:positionV>
              <wp:extent cx="545465" cy="201295"/>
              <wp:effectExtent l="0" t="0" r="0" b="0"/>
              <wp:wrapNone/>
              <wp:docPr id="273" name="Shape 273"/>
              <wp:cNvGraphicFramePr/>
              <a:graphic xmlns:a="http://schemas.openxmlformats.org/drawingml/2006/main">
                <a:graphicData uri="http://schemas.microsoft.com/office/word/2010/wordprocessingShape">
                  <wps:wsp>
                    <wps:cNvSpPr txBox="1"/>
                    <wps:spPr>
                      <a:xfrm>
                        <a:off x="0" y="0"/>
                        <a:ext cx="545465" cy="201295"/>
                      </a:xfrm>
                      <a:prstGeom prst="rect">
                        <a:avLst/>
                      </a:prstGeom>
                      <a:noFill/>
                    </wps:spPr>
                    <wps:txbx>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11</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 xml:space="preserve">OTP </w:t>
                          </w:r>
                          <w:r>
                            <w:rPr>
                              <w:color w:val="231F20"/>
                              <w:sz w:val="13"/>
                              <w:szCs w:val="13"/>
                            </w:rPr>
                            <w:t>1806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3" o:spid="_x0000_s1139" type="#_x0000_t202" style="position:absolute;margin-left:494.75pt;margin-top:793pt;width:42.95pt;height:15.85pt;z-index:-4404016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" filled="f" stroked="f">
              <v:textbox style="mso-fit-shape-to-text:t" inset="0,0,0,0">
                <w:txbxContent>
                  <w:p w:rsidR="00215B20" w:rsidRDefault="00FD0AA3">
                    <w:pPr>
                      <w:pStyle w:val="Zhlavnebozpat20"/>
                      <w:shd w:val="clear" w:color="auto" w:fill="auto"/>
                      <w:rPr>
                        <w:sz w:val="13"/>
                        <w:szCs w:val="13"/>
                      </w:rPr>
                    </w:pPr>
                    <w:r>
                      <w:rPr>
                        <w:color w:val="231F20"/>
                        <w:sz w:val="13"/>
                        <w:szCs w:val="13"/>
                      </w:rPr>
                      <w:t xml:space="preserve">Stránka </w:t>
                    </w:r>
                    <w:r>
                      <w:fldChar w:fldCharType="begin"/>
                    </w:r>
                    <w:r>
                      <w:instrText xml:space="preserve"> PAGE \* MERGEFORMAT </w:instrText>
                    </w:r>
                    <w:r>
                      <w:fldChar w:fldCharType="separate"/>
                    </w:r>
                    <w:r w:rsidR="00920265" w:rsidRPr="00920265">
                      <w:rPr>
                        <w:noProof/>
                        <w:color w:val="231F20"/>
                        <w:sz w:val="13"/>
                        <w:szCs w:val="13"/>
                      </w:rPr>
                      <w:t>11</w:t>
                    </w:r>
                    <w:r>
                      <w:rPr>
                        <w:color w:val="231F20"/>
                        <w:sz w:val="13"/>
                        <w:szCs w:val="13"/>
                      </w:rPr>
                      <w:fldChar w:fldCharType="end"/>
                    </w:r>
                    <w:r>
                      <w:rPr>
                        <w:color w:val="231F20"/>
                        <w:sz w:val="13"/>
                        <w:szCs w:val="13"/>
                      </w:rPr>
                      <w:t xml:space="preserve"> /li</w:t>
                    </w:r>
                  </w:p>
                  <w:p w:rsidR="00215B20" w:rsidRDefault="00FD0AA3">
                    <w:pPr>
                      <w:pStyle w:val="Zhlavnebozpat20"/>
                      <w:shd w:val="clear" w:color="auto" w:fill="auto"/>
                      <w:rPr>
                        <w:sz w:val="13"/>
                        <w:szCs w:val="13"/>
                      </w:rPr>
                    </w:pPr>
                    <w:r>
                      <w:rPr>
                        <w:color w:val="231F20"/>
                        <w:sz w:val="13"/>
                        <w:szCs w:val="13"/>
                        <w:lang w:val="en-US" w:eastAsia="en-US" w:bidi="en-US"/>
                      </w:rPr>
                      <w:t xml:space="preserve">ver. </w:t>
                    </w:r>
                    <w:r>
                      <w:rPr>
                        <w:color w:val="231F20"/>
                        <w:sz w:val="13"/>
                        <w:szCs w:val="13"/>
                      </w:rPr>
                      <w:t xml:space="preserve">OTP </w:t>
                    </w:r>
                    <w:r>
                      <w:rPr>
                        <w:color w:val="231F20"/>
                        <w:sz w:val="13"/>
                        <w:szCs w:val="13"/>
                      </w:rPr>
                      <w:t>1806</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03" behindDoc="1" locked="0" layoutInCell="1" allowOverlap="1">
              <wp:simplePos x="0" y="0"/>
              <wp:positionH relativeFrom="page">
                <wp:posOffset>6121400</wp:posOffset>
              </wp:positionH>
              <wp:positionV relativeFrom="page">
                <wp:posOffset>10318750</wp:posOffset>
              </wp:positionV>
              <wp:extent cx="496570" cy="64135"/>
              <wp:effectExtent l="0" t="0" r="0" b="0"/>
              <wp:wrapNone/>
              <wp:docPr id="41" name="Shape 41"/>
              <wp:cNvGraphicFramePr/>
              <a:graphic xmlns:a="http://schemas.openxmlformats.org/drawingml/2006/main">
                <a:graphicData uri="http://schemas.microsoft.com/office/word/2010/wordprocessingShape">
                  <wps:wsp>
                    <wps:cNvSpPr txBox="1"/>
                    <wps:spPr>
                      <a:xfrm>
                        <a:off x="0" y="0"/>
                        <a:ext cx="496570" cy="64135"/>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1</w:t>
                          </w:r>
                          <w:r>
                            <w:rPr>
                              <w:rFonts w:ascii="Arial" w:eastAsia="Arial" w:hAnsi="Arial" w:cs="Arial"/>
                              <w:color w:val="231F20"/>
                              <w:sz w:val="13"/>
                              <w:szCs w:val="13"/>
                            </w:rPr>
                            <w:fldChar w:fldCharType="end"/>
                          </w:r>
                          <w:r>
                            <w:rPr>
                              <w:rFonts w:ascii="Arial" w:eastAsia="Arial" w:hAnsi="Arial" w:cs="Arial"/>
                              <w:color w:val="231F20"/>
                              <w:sz w:val="13"/>
                              <w:szCs w:val="13"/>
                            </w:rPr>
                            <w:t>/6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077" type="#_x0000_t202" style="position:absolute;margin-left:482pt;margin-top:812.5pt;width:39.1pt;height:5.05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1</w:t>
                    </w:r>
                    <w:r>
                      <w:rPr>
                        <w:rFonts w:ascii="Arial" w:eastAsia="Arial" w:hAnsi="Arial" w:cs="Arial"/>
                        <w:color w:val="231F20"/>
                        <w:sz w:val="13"/>
                        <w:szCs w:val="13"/>
                      </w:rPr>
                      <w:fldChar w:fldCharType="end"/>
                    </w:r>
                    <w:r>
                      <w:rPr>
                        <w:rFonts w:ascii="Arial" w:eastAsia="Arial" w:hAnsi="Arial" w:cs="Arial"/>
                        <w:color w:val="231F20"/>
                        <w:sz w:val="13"/>
                        <w:szCs w:val="13"/>
                      </w:rPr>
                      <w:t>/6</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59" behindDoc="1" locked="0" layoutInCell="1" allowOverlap="1">
              <wp:simplePos x="0" y="0"/>
              <wp:positionH relativeFrom="page">
                <wp:posOffset>538480</wp:posOffset>
              </wp:positionH>
              <wp:positionV relativeFrom="page">
                <wp:posOffset>10083165</wp:posOffset>
              </wp:positionV>
              <wp:extent cx="4949825" cy="240665"/>
              <wp:effectExtent l="0" t="0" r="0" b="0"/>
              <wp:wrapNone/>
              <wp:docPr id="328" name="Shape 328"/>
              <wp:cNvGraphicFramePr/>
              <a:graphic xmlns:a="http://schemas.openxmlformats.org/drawingml/2006/main">
                <a:graphicData uri="http://schemas.microsoft.com/office/word/2010/wordprocessingShape">
                  <wps:wsp>
                    <wps:cNvSpPr txBox="1"/>
                    <wps:spPr>
                      <a:xfrm>
                        <a:off x="0" y="0"/>
                        <a:ext cx="4949825" cy="240665"/>
                      </a:xfrm>
                      <a:prstGeom prst="rect">
                        <a:avLst/>
                      </a:prstGeom>
                      <a:noFill/>
                    </wps:spPr>
                    <wps:txbx>
                      <w:txbxContent>
                        <w:p w:rsidR="00215B20" w:rsidRDefault="00FD0AA3">
                          <w:pPr>
                            <w:pStyle w:val="Zhlavnebozpat0"/>
                            <w:shd w:val="clear" w:color="auto" w:fill="auto"/>
                            <w:rPr>
                              <w:sz w:val="15"/>
                              <w:szCs w:val="15"/>
                            </w:rPr>
                          </w:pPr>
                          <w:r>
                            <w:rPr>
                              <w:rFonts w:ascii="Times New Roman" w:eastAsia="Times New Roman" w:hAnsi="Times New Roman" w:cs="Times New Roman"/>
                              <w:b/>
                              <w:bCs/>
                              <w:i/>
                              <w:iCs/>
                              <w:sz w:val="15"/>
                              <w:szCs w:val="15"/>
                            </w:rPr>
                            <w:t>T -Mobile Czech Republic a.s., Tomíčkova 2144/1, 148 00 Praha 4, Česká republika, IČO: 64949681, DIČ:</w:t>
                          </w:r>
                          <w:r>
                            <w:rPr>
                              <w:rFonts w:ascii="Times New Roman" w:eastAsia="Times New Roman" w:hAnsi="Times New Roman" w:cs="Times New Roman"/>
                              <w:b/>
                              <w:bCs/>
                              <w:i/>
                              <w:iCs/>
                              <w:sz w:val="15"/>
                              <w:szCs w:val="15"/>
                            </w:rPr>
                            <w:t xml:space="preserve"> CZ64949681,</w:t>
                          </w:r>
                        </w:p>
                        <w:p w:rsidR="00215B20" w:rsidRDefault="00FD0AA3">
                          <w:pPr>
                            <w:pStyle w:val="Zhlavnebozpat0"/>
                            <w:shd w:val="clear" w:color="auto" w:fill="auto"/>
                            <w:rPr>
                              <w:sz w:val="15"/>
                              <w:szCs w:val="15"/>
                            </w:rPr>
                          </w:pPr>
                          <w:r>
                            <w:rPr>
                              <w:rFonts w:ascii="Times New Roman" w:eastAsia="Times New Roman" w:hAnsi="Times New Roman" w:cs="Times New Roman"/>
                              <w:b/>
                              <w:bCs/>
                              <w:i/>
                              <w:iCs/>
                              <w:sz w:val="15"/>
                              <w:szCs w:val="15"/>
                            </w:rPr>
                            <w:t xml:space="preserve">zapsaná do OR u Městského soudu v </w:t>
                          </w:r>
                          <w:proofErr w:type="gramStart"/>
                          <w:r>
                            <w:rPr>
                              <w:rFonts w:ascii="Times New Roman" w:eastAsia="Times New Roman" w:hAnsi="Times New Roman" w:cs="Times New Roman"/>
                              <w:b/>
                              <w:bCs/>
                              <w:i/>
                              <w:iCs/>
                              <w:sz w:val="15"/>
                              <w:szCs w:val="15"/>
                            </w:rPr>
                            <w:t>Praze, B.3787</w:t>
                          </w:r>
                          <w:proofErr w:type="gramEnd"/>
                        </w:p>
                      </w:txbxContent>
                    </wps:txbx>
                    <wps:bodyPr wrap="none" lIns="0" tIns="0" rIns="0" bIns="0">
                      <a:spAutoFit/>
                    </wps:bodyPr>
                  </wps:wsp>
                </a:graphicData>
              </a:graphic>
            </wp:anchor>
          </w:drawing>
        </mc:Choice>
        <mc:Fallback>
          <w:pict>
            <v:shape id="_x0000_s1354" type="#_x0000_t202" style="position:absolute;margin-left:42.399999999999999pt;margin-top:793.95000000000005pt;width:389.75pt;height:18.949999999999999pt;z-index:-188743894;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i/>
                        <w:iCs/>
                        <w:spacing w:val="0"/>
                        <w:w w:val="100"/>
                        <w:position w:val="0"/>
                        <w:sz w:val="15"/>
                        <w:szCs w:val="15"/>
                        <w:shd w:val="clear" w:color="auto" w:fill="auto"/>
                        <w:lang w:val="cs-CZ" w:eastAsia="cs-CZ" w:bidi="cs-CZ"/>
                      </w:rPr>
                      <w:t>T -Mobile Czech Republic a.s., Tomíčkova 2144/1, 148 00 Praha 4, Česká republika, IČO: 64949681, DIČ: CZ64949681,</w:t>
                    </w:r>
                  </w:p>
                  <w:p>
                    <w:pPr>
                      <w:pStyle w:val="Style15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i/>
                        <w:iCs/>
                        <w:spacing w:val="0"/>
                        <w:w w:val="100"/>
                        <w:position w:val="0"/>
                        <w:sz w:val="15"/>
                        <w:szCs w:val="15"/>
                        <w:shd w:val="clear" w:color="auto" w:fill="auto"/>
                        <w:lang w:val="cs-CZ" w:eastAsia="cs-CZ" w:bidi="cs-CZ"/>
                      </w:rPr>
                      <w:t>zapsaná do OR u Městského soudu v Praze, B.3787</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53" behindDoc="1" locked="0" layoutInCell="1" allowOverlap="1">
              <wp:simplePos x="0" y="0"/>
              <wp:positionH relativeFrom="page">
                <wp:posOffset>538480</wp:posOffset>
              </wp:positionH>
              <wp:positionV relativeFrom="page">
                <wp:posOffset>10083165</wp:posOffset>
              </wp:positionV>
              <wp:extent cx="4949825" cy="240665"/>
              <wp:effectExtent l="0" t="0" r="0" b="0"/>
              <wp:wrapNone/>
              <wp:docPr id="320" name="Shape 320"/>
              <wp:cNvGraphicFramePr/>
              <a:graphic xmlns:a="http://schemas.openxmlformats.org/drawingml/2006/main">
                <a:graphicData uri="http://schemas.microsoft.com/office/word/2010/wordprocessingShape">
                  <wps:wsp>
                    <wps:cNvSpPr txBox="1"/>
                    <wps:spPr>
                      <a:xfrm>
                        <a:off x="0" y="0"/>
                        <a:ext cx="4949825" cy="240665"/>
                      </a:xfrm>
                      <a:prstGeom prst="rect">
                        <a:avLst/>
                      </a:prstGeom>
                      <a:noFill/>
                    </wps:spPr>
                    <wps:txbx>
                      <w:txbxContent>
                        <w:p w:rsidR="00215B20" w:rsidRDefault="00FD0AA3">
                          <w:pPr>
                            <w:pStyle w:val="Zhlavnebozpat0"/>
                            <w:shd w:val="clear" w:color="auto" w:fill="auto"/>
                            <w:rPr>
                              <w:sz w:val="15"/>
                              <w:szCs w:val="15"/>
                            </w:rPr>
                          </w:pPr>
                          <w:r>
                            <w:rPr>
                              <w:rFonts w:ascii="Times New Roman" w:eastAsia="Times New Roman" w:hAnsi="Times New Roman" w:cs="Times New Roman"/>
                              <w:b/>
                              <w:bCs/>
                              <w:i/>
                              <w:iCs/>
                              <w:sz w:val="15"/>
                              <w:szCs w:val="15"/>
                            </w:rPr>
                            <w:t xml:space="preserve">T -Mobile Czech Republic a.s., Tomíčkova </w:t>
                          </w:r>
                          <w:r>
                            <w:rPr>
                              <w:rFonts w:ascii="Times New Roman" w:eastAsia="Times New Roman" w:hAnsi="Times New Roman" w:cs="Times New Roman"/>
                              <w:b/>
                              <w:bCs/>
                              <w:i/>
                              <w:iCs/>
                              <w:sz w:val="15"/>
                              <w:szCs w:val="15"/>
                            </w:rPr>
                            <w:t>2144/1, 148 00 Praha 4, Česká republika, IČO: 64949681, DIČ: CZ64949681,</w:t>
                          </w:r>
                        </w:p>
                        <w:p w:rsidR="00215B20" w:rsidRDefault="00FD0AA3">
                          <w:pPr>
                            <w:pStyle w:val="Zhlavnebozpat0"/>
                            <w:shd w:val="clear" w:color="auto" w:fill="auto"/>
                            <w:rPr>
                              <w:sz w:val="15"/>
                              <w:szCs w:val="15"/>
                            </w:rPr>
                          </w:pPr>
                          <w:r>
                            <w:rPr>
                              <w:rFonts w:ascii="Times New Roman" w:eastAsia="Times New Roman" w:hAnsi="Times New Roman" w:cs="Times New Roman"/>
                              <w:b/>
                              <w:bCs/>
                              <w:i/>
                              <w:iCs/>
                              <w:sz w:val="15"/>
                              <w:szCs w:val="15"/>
                            </w:rPr>
                            <w:t xml:space="preserve">zapsaná do OR u Městského soudu v </w:t>
                          </w:r>
                          <w:proofErr w:type="gramStart"/>
                          <w:r>
                            <w:rPr>
                              <w:rFonts w:ascii="Times New Roman" w:eastAsia="Times New Roman" w:hAnsi="Times New Roman" w:cs="Times New Roman"/>
                              <w:b/>
                              <w:bCs/>
                              <w:i/>
                              <w:iCs/>
                              <w:sz w:val="15"/>
                              <w:szCs w:val="15"/>
                            </w:rPr>
                            <w:t>Praze, B.3787</w:t>
                          </w:r>
                          <w:proofErr w:type="gramEnd"/>
                        </w:p>
                      </w:txbxContent>
                    </wps:txbx>
                    <wps:bodyPr wrap="none" lIns="0" tIns="0" rIns="0" bIns="0">
                      <a:spAutoFit/>
                    </wps:bodyPr>
                  </wps:wsp>
                </a:graphicData>
              </a:graphic>
            </wp:anchor>
          </w:drawing>
        </mc:Choice>
        <mc:Fallback>
          <w:pict>
            <v:shape id="_x0000_s1346" type="#_x0000_t202" style="position:absolute;margin-left:42.399999999999999pt;margin-top:793.95000000000005pt;width:389.75pt;height:18.949999999999999pt;z-index:-188743900;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i/>
                        <w:iCs/>
                        <w:spacing w:val="0"/>
                        <w:w w:val="100"/>
                        <w:position w:val="0"/>
                        <w:sz w:val="15"/>
                        <w:szCs w:val="15"/>
                        <w:shd w:val="clear" w:color="auto" w:fill="auto"/>
                        <w:lang w:val="cs-CZ" w:eastAsia="cs-CZ" w:bidi="cs-CZ"/>
                      </w:rPr>
                      <w:t>T -Mobile Czech Republic a.s., Tomíčkova 2144/1, 148 00 Praha 4, Česká republika, IČO: 64949681, DIČ: CZ64949681,</w:t>
                    </w:r>
                  </w:p>
                  <w:p>
                    <w:pPr>
                      <w:pStyle w:val="Style15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i/>
                        <w:iCs/>
                        <w:spacing w:val="0"/>
                        <w:w w:val="100"/>
                        <w:position w:val="0"/>
                        <w:sz w:val="15"/>
                        <w:szCs w:val="15"/>
                        <w:shd w:val="clear" w:color="auto" w:fill="auto"/>
                        <w:lang w:val="cs-CZ" w:eastAsia="cs-CZ" w:bidi="cs-CZ"/>
                      </w:rPr>
                      <w:t>zapsaná do OR u Městského soudu v Praze, B.3787</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67" behindDoc="1" locked="0" layoutInCell="1" allowOverlap="1">
              <wp:simplePos x="0" y="0"/>
              <wp:positionH relativeFrom="page">
                <wp:posOffset>538480</wp:posOffset>
              </wp:positionH>
              <wp:positionV relativeFrom="page">
                <wp:posOffset>10085070</wp:posOffset>
              </wp:positionV>
              <wp:extent cx="4949825" cy="240665"/>
              <wp:effectExtent l="0" t="0" r="0" b="0"/>
              <wp:wrapNone/>
              <wp:docPr id="336" name="Shape 336"/>
              <wp:cNvGraphicFramePr/>
              <a:graphic xmlns:a="http://schemas.openxmlformats.org/drawingml/2006/main">
                <a:graphicData uri="http://schemas.microsoft.com/office/word/2010/wordprocessingShape">
                  <wps:wsp>
                    <wps:cNvSpPr txBox="1"/>
                    <wps:spPr>
                      <a:xfrm>
                        <a:off x="0" y="0"/>
                        <a:ext cx="4949825" cy="240665"/>
                      </a:xfrm>
                      <a:prstGeom prst="rect">
                        <a:avLst/>
                      </a:prstGeom>
                      <a:noFill/>
                    </wps:spPr>
                    <wps:txbx>
                      <w:txbxContent>
                        <w:p w:rsidR="00215B20" w:rsidRDefault="00FD0AA3">
                          <w:pPr>
                            <w:pStyle w:val="Zhlavnebozpat0"/>
                            <w:shd w:val="clear" w:color="auto" w:fill="auto"/>
                            <w:rPr>
                              <w:sz w:val="15"/>
                              <w:szCs w:val="15"/>
                            </w:rPr>
                          </w:pPr>
                          <w:r>
                            <w:rPr>
                              <w:rFonts w:ascii="Times New Roman" w:eastAsia="Times New Roman" w:hAnsi="Times New Roman" w:cs="Times New Roman"/>
                              <w:b/>
                              <w:bCs/>
                              <w:i/>
                              <w:iCs/>
                              <w:sz w:val="15"/>
                              <w:szCs w:val="15"/>
                            </w:rPr>
                            <w:t xml:space="preserve">T -Mobile Czech Republic a.s., Tomíčkova </w:t>
                          </w:r>
                          <w:r>
                            <w:rPr>
                              <w:rFonts w:ascii="Times New Roman" w:eastAsia="Times New Roman" w:hAnsi="Times New Roman" w:cs="Times New Roman"/>
                              <w:b/>
                              <w:bCs/>
                              <w:i/>
                              <w:iCs/>
                              <w:sz w:val="15"/>
                              <w:szCs w:val="15"/>
                            </w:rPr>
                            <w:t>2144/1, 148 00 Praha 4, Česká republika, IČO: 64949681, DIČ: CZ64949681,</w:t>
                          </w:r>
                        </w:p>
                        <w:p w:rsidR="00215B20" w:rsidRDefault="00FD0AA3">
                          <w:pPr>
                            <w:pStyle w:val="Zhlavnebozpat0"/>
                            <w:shd w:val="clear" w:color="auto" w:fill="auto"/>
                            <w:rPr>
                              <w:sz w:val="15"/>
                              <w:szCs w:val="15"/>
                            </w:rPr>
                          </w:pPr>
                          <w:r>
                            <w:rPr>
                              <w:rFonts w:ascii="Times New Roman" w:eastAsia="Times New Roman" w:hAnsi="Times New Roman" w:cs="Times New Roman"/>
                              <w:b/>
                              <w:bCs/>
                              <w:i/>
                              <w:iCs/>
                              <w:sz w:val="15"/>
                              <w:szCs w:val="15"/>
                            </w:rPr>
                            <w:t xml:space="preserve">zapsaná do OR u Městského soudu v </w:t>
                          </w:r>
                          <w:proofErr w:type="gramStart"/>
                          <w:r>
                            <w:rPr>
                              <w:rFonts w:ascii="Times New Roman" w:eastAsia="Times New Roman" w:hAnsi="Times New Roman" w:cs="Times New Roman"/>
                              <w:b/>
                              <w:bCs/>
                              <w:i/>
                              <w:iCs/>
                              <w:sz w:val="15"/>
                              <w:szCs w:val="15"/>
                            </w:rPr>
                            <w:t>Praze, B.3787</w:t>
                          </w:r>
                          <w:proofErr w:type="gramEnd"/>
                        </w:p>
                      </w:txbxContent>
                    </wps:txbx>
                    <wps:bodyPr wrap="none" lIns="0" tIns="0" rIns="0" bIns="0">
                      <a:spAutoFit/>
                    </wps:bodyPr>
                  </wps:wsp>
                </a:graphicData>
              </a:graphic>
            </wp:anchor>
          </w:drawing>
        </mc:Choice>
        <mc:Fallback>
          <w:pict>
            <v:shape id="_x0000_s1362" type="#_x0000_t202" style="position:absolute;margin-left:42.399999999999999pt;margin-top:794.10000000000002pt;width:389.75pt;height:18.949999999999999pt;z-index:-188743886;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i/>
                        <w:iCs/>
                        <w:spacing w:val="0"/>
                        <w:w w:val="100"/>
                        <w:position w:val="0"/>
                        <w:sz w:val="15"/>
                        <w:szCs w:val="15"/>
                        <w:shd w:val="clear" w:color="auto" w:fill="auto"/>
                        <w:lang w:val="cs-CZ" w:eastAsia="cs-CZ" w:bidi="cs-CZ"/>
                      </w:rPr>
                      <w:t>T -Mobile Czech Republic a.s., Tomíčkova 2144/1, 148 00 Praha 4, Česká republika, IČO: 64949681, DIČ: CZ64949681,</w:t>
                    </w:r>
                  </w:p>
                  <w:p>
                    <w:pPr>
                      <w:pStyle w:val="Style15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i/>
                        <w:iCs/>
                        <w:spacing w:val="0"/>
                        <w:w w:val="100"/>
                        <w:position w:val="0"/>
                        <w:sz w:val="15"/>
                        <w:szCs w:val="15"/>
                        <w:shd w:val="clear" w:color="auto" w:fill="auto"/>
                        <w:lang w:val="cs-CZ" w:eastAsia="cs-CZ" w:bidi="cs-CZ"/>
                      </w:rPr>
                      <w:t>zapsaná do OR u Městského soudu v Praze, B.3787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63" behindDoc="1" locked="0" layoutInCell="1" allowOverlap="1">
              <wp:simplePos x="0" y="0"/>
              <wp:positionH relativeFrom="page">
                <wp:posOffset>538480</wp:posOffset>
              </wp:positionH>
              <wp:positionV relativeFrom="page">
                <wp:posOffset>10085070</wp:posOffset>
              </wp:positionV>
              <wp:extent cx="4949825" cy="240665"/>
              <wp:effectExtent l="0" t="0" r="0" b="0"/>
              <wp:wrapNone/>
              <wp:docPr id="332" name="Shape 332"/>
              <wp:cNvGraphicFramePr/>
              <a:graphic xmlns:a="http://schemas.openxmlformats.org/drawingml/2006/main">
                <a:graphicData uri="http://schemas.microsoft.com/office/word/2010/wordprocessingShape">
                  <wps:wsp>
                    <wps:cNvSpPr txBox="1"/>
                    <wps:spPr>
                      <a:xfrm>
                        <a:off x="0" y="0"/>
                        <a:ext cx="4949825" cy="240665"/>
                      </a:xfrm>
                      <a:prstGeom prst="rect">
                        <a:avLst/>
                      </a:prstGeom>
                      <a:noFill/>
                    </wps:spPr>
                    <wps:txbx>
                      <w:txbxContent>
                        <w:p w:rsidR="00215B20" w:rsidRDefault="00FD0AA3">
                          <w:pPr>
                            <w:pStyle w:val="Zhlavnebozpat0"/>
                            <w:shd w:val="clear" w:color="auto" w:fill="auto"/>
                            <w:rPr>
                              <w:sz w:val="15"/>
                              <w:szCs w:val="15"/>
                            </w:rPr>
                          </w:pPr>
                          <w:r>
                            <w:rPr>
                              <w:rFonts w:ascii="Times New Roman" w:eastAsia="Times New Roman" w:hAnsi="Times New Roman" w:cs="Times New Roman"/>
                              <w:b/>
                              <w:bCs/>
                              <w:i/>
                              <w:iCs/>
                              <w:sz w:val="15"/>
                              <w:szCs w:val="15"/>
                            </w:rPr>
                            <w:t>T -Mobile Czech Republic a.s., Tomíčkova 2144/1, 148 00 Praha 4, Česká republika, IČO: 64949681, DIČ: CZ64949681,</w:t>
                          </w:r>
                        </w:p>
                        <w:p w:rsidR="00215B20" w:rsidRDefault="00FD0AA3">
                          <w:pPr>
                            <w:pStyle w:val="Zhlavnebozpat0"/>
                            <w:shd w:val="clear" w:color="auto" w:fill="auto"/>
                            <w:rPr>
                              <w:sz w:val="15"/>
                              <w:szCs w:val="15"/>
                            </w:rPr>
                          </w:pPr>
                          <w:r>
                            <w:rPr>
                              <w:rFonts w:ascii="Times New Roman" w:eastAsia="Times New Roman" w:hAnsi="Times New Roman" w:cs="Times New Roman"/>
                              <w:b/>
                              <w:bCs/>
                              <w:i/>
                              <w:iCs/>
                              <w:sz w:val="15"/>
                              <w:szCs w:val="15"/>
                            </w:rPr>
                            <w:t xml:space="preserve">zapsaná do OR u Městského soudu v </w:t>
                          </w:r>
                          <w:proofErr w:type="gramStart"/>
                          <w:r>
                            <w:rPr>
                              <w:rFonts w:ascii="Times New Roman" w:eastAsia="Times New Roman" w:hAnsi="Times New Roman" w:cs="Times New Roman"/>
                              <w:b/>
                              <w:bCs/>
                              <w:i/>
                              <w:iCs/>
                              <w:sz w:val="15"/>
                              <w:szCs w:val="15"/>
                            </w:rPr>
                            <w:t>Praze, B.3787</w:t>
                          </w:r>
                          <w:proofErr w:type="gramEnd"/>
                        </w:p>
                      </w:txbxContent>
                    </wps:txbx>
                    <wps:bodyPr wrap="none" lIns="0" tIns="0" rIns="0" bIns="0">
                      <a:spAutoFit/>
                    </wps:bodyPr>
                  </wps:wsp>
                </a:graphicData>
              </a:graphic>
            </wp:anchor>
          </w:drawing>
        </mc:Choice>
        <mc:Fallback>
          <w:pict>
            <v:shape id="_x0000_s1358" type="#_x0000_t202" style="position:absolute;margin-left:42.399999999999999pt;margin-top:794.10000000000002pt;width:389.75pt;height:18.949999999999999pt;z-index:-188743890;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i/>
                        <w:iCs/>
                        <w:spacing w:val="0"/>
                        <w:w w:val="100"/>
                        <w:position w:val="0"/>
                        <w:sz w:val="15"/>
                        <w:szCs w:val="15"/>
                        <w:shd w:val="clear" w:color="auto" w:fill="auto"/>
                        <w:lang w:val="cs-CZ" w:eastAsia="cs-CZ" w:bidi="cs-CZ"/>
                      </w:rPr>
                      <w:t>T -Mobile Czech Republic a.s., Tomíčkova 2144/1, 148 00 Praha 4, Česká republika, IČO: 64949681, DIČ: CZ64949681,</w:t>
                    </w:r>
                  </w:p>
                  <w:p>
                    <w:pPr>
                      <w:pStyle w:val="Style15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b/>
                        <w:bCs/>
                        <w:i/>
                        <w:iCs/>
                        <w:spacing w:val="0"/>
                        <w:w w:val="100"/>
                        <w:position w:val="0"/>
                        <w:sz w:val="15"/>
                        <w:szCs w:val="15"/>
                        <w:shd w:val="clear" w:color="auto" w:fill="auto"/>
                        <w:lang w:val="cs-CZ" w:eastAsia="cs-CZ" w:bidi="cs-CZ"/>
                      </w:rPr>
                      <w:t>zapsaná do OR u Městského soudu v Praze, B.3787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79" behindDoc="1" locked="0" layoutInCell="1" allowOverlap="1">
              <wp:simplePos x="0" y="0"/>
              <wp:positionH relativeFrom="page">
                <wp:posOffset>6737985</wp:posOffset>
              </wp:positionH>
              <wp:positionV relativeFrom="page">
                <wp:posOffset>10154920</wp:posOffset>
              </wp:positionV>
              <wp:extent cx="280670" cy="335280"/>
              <wp:effectExtent l="0" t="0" r="0" b="0"/>
              <wp:wrapNone/>
              <wp:docPr id="348" name="Shape 348"/>
              <wp:cNvGraphicFramePr/>
              <a:graphic xmlns:a="http://schemas.openxmlformats.org/drawingml/2006/main">
                <a:graphicData uri="http://schemas.microsoft.com/office/word/2010/wordprocessingShape">
                  <wps:wsp>
                    <wps:cNvSpPr txBox="1"/>
                    <wps:spPr>
                      <a:xfrm>
                        <a:off x="0" y="0"/>
                        <a:ext cx="280670" cy="335280"/>
                      </a:xfrm>
                      <a:prstGeom prst="rect">
                        <a:avLst/>
                      </a:prstGeom>
                      <a:noFill/>
                    </wps:spPr>
                    <wps:txbx>
                      <w:txbxContent>
                        <w:p w:rsidR="00215B20" w:rsidRDefault="00FD0AA3">
                          <w:pPr>
                            <w:pStyle w:val="Zhlavnebozpat0"/>
                            <w:shd w:val="clear" w:color="auto" w:fill="auto"/>
                            <w:rPr>
                              <w:sz w:val="78"/>
                              <w:szCs w:val="78"/>
                            </w:rPr>
                          </w:pPr>
                          <w:r>
                            <w:rPr>
                              <w:rFonts w:ascii="Franklin Gothic Medium Cond" w:eastAsia="Franklin Gothic Medium Cond" w:hAnsi="Franklin Gothic Medium Cond" w:cs="Franklin Gothic Medium Cond"/>
                              <w:b/>
                              <w:bCs/>
                              <w:color w:val="EC018B"/>
                              <w:sz w:val="78"/>
                              <w:szCs w:val="78"/>
                            </w:rPr>
                            <w:t>T</w:t>
                          </w:r>
                        </w:p>
                      </w:txbxContent>
                    </wps:txbx>
                    <wps:bodyPr wrap="none" lIns="0" tIns="0" rIns="0" bIns="0">
                      <a:spAutoFit/>
                    </wps:bodyPr>
                  </wps:wsp>
                </a:graphicData>
              </a:graphic>
            </wp:anchor>
          </w:drawing>
        </mc:Choice>
        <mc:Fallback>
          <w:pict>
            <v:shape id="_x0000_s1374" type="#_x0000_t202" style="position:absolute;margin-left:530.54999999999995pt;margin-top:799.60000000000002pt;width:22.100000000000001pt;height:26.399999999999999pt;z-index:-188743874;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78"/>
                        <w:szCs w:val="78"/>
                      </w:rPr>
                    </w:pPr>
                    <w:r>
                      <w:rPr>
                        <w:rFonts w:ascii="Franklin Gothic Medium Cond" w:eastAsia="Franklin Gothic Medium Cond" w:hAnsi="Franklin Gothic Medium Cond" w:cs="Franklin Gothic Medium Cond"/>
                        <w:b/>
                        <w:bCs/>
                        <w:color w:val="EC018B"/>
                        <w:spacing w:val="0"/>
                        <w:w w:val="100"/>
                        <w:position w:val="0"/>
                        <w:sz w:val="78"/>
                        <w:szCs w:val="78"/>
                        <w:shd w:val="clear" w:color="auto" w:fill="auto"/>
                        <w:lang w:val="cs-CZ" w:eastAsia="cs-CZ" w:bidi="cs-CZ"/>
                      </w:rPr>
                      <w:t>T</w:t>
                    </w:r>
                  </w:p>
                </w:txbxContent>
              </v:textbox>
              <w10:wrap anchorx="page" anchory="page"/>
            </v:shape>
          </w:pict>
        </mc:Fallback>
      </mc:AlternateContent>
    </w:r>
    <w:r>
      <w:rPr>
        <w:noProof/>
        <w:lang w:bidi="ar-SA"/>
      </w:rPr>
      <mc:AlternateContent>
        <mc:Choice Requires="wps">
          <w:drawing>
            <wp:anchor distT="0" distB="0" distL="0" distR="0" simplePos="0" relativeHeight="62914881" behindDoc="1" locked="0" layoutInCell="1" allowOverlap="1">
              <wp:simplePos x="0" y="0"/>
              <wp:positionH relativeFrom="page">
                <wp:posOffset>538480</wp:posOffset>
              </wp:positionH>
              <wp:positionV relativeFrom="page">
                <wp:posOffset>10267950</wp:posOffset>
              </wp:positionV>
              <wp:extent cx="4949825" cy="240665"/>
              <wp:effectExtent l="0" t="0" r="0" b="0"/>
              <wp:wrapNone/>
              <wp:docPr id="350" name="Shape 350"/>
              <wp:cNvGraphicFramePr/>
              <a:graphic xmlns:a="http://schemas.openxmlformats.org/drawingml/2006/main">
                <a:graphicData uri="http://schemas.microsoft.com/office/word/2010/wordprocessingShape">
                  <wps:wsp>
                    <wps:cNvSpPr txBox="1"/>
                    <wps:spPr>
                      <a:xfrm>
                        <a:off x="0" y="0"/>
                        <a:ext cx="4949825" cy="240665"/>
                      </a:xfrm>
                      <a:prstGeom prst="rect">
                        <a:avLst/>
                      </a:prstGeom>
                      <a:noFill/>
                    </wps:spPr>
                    <wps:txbx>
                      <w:txbxContent>
                        <w:p w:rsidR="00215B20" w:rsidRDefault="00FD0AA3">
                          <w:pPr>
                            <w:pStyle w:val="Zhlavnebozpat0"/>
                            <w:shd w:val="clear" w:color="auto" w:fill="auto"/>
                            <w:rPr>
                              <w:sz w:val="15"/>
                              <w:szCs w:val="15"/>
                            </w:rPr>
                          </w:pPr>
                          <w:r>
                            <w:rPr>
                              <w:b/>
                              <w:bCs/>
                              <w:i/>
                              <w:iCs/>
                              <w:sz w:val="15"/>
                              <w:szCs w:val="15"/>
                              <w:lang w:val="en-US" w:eastAsia="en-US" w:bidi="en-US"/>
                            </w:rPr>
                            <w:t xml:space="preserve">T -Mobile Czech Republic a.s., </w:t>
                          </w:r>
                          <w:r>
                            <w:rPr>
                              <w:b/>
                              <w:bCs/>
                              <w:i/>
                              <w:iCs/>
                              <w:sz w:val="15"/>
                              <w:szCs w:val="15"/>
                            </w:rPr>
                            <w:t xml:space="preserve">Tomíčkova </w:t>
                          </w:r>
                          <w:r>
                            <w:rPr>
                              <w:b/>
                              <w:bCs/>
                              <w:i/>
                              <w:iCs/>
                              <w:sz w:val="15"/>
                              <w:szCs w:val="15"/>
                              <w:lang w:val="en-US" w:eastAsia="en-US" w:bidi="en-US"/>
                            </w:rPr>
                            <w:t xml:space="preserve">2144/1, 148 00 Praha 4, </w:t>
                          </w:r>
                          <w:r>
                            <w:rPr>
                              <w:b/>
                              <w:bCs/>
                              <w:i/>
                              <w:iCs/>
                              <w:sz w:val="15"/>
                              <w:szCs w:val="15"/>
                            </w:rPr>
                            <w:t xml:space="preserve">Česká </w:t>
                          </w:r>
                          <w:r>
                            <w:rPr>
                              <w:b/>
                              <w:bCs/>
                              <w:i/>
                              <w:iCs/>
                              <w:sz w:val="15"/>
                              <w:szCs w:val="15"/>
                              <w:lang w:val="en-US" w:eastAsia="en-US" w:bidi="en-US"/>
                            </w:rPr>
                            <w:t xml:space="preserve">republika, </w:t>
                          </w:r>
                          <w:r>
                            <w:rPr>
                              <w:b/>
                              <w:bCs/>
                              <w:i/>
                              <w:iCs/>
                              <w:sz w:val="15"/>
                              <w:szCs w:val="15"/>
                            </w:rPr>
                            <w:t xml:space="preserve">IČO: </w:t>
                          </w:r>
                          <w:r>
                            <w:rPr>
                              <w:b/>
                              <w:bCs/>
                              <w:i/>
                              <w:iCs/>
                              <w:sz w:val="15"/>
                              <w:szCs w:val="15"/>
                              <w:lang w:val="en-US" w:eastAsia="en-US" w:bidi="en-US"/>
                            </w:rPr>
                            <w:t xml:space="preserve">64949681, </w:t>
                          </w:r>
                          <w:r>
                            <w:rPr>
                              <w:b/>
                              <w:bCs/>
                              <w:i/>
                              <w:iCs/>
                              <w:sz w:val="15"/>
                              <w:szCs w:val="15"/>
                            </w:rPr>
                            <w:t xml:space="preserve">DIČ: </w:t>
                          </w:r>
                          <w:r>
                            <w:rPr>
                              <w:b/>
                              <w:bCs/>
                              <w:i/>
                              <w:iCs/>
                              <w:sz w:val="15"/>
                              <w:szCs w:val="15"/>
                              <w:lang w:val="en-US" w:eastAsia="en-US" w:bidi="en-US"/>
                            </w:rPr>
                            <w:t>CZ64949681,</w:t>
                          </w:r>
                        </w:p>
                        <w:p w:rsidR="00215B20" w:rsidRDefault="00FD0AA3">
                          <w:pPr>
                            <w:pStyle w:val="Zhlavnebozpat0"/>
                            <w:shd w:val="clear" w:color="auto" w:fill="auto"/>
                            <w:rPr>
                              <w:sz w:val="15"/>
                              <w:szCs w:val="15"/>
                            </w:rPr>
                          </w:pPr>
                          <w:r>
                            <w:rPr>
                              <w:b/>
                              <w:bCs/>
                              <w:i/>
                              <w:iCs/>
                              <w:sz w:val="15"/>
                              <w:szCs w:val="15"/>
                            </w:rPr>
                            <w:t xml:space="preserve">zapsaná </w:t>
                          </w:r>
                          <w:r>
                            <w:rPr>
                              <w:b/>
                              <w:bCs/>
                              <w:i/>
                              <w:iCs/>
                              <w:sz w:val="15"/>
                              <w:szCs w:val="15"/>
                              <w:lang w:val="en-US" w:eastAsia="en-US" w:bidi="en-US"/>
                            </w:rPr>
                            <w:t xml:space="preserve">do OR u </w:t>
                          </w:r>
                          <w:r>
                            <w:rPr>
                              <w:b/>
                              <w:bCs/>
                              <w:i/>
                              <w:iCs/>
                              <w:sz w:val="15"/>
                              <w:szCs w:val="15"/>
                            </w:rPr>
                            <w:t xml:space="preserve">Městského </w:t>
                          </w:r>
                          <w:r>
                            <w:rPr>
                              <w:b/>
                              <w:bCs/>
                              <w:i/>
                              <w:iCs/>
                              <w:sz w:val="15"/>
                              <w:szCs w:val="15"/>
                              <w:lang w:val="en-US" w:eastAsia="en-US" w:bidi="en-US"/>
                            </w:rPr>
                            <w:t xml:space="preserve">soudu v </w:t>
                          </w:r>
                          <w:proofErr w:type="gramStart"/>
                          <w:r>
                            <w:rPr>
                              <w:b/>
                              <w:bCs/>
                              <w:i/>
                              <w:iCs/>
                              <w:sz w:val="15"/>
                              <w:szCs w:val="15"/>
                              <w:lang w:val="en-US" w:eastAsia="en-US" w:bidi="en-US"/>
                            </w:rPr>
                            <w:t>Praze, B.3787</w:t>
                          </w:r>
                          <w:proofErr w:type="gramEnd"/>
                        </w:p>
                      </w:txbxContent>
                    </wps:txbx>
                    <wps:bodyPr wrap="none" lIns="0" tIns="0" rIns="0" bIns="0">
                      <a:spAutoFit/>
                    </wps:bodyPr>
                  </wps:wsp>
                </a:graphicData>
              </a:graphic>
            </wp:anchor>
          </w:drawing>
        </mc:Choice>
        <mc:Fallback>
          <w:pict>
            <v:shape id="_x0000_s1376" type="#_x0000_t202" style="position:absolute;margin-left:42.399999999999999pt;margin-top:808.5pt;width:389.75pt;height:18.949999999999999pt;z-index:-188743872;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5"/>
                        <w:szCs w:val="15"/>
                      </w:rPr>
                    </w:pPr>
                    <w:r>
                      <w:rPr>
                        <w:b/>
                        <w:bCs/>
                        <w:i/>
                        <w:iCs/>
                        <w:spacing w:val="0"/>
                        <w:w w:val="100"/>
                        <w:position w:val="0"/>
                        <w:sz w:val="15"/>
                        <w:szCs w:val="15"/>
                        <w:shd w:val="clear" w:color="auto" w:fill="auto"/>
                        <w:lang w:val="en-US" w:eastAsia="en-US" w:bidi="en-US"/>
                      </w:rPr>
                      <w:t xml:space="preserve">T -Mobile Czech Republic a.s., </w:t>
                    </w:r>
                    <w:r>
                      <w:rPr>
                        <w:b/>
                        <w:bCs/>
                        <w:i/>
                        <w:iCs/>
                        <w:spacing w:val="0"/>
                        <w:w w:val="100"/>
                        <w:position w:val="0"/>
                        <w:sz w:val="15"/>
                        <w:szCs w:val="15"/>
                        <w:shd w:val="clear" w:color="auto" w:fill="auto"/>
                        <w:lang w:val="cs-CZ" w:eastAsia="cs-CZ" w:bidi="cs-CZ"/>
                      </w:rPr>
                      <w:t xml:space="preserve">Tomíčkova </w:t>
                    </w:r>
                    <w:r>
                      <w:rPr>
                        <w:b/>
                        <w:bCs/>
                        <w:i/>
                        <w:iCs/>
                        <w:spacing w:val="0"/>
                        <w:w w:val="100"/>
                        <w:position w:val="0"/>
                        <w:sz w:val="15"/>
                        <w:szCs w:val="15"/>
                        <w:shd w:val="clear" w:color="auto" w:fill="auto"/>
                        <w:lang w:val="en-US" w:eastAsia="en-US" w:bidi="en-US"/>
                      </w:rPr>
                      <w:t xml:space="preserve">2144/1, 148 00 Praha 4, </w:t>
                    </w:r>
                    <w:r>
                      <w:rPr>
                        <w:b/>
                        <w:bCs/>
                        <w:i/>
                        <w:iCs/>
                        <w:spacing w:val="0"/>
                        <w:w w:val="100"/>
                        <w:position w:val="0"/>
                        <w:sz w:val="15"/>
                        <w:szCs w:val="15"/>
                        <w:shd w:val="clear" w:color="auto" w:fill="auto"/>
                        <w:lang w:val="cs-CZ" w:eastAsia="cs-CZ" w:bidi="cs-CZ"/>
                      </w:rPr>
                      <w:t xml:space="preserve">Česká </w:t>
                    </w:r>
                    <w:r>
                      <w:rPr>
                        <w:b/>
                        <w:bCs/>
                        <w:i/>
                        <w:iCs/>
                        <w:spacing w:val="0"/>
                        <w:w w:val="100"/>
                        <w:position w:val="0"/>
                        <w:sz w:val="15"/>
                        <w:szCs w:val="15"/>
                        <w:shd w:val="clear" w:color="auto" w:fill="auto"/>
                        <w:lang w:val="en-US" w:eastAsia="en-US" w:bidi="en-US"/>
                      </w:rPr>
                      <w:t xml:space="preserve">republika, </w:t>
                    </w:r>
                    <w:r>
                      <w:rPr>
                        <w:b/>
                        <w:bCs/>
                        <w:i/>
                        <w:iCs/>
                        <w:spacing w:val="0"/>
                        <w:w w:val="100"/>
                        <w:position w:val="0"/>
                        <w:sz w:val="15"/>
                        <w:szCs w:val="15"/>
                        <w:shd w:val="clear" w:color="auto" w:fill="auto"/>
                        <w:lang w:val="cs-CZ" w:eastAsia="cs-CZ" w:bidi="cs-CZ"/>
                      </w:rPr>
                      <w:t xml:space="preserve">IČO: </w:t>
                    </w:r>
                    <w:r>
                      <w:rPr>
                        <w:b/>
                        <w:bCs/>
                        <w:i/>
                        <w:iCs/>
                        <w:spacing w:val="0"/>
                        <w:w w:val="100"/>
                        <w:position w:val="0"/>
                        <w:sz w:val="15"/>
                        <w:szCs w:val="15"/>
                        <w:shd w:val="clear" w:color="auto" w:fill="auto"/>
                        <w:lang w:val="en-US" w:eastAsia="en-US" w:bidi="en-US"/>
                      </w:rPr>
                      <w:t xml:space="preserve">64949681, </w:t>
                    </w:r>
                    <w:r>
                      <w:rPr>
                        <w:b/>
                        <w:bCs/>
                        <w:i/>
                        <w:iCs/>
                        <w:spacing w:val="0"/>
                        <w:w w:val="100"/>
                        <w:position w:val="0"/>
                        <w:sz w:val="15"/>
                        <w:szCs w:val="15"/>
                        <w:shd w:val="clear" w:color="auto" w:fill="auto"/>
                        <w:lang w:val="cs-CZ" w:eastAsia="cs-CZ" w:bidi="cs-CZ"/>
                      </w:rPr>
                      <w:t xml:space="preserve">DIČ: </w:t>
                    </w:r>
                    <w:r>
                      <w:rPr>
                        <w:b/>
                        <w:bCs/>
                        <w:i/>
                        <w:iCs/>
                        <w:spacing w:val="0"/>
                        <w:w w:val="100"/>
                        <w:position w:val="0"/>
                        <w:sz w:val="15"/>
                        <w:szCs w:val="15"/>
                        <w:shd w:val="clear" w:color="auto" w:fill="auto"/>
                        <w:lang w:val="en-US" w:eastAsia="en-US" w:bidi="en-US"/>
                      </w:rPr>
                      <w:t>CZ64949681,</w:t>
                    </w:r>
                  </w:p>
                  <w:p>
                    <w:pPr>
                      <w:pStyle w:val="Style157"/>
                      <w:keepNext w:val="0"/>
                      <w:keepLines w:val="0"/>
                      <w:widowControl w:val="0"/>
                      <w:shd w:val="clear" w:color="auto" w:fill="auto"/>
                      <w:bidi w:val="0"/>
                      <w:spacing w:before="0" w:after="0" w:line="240" w:lineRule="auto"/>
                      <w:ind w:left="0" w:right="0" w:firstLine="0"/>
                      <w:jc w:val="left"/>
                      <w:rPr>
                        <w:sz w:val="15"/>
                        <w:szCs w:val="15"/>
                      </w:rPr>
                    </w:pPr>
                    <w:r>
                      <w:rPr>
                        <w:b/>
                        <w:bCs/>
                        <w:i/>
                        <w:iCs/>
                        <w:spacing w:val="0"/>
                        <w:w w:val="100"/>
                        <w:position w:val="0"/>
                        <w:sz w:val="15"/>
                        <w:szCs w:val="15"/>
                        <w:shd w:val="clear" w:color="auto" w:fill="auto"/>
                        <w:lang w:val="cs-CZ" w:eastAsia="cs-CZ" w:bidi="cs-CZ"/>
                      </w:rPr>
                      <w:t xml:space="preserve">zapsaná </w:t>
                    </w:r>
                    <w:r>
                      <w:rPr>
                        <w:b/>
                        <w:bCs/>
                        <w:i/>
                        <w:iCs/>
                        <w:spacing w:val="0"/>
                        <w:w w:val="100"/>
                        <w:position w:val="0"/>
                        <w:sz w:val="15"/>
                        <w:szCs w:val="15"/>
                        <w:shd w:val="clear" w:color="auto" w:fill="auto"/>
                        <w:lang w:val="en-US" w:eastAsia="en-US" w:bidi="en-US"/>
                      </w:rPr>
                      <w:t xml:space="preserve">do OR u </w:t>
                    </w:r>
                    <w:r>
                      <w:rPr>
                        <w:b/>
                        <w:bCs/>
                        <w:i/>
                        <w:iCs/>
                        <w:spacing w:val="0"/>
                        <w:w w:val="100"/>
                        <w:position w:val="0"/>
                        <w:sz w:val="15"/>
                        <w:szCs w:val="15"/>
                        <w:shd w:val="clear" w:color="auto" w:fill="auto"/>
                        <w:lang w:val="cs-CZ" w:eastAsia="cs-CZ" w:bidi="cs-CZ"/>
                      </w:rPr>
                      <w:t xml:space="preserve">Městského </w:t>
                    </w:r>
                    <w:r>
                      <w:rPr>
                        <w:b/>
                        <w:bCs/>
                        <w:i/>
                        <w:iCs/>
                        <w:spacing w:val="0"/>
                        <w:w w:val="100"/>
                        <w:position w:val="0"/>
                        <w:sz w:val="15"/>
                        <w:szCs w:val="15"/>
                        <w:shd w:val="clear" w:color="auto" w:fill="auto"/>
                        <w:lang w:val="en-US" w:eastAsia="en-US" w:bidi="en-US"/>
                      </w:rPr>
                      <w:t>soudu v Praze, B.3787</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71" behindDoc="1" locked="0" layoutInCell="1" allowOverlap="1">
              <wp:simplePos x="0" y="0"/>
              <wp:positionH relativeFrom="page">
                <wp:posOffset>6737985</wp:posOffset>
              </wp:positionH>
              <wp:positionV relativeFrom="page">
                <wp:posOffset>9970770</wp:posOffset>
              </wp:positionV>
              <wp:extent cx="280670" cy="335280"/>
              <wp:effectExtent l="0" t="0" r="0" b="0"/>
              <wp:wrapNone/>
              <wp:docPr id="340" name="Shape 340"/>
              <wp:cNvGraphicFramePr/>
              <a:graphic xmlns:a="http://schemas.openxmlformats.org/drawingml/2006/main">
                <a:graphicData uri="http://schemas.microsoft.com/office/word/2010/wordprocessingShape">
                  <wps:wsp>
                    <wps:cNvSpPr txBox="1"/>
                    <wps:spPr>
                      <a:xfrm>
                        <a:off x="0" y="0"/>
                        <a:ext cx="280670" cy="335280"/>
                      </a:xfrm>
                      <a:prstGeom prst="rect">
                        <a:avLst/>
                      </a:prstGeom>
                      <a:noFill/>
                    </wps:spPr>
                    <wps:txbx>
                      <w:txbxContent>
                        <w:p w:rsidR="00215B20" w:rsidRDefault="00FD0AA3">
                          <w:pPr>
                            <w:pStyle w:val="Zhlavnebozpat0"/>
                            <w:shd w:val="clear" w:color="auto" w:fill="auto"/>
                            <w:rPr>
                              <w:sz w:val="78"/>
                              <w:szCs w:val="78"/>
                            </w:rPr>
                          </w:pPr>
                          <w:r>
                            <w:rPr>
                              <w:rFonts w:ascii="Franklin Gothic Medium Cond" w:eastAsia="Franklin Gothic Medium Cond" w:hAnsi="Franklin Gothic Medium Cond" w:cs="Franklin Gothic Medium Cond"/>
                              <w:b/>
                              <w:bCs/>
                              <w:color w:val="EC018B"/>
                              <w:sz w:val="78"/>
                              <w:szCs w:val="78"/>
                            </w:rPr>
                            <w:t>T</w:t>
                          </w:r>
                        </w:p>
                      </w:txbxContent>
                    </wps:txbx>
                    <wps:bodyPr wrap="none" lIns="0" tIns="0" rIns="0" bIns="0">
                      <a:spAutoFit/>
                    </wps:bodyPr>
                  </wps:wsp>
                </a:graphicData>
              </a:graphic>
            </wp:anchor>
          </w:drawing>
        </mc:Choice>
        <mc:Fallback>
          <w:pict>
            <v:shape id="_x0000_s1366" type="#_x0000_t202" style="position:absolute;margin-left:530.54999999999995pt;margin-top:785.10000000000002pt;width:22.100000000000001pt;height:26.399999999999999pt;z-index:-188743882;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78"/>
                        <w:szCs w:val="78"/>
                      </w:rPr>
                    </w:pPr>
                    <w:r>
                      <w:rPr>
                        <w:rFonts w:ascii="Franklin Gothic Medium Cond" w:eastAsia="Franklin Gothic Medium Cond" w:hAnsi="Franklin Gothic Medium Cond" w:cs="Franklin Gothic Medium Cond"/>
                        <w:b/>
                        <w:bCs/>
                        <w:color w:val="EC018B"/>
                        <w:spacing w:val="0"/>
                        <w:w w:val="100"/>
                        <w:position w:val="0"/>
                        <w:sz w:val="78"/>
                        <w:szCs w:val="78"/>
                        <w:shd w:val="clear" w:color="auto" w:fill="auto"/>
                        <w:lang w:val="cs-CZ" w:eastAsia="cs-CZ" w:bidi="cs-CZ"/>
                      </w:rPr>
                      <w:t>T</w:t>
                    </w:r>
                  </w:p>
                </w:txbxContent>
              </v:textbox>
              <w10:wrap anchorx="page" anchory="page"/>
            </v:shape>
          </w:pict>
        </mc:Fallback>
      </mc:AlternateContent>
    </w:r>
    <w:r>
      <w:rPr>
        <w:noProof/>
        <w:lang w:bidi="ar-SA"/>
      </w:rPr>
      <mc:AlternateContent>
        <mc:Choice Requires="wps">
          <w:drawing>
            <wp:anchor distT="0" distB="0" distL="0" distR="0" simplePos="0" relativeHeight="62914873" behindDoc="1" locked="0" layoutInCell="1" allowOverlap="1">
              <wp:simplePos x="0" y="0"/>
              <wp:positionH relativeFrom="page">
                <wp:posOffset>538480</wp:posOffset>
              </wp:positionH>
              <wp:positionV relativeFrom="page">
                <wp:posOffset>10083165</wp:posOffset>
              </wp:positionV>
              <wp:extent cx="4949825" cy="240665"/>
              <wp:effectExtent l="0" t="0" r="0" b="0"/>
              <wp:wrapNone/>
              <wp:docPr id="342" name="Shape 342"/>
              <wp:cNvGraphicFramePr/>
              <a:graphic xmlns:a="http://schemas.openxmlformats.org/drawingml/2006/main">
                <a:graphicData uri="http://schemas.microsoft.com/office/word/2010/wordprocessingShape">
                  <wps:wsp>
                    <wps:cNvSpPr txBox="1"/>
                    <wps:spPr>
                      <a:xfrm>
                        <a:off x="0" y="0"/>
                        <a:ext cx="4949825" cy="240665"/>
                      </a:xfrm>
                      <a:prstGeom prst="rect">
                        <a:avLst/>
                      </a:prstGeom>
                      <a:noFill/>
                    </wps:spPr>
                    <wps:txbx>
                      <w:txbxContent>
                        <w:p w:rsidR="00215B20" w:rsidRDefault="00FD0AA3">
                          <w:pPr>
                            <w:pStyle w:val="Zhlavnebozpat0"/>
                            <w:shd w:val="clear" w:color="auto" w:fill="auto"/>
                            <w:rPr>
                              <w:sz w:val="15"/>
                              <w:szCs w:val="15"/>
                            </w:rPr>
                          </w:pPr>
                          <w:r>
                            <w:rPr>
                              <w:b/>
                              <w:bCs/>
                              <w:i/>
                              <w:iCs/>
                              <w:sz w:val="15"/>
                              <w:szCs w:val="15"/>
                            </w:rPr>
                            <w:t xml:space="preserve">T -Mobile Czech Republic a.s., Tomíčkova 2144/1, 148 00 Praha 4, Česká republika, IČO: 64949681, DIČ: </w:t>
                          </w:r>
                          <w:r>
                            <w:rPr>
                              <w:b/>
                              <w:bCs/>
                              <w:i/>
                              <w:iCs/>
                              <w:sz w:val="15"/>
                              <w:szCs w:val="15"/>
                            </w:rPr>
                            <w:t>CZ64949681,</w:t>
                          </w:r>
                        </w:p>
                        <w:p w:rsidR="00215B20" w:rsidRDefault="00FD0AA3">
                          <w:pPr>
                            <w:pStyle w:val="Zhlavnebozpat0"/>
                            <w:shd w:val="clear" w:color="auto" w:fill="auto"/>
                            <w:rPr>
                              <w:sz w:val="15"/>
                              <w:szCs w:val="15"/>
                            </w:rPr>
                          </w:pPr>
                          <w:r>
                            <w:rPr>
                              <w:b/>
                              <w:bCs/>
                              <w:i/>
                              <w:iCs/>
                              <w:sz w:val="15"/>
                              <w:szCs w:val="15"/>
                            </w:rPr>
                            <w:t xml:space="preserve">zapsaná do OR u Městského soudu v </w:t>
                          </w:r>
                          <w:proofErr w:type="gramStart"/>
                          <w:r>
                            <w:rPr>
                              <w:b/>
                              <w:bCs/>
                              <w:i/>
                              <w:iCs/>
                              <w:sz w:val="15"/>
                              <w:szCs w:val="15"/>
                            </w:rPr>
                            <w:t>Praze, B.3787</w:t>
                          </w:r>
                          <w:proofErr w:type="gramEnd"/>
                        </w:p>
                      </w:txbxContent>
                    </wps:txbx>
                    <wps:bodyPr wrap="none" lIns="0" tIns="0" rIns="0" bIns="0">
                      <a:spAutoFit/>
                    </wps:bodyPr>
                  </wps:wsp>
                </a:graphicData>
              </a:graphic>
            </wp:anchor>
          </w:drawing>
        </mc:Choice>
        <mc:Fallback>
          <w:pict>
            <v:shape id="_x0000_s1368" type="#_x0000_t202" style="position:absolute;margin-left:42.399999999999999pt;margin-top:793.95000000000005pt;width:389.75pt;height:18.949999999999999pt;z-index:-188743880;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5"/>
                        <w:szCs w:val="15"/>
                      </w:rPr>
                    </w:pPr>
                    <w:r>
                      <w:rPr>
                        <w:b/>
                        <w:bCs/>
                        <w:i/>
                        <w:iCs/>
                        <w:spacing w:val="0"/>
                        <w:w w:val="100"/>
                        <w:position w:val="0"/>
                        <w:sz w:val="15"/>
                        <w:szCs w:val="15"/>
                        <w:shd w:val="clear" w:color="auto" w:fill="auto"/>
                        <w:lang w:val="cs-CZ" w:eastAsia="cs-CZ" w:bidi="cs-CZ"/>
                      </w:rPr>
                      <w:t>T -Mobile Czech Republic a.s., Tomíčkova 2144/1, 148 00 Praha 4, Česká republika, IČO: 64949681, DIČ: CZ64949681,</w:t>
                    </w:r>
                  </w:p>
                  <w:p>
                    <w:pPr>
                      <w:pStyle w:val="Style157"/>
                      <w:keepNext w:val="0"/>
                      <w:keepLines w:val="0"/>
                      <w:widowControl w:val="0"/>
                      <w:shd w:val="clear" w:color="auto" w:fill="auto"/>
                      <w:bidi w:val="0"/>
                      <w:spacing w:before="0" w:after="0" w:line="240" w:lineRule="auto"/>
                      <w:ind w:left="0" w:right="0" w:firstLine="0"/>
                      <w:jc w:val="left"/>
                      <w:rPr>
                        <w:sz w:val="15"/>
                        <w:szCs w:val="15"/>
                      </w:rPr>
                    </w:pPr>
                    <w:r>
                      <w:rPr>
                        <w:b/>
                        <w:bCs/>
                        <w:i/>
                        <w:iCs/>
                        <w:spacing w:val="0"/>
                        <w:w w:val="100"/>
                        <w:position w:val="0"/>
                        <w:sz w:val="15"/>
                        <w:szCs w:val="15"/>
                        <w:shd w:val="clear" w:color="auto" w:fill="auto"/>
                        <w:lang w:val="cs-CZ" w:eastAsia="cs-CZ" w:bidi="cs-CZ"/>
                      </w:rPr>
                      <w:t>zapsaná do OR 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875" behindDoc="1" locked="0" layoutInCell="1" allowOverlap="1">
              <wp:simplePos x="0" y="0"/>
              <wp:positionH relativeFrom="page">
                <wp:posOffset>3629025</wp:posOffset>
              </wp:positionH>
              <wp:positionV relativeFrom="page">
                <wp:posOffset>10327005</wp:posOffset>
              </wp:positionV>
              <wp:extent cx="332105" cy="128270"/>
              <wp:effectExtent l="0" t="0" r="0" b="0"/>
              <wp:wrapNone/>
              <wp:docPr id="344" name="Shape 344"/>
              <wp:cNvGraphicFramePr/>
              <a:graphic xmlns:a="http://schemas.openxmlformats.org/drawingml/2006/main">
                <a:graphicData uri="http://schemas.microsoft.com/office/word/2010/wordprocessingShape">
                  <wps:wsp>
                    <wps:cNvSpPr txBox="1"/>
                    <wps:spPr>
                      <a:xfrm>
                        <a:off x="0" y="0"/>
                        <a:ext cx="332105" cy="128270"/>
                      </a:xfrm>
                      <a:prstGeom prst="rect">
                        <a:avLst/>
                      </a:prstGeom>
                      <a:noFill/>
                    </wps:spPr>
                    <wps:txbx>
                      <w:txbxContent>
                        <w:p w:rsidR="00215B20" w:rsidRDefault="00FD0AA3">
                          <w:pPr>
                            <w:pStyle w:val="Zhlavnebozpat0"/>
                            <w:shd w:val="clear" w:color="auto" w:fill="auto"/>
                            <w:rPr>
                              <w:sz w:val="20"/>
                              <w:szCs w:val="20"/>
                            </w:rPr>
                          </w:pPr>
                          <w:r>
                            <w:rPr>
                              <w:b/>
                              <w:bCs/>
                              <w:sz w:val="20"/>
                              <w:szCs w:val="20"/>
                            </w:rPr>
                            <w:t>-70 -</w:t>
                          </w:r>
                        </w:p>
                      </w:txbxContent>
                    </wps:txbx>
                    <wps:bodyPr wrap="none" lIns="0" tIns="0" rIns="0" bIns="0">
                      <a:spAutoFit/>
                    </wps:bodyPr>
                  </wps:wsp>
                </a:graphicData>
              </a:graphic>
            </wp:anchor>
          </w:drawing>
        </mc:Choice>
        <mc:Fallback>
          <w:pict>
            <v:shape id="_x0000_s1370" type="#_x0000_t202" style="position:absolute;margin-left:285.75pt;margin-top:813.14999999999998pt;width:26.149999999999999pt;height:10.1pt;z-index:-188743878;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shd w:val="clear" w:color="auto" w:fill="auto"/>
                        <w:lang w:val="cs-CZ" w:eastAsia="cs-CZ" w:bidi="cs-CZ"/>
                      </w:rPr>
                      <w:t>-70 -</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91" behindDoc="1" locked="0" layoutInCell="1" allowOverlap="1">
              <wp:simplePos x="0" y="0"/>
              <wp:positionH relativeFrom="page">
                <wp:posOffset>6737985</wp:posOffset>
              </wp:positionH>
              <wp:positionV relativeFrom="page">
                <wp:posOffset>10154920</wp:posOffset>
              </wp:positionV>
              <wp:extent cx="280670" cy="335280"/>
              <wp:effectExtent l="0" t="0" r="0" b="0"/>
              <wp:wrapNone/>
              <wp:docPr id="362" name="Shape 362"/>
              <wp:cNvGraphicFramePr/>
              <a:graphic xmlns:a="http://schemas.openxmlformats.org/drawingml/2006/main">
                <a:graphicData uri="http://schemas.microsoft.com/office/word/2010/wordprocessingShape">
                  <wps:wsp>
                    <wps:cNvSpPr txBox="1"/>
                    <wps:spPr>
                      <a:xfrm>
                        <a:off x="0" y="0"/>
                        <a:ext cx="280670" cy="335280"/>
                      </a:xfrm>
                      <a:prstGeom prst="rect">
                        <a:avLst/>
                      </a:prstGeom>
                      <a:noFill/>
                    </wps:spPr>
                    <wps:txbx>
                      <w:txbxContent>
                        <w:p w:rsidR="00215B20" w:rsidRDefault="00FD0AA3">
                          <w:pPr>
                            <w:pStyle w:val="Zhlavnebozpat0"/>
                            <w:shd w:val="clear" w:color="auto" w:fill="auto"/>
                            <w:rPr>
                              <w:sz w:val="78"/>
                              <w:szCs w:val="78"/>
                            </w:rPr>
                          </w:pPr>
                          <w:r>
                            <w:rPr>
                              <w:rFonts w:ascii="Franklin Gothic Medium Cond" w:eastAsia="Franklin Gothic Medium Cond" w:hAnsi="Franklin Gothic Medium Cond" w:cs="Franklin Gothic Medium Cond"/>
                              <w:b/>
                              <w:bCs/>
                              <w:color w:val="EC018B"/>
                              <w:sz w:val="78"/>
                              <w:szCs w:val="78"/>
                            </w:rPr>
                            <w:t>T</w:t>
                          </w:r>
                        </w:p>
                      </w:txbxContent>
                    </wps:txbx>
                    <wps:bodyPr wrap="none" lIns="0" tIns="0" rIns="0" bIns="0">
                      <a:spAutoFit/>
                    </wps:bodyPr>
                  </wps:wsp>
                </a:graphicData>
              </a:graphic>
            </wp:anchor>
          </w:drawing>
        </mc:Choice>
        <mc:Fallback>
          <w:pict>
            <v:shape id="_x0000_s1388" type="#_x0000_t202" style="position:absolute;margin-left:530.54999999999995pt;margin-top:799.60000000000002pt;width:22.100000000000001pt;height:26.399999999999999pt;z-index:-188743862;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78"/>
                        <w:szCs w:val="78"/>
                      </w:rPr>
                    </w:pPr>
                    <w:r>
                      <w:rPr>
                        <w:rFonts w:ascii="Franklin Gothic Medium Cond" w:eastAsia="Franklin Gothic Medium Cond" w:hAnsi="Franklin Gothic Medium Cond" w:cs="Franklin Gothic Medium Cond"/>
                        <w:b/>
                        <w:bCs/>
                        <w:color w:val="EC018B"/>
                        <w:spacing w:val="0"/>
                        <w:w w:val="100"/>
                        <w:position w:val="0"/>
                        <w:sz w:val="78"/>
                        <w:szCs w:val="78"/>
                        <w:shd w:val="clear" w:color="auto" w:fill="auto"/>
                        <w:lang w:val="cs-CZ" w:eastAsia="cs-CZ" w:bidi="cs-CZ"/>
                      </w:rPr>
                      <w:t>T</w:t>
                    </w:r>
                  </w:p>
                </w:txbxContent>
              </v:textbox>
              <w10:wrap anchorx="page" anchory="page"/>
            </v:shape>
          </w:pict>
        </mc:Fallback>
      </mc:AlternateContent>
    </w:r>
    <w:r>
      <w:rPr>
        <w:noProof/>
        <w:lang w:bidi="ar-SA"/>
      </w:rPr>
      <mc:AlternateContent>
        <mc:Choice Requires="wps">
          <w:drawing>
            <wp:anchor distT="0" distB="0" distL="0" distR="0" simplePos="0" relativeHeight="62914893" behindDoc="1" locked="0" layoutInCell="1" allowOverlap="1">
              <wp:simplePos x="0" y="0"/>
              <wp:positionH relativeFrom="page">
                <wp:posOffset>538480</wp:posOffset>
              </wp:positionH>
              <wp:positionV relativeFrom="page">
                <wp:posOffset>10267950</wp:posOffset>
              </wp:positionV>
              <wp:extent cx="4949825" cy="240665"/>
              <wp:effectExtent l="0" t="0" r="0" b="0"/>
              <wp:wrapNone/>
              <wp:docPr id="364" name="Shape 364"/>
              <wp:cNvGraphicFramePr/>
              <a:graphic xmlns:a="http://schemas.openxmlformats.org/drawingml/2006/main">
                <a:graphicData uri="http://schemas.microsoft.com/office/word/2010/wordprocessingShape">
                  <wps:wsp>
                    <wps:cNvSpPr txBox="1"/>
                    <wps:spPr>
                      <a:xfrm>
                        <a:off x="0" y="0"/>
                        <a:ext cx="4949825" cy="240665"/>
                      </a:xfrm>
                      <a:prstGeom prst="rect">
                        <a:avLst/>
                      </a:prstGeom>
                      <a:noFill/>
                    </wps:spPr>
                    <wps:txbx>
                      <w:txbxContent>
                        <w:p w:rsidR="00215B20" w:rsidRDefault="00FD0AA3">
                          <w:pPr>
                            <w:pStyle w:val="Zhlavnebozpat0"/>
                            <w:shd w:val="clear" w:color="auto" w:fill="auto"/>
                            <w:rPr>
                              <w:sz w:val="15"/>
                              <w:szCs w:val="15"/>
                            </w:rPr>
                          </w:pPr>
                          <w:r>
                            <w:rPr>
                              <w:b/>
                              <w:bCs/>
                              <w:i/>
                              <w:iCs/>
                              <w:sz w:val="15"/>
                              <w:szCs w:val="15"/>
                              <w:lang w:val="en-US" w:eastAsia="en-US" w:bidi="en-US"/>
                            </w:rPr>
                            <w:t xml:space="preserve">T -Mobile Czech Republic a.s., </w:t>
                          </w:r>
                          <w:r>
                            <w:rPr>
                              <w:b/>
                              <w:bCs/>
                              <w:i/>
                              <w:iCs/>
                              <w:sz w:val="15"/>
                              <w:szCs w:val="15"/>
                            </w:rPr>
                            <w:t xml:space="preserve">Tomíčkova </w:t>
                          </w:r>
                          <w:r>
                            <w:rPr>
                              <w:b/>
                              <w:bCs/>
                              <w:i/>
                              <w:iCs/>
                              <w:sz w:val="15"/>
                              <w:szCs w:val="15"/>
                              <w:lang w:val="en-US" w:eastAsia="en-US" w:bidi="en-US"/>
                            </w:rPr>
                            <w:t xml:space="preserve">2144/1, 148 00 Praha 4, </w:t>
                          </w:r>
                          <w:r>
                            <w:rPr>
                              <w:b/>
                              <w:bCs/>
                              <w:i/>
                              <w:iCs/>
                              <w:sz w:val="15"/>
                              <w:szCs w:val="15"/>
                            </w:rPr>
                            <w:t xml:space="preserve">Česká </w:t>
                          </w:r>
                          <w:r>
                            <w:rPr>
                              <w:b/>
                              <w:bCs/>
                              <w:i/>
                              <w:iCs/>
                              <w:sz w:val="15"/>
                              <w:szCs w:val="15"/>
                              <w:lang w:val="en-US" w:eastAsia="en-US" w:bidi="en-US"/>
                            </w:rPr>
                            <w:t xml:space="preserve">republika, </w:t>
                          </w:r>
                          <w:r>
                            <w:rPr>
                              <w:b/>
                              <w:bCs/>
                              <w:i/>
                              <w:iCs/>
                              <w:sz w:val="15"/>
                              <w:szCs w:val="15"/>
                            </w:rPr>
                            <w:t xml:space="preserve">IČO: </w:t>
                          </w:r>
                          <w:r>
                            <w:rPr>
                              <w:b/>
                              <w:bCs/>
                              <w:i/>
                              <w:iCs/>
                              <w:sz w:val="15"/>
                              <w:szCs w:val="15"/>
                              <w:lang w:val="en-US" w:eastAsia="en-US" w:bidi="en-US"/>
                            </w:rPr>
                            <w:t xml:space="preserve">64949681, </w:t>
                          </w:r>
                          <w:r>
                            <w:rPr>
                              <w:b/>
                              <w:bCs/>
                              <w:i/>
                              <w:iCs/>
                              <w:sz w:val="15"/>
                              <w:szCs w:val="15"/>
                            </w:rPr>
                            <w:t xml:space="preserve">DIČ: </w:t>
                          </w:r>
                          <w:r>
                            <w:rPr>
                              <w:b/>
                              <w:bCs/>
                              <w:i/>
                              <w:iCs/>
                              <w:sz w:val="15"/>
                              <w:szCs w:val="15"/>
                              <w:lang w:val="en-US" w:eastAsia="en-US" w:bidi="en-US"/>
                            </w:rPr>
                            <w:t>CZ64949681,</w:t>
                          </w:r>
                        </w:p>
                        <w:p w:rsidR="00215B20" w:rsidRDefault="00FD0AA3">
                          <w:pPr>
                            <w:pStyle w:val="Zhlavnebozpat0"/>
                            <w:shd w:val="clear" w:color="auto" w:fill="auto"/>
                            <w:rPr>
                              <w:sz w:val="15"/>
                              <w:szCs w:val="15"/>
                            </w:rPr>
                          </w:pPr>
                          <w:r>
                            <w:rPr>
                              <w:b/>
                              <w:bCs/>
                              <w:i/>
                              <w:iCs/>
                              <w:sz w:val="15"/>
                              <w:szCs w:val="15"/>
                            </w:rPr>
                            <w:t xml:space="preserve">zapsaná </w:t>
                          </w:r>
                          <w:r>
                            <w:rPr>
                              <w:b/>
                              <w:bCs/>
                              <w:i/>
                              <w:iCs/>
                              <w:sz w:val="15"/>
                              <w:szCs w:val="15"/>
                              <w:lang w:val="en-US" w:eastAsia="en-US" w:bidi="en-US"/>
                            </w:rPr>
                            <w:t xml:space="preserve">do OR u </w:t>
                          </w:r>
                          <w:r>
                            <w:rPr>
                              <w:b/>
                              <w:bCs/>
                              <w:i/>
                              <w:iCs/>
                              <w:sz w:val="15"/>
                              <w:szCs w:val="15"/>
                            </w:rPr>
                            <w:t xml:space="preserve">Městského </w:t>
                          </w:r>
                          <w:r>
                            <w:rPr>
                              <w:b/>
                              <w:bCs/>
                              <w:i/>
                              <w:iCs/>
                              <w:sz w:val="15"/>
                              <w:szCs w:val="15"/>
                              <w:lang w:val="en-US" w:eastAsia="en-US" w:bidi="en-US"/>
                            </w:rPr>
                            <w:t xml:space="preserve">soudu v </w:t>
                          </w:r>
                          <w:proofErr w:type="gramStart"/>
                          <w:r>
                            <w:rPr>
                              <w:b/>
                              <w:bCs/>
                              <w:i/>
                              <w:iCs/>
                              <w:sz w:val="15"/>
                              <w:szCs w:val="15"/>
                              <w:lang w:val="en-US" w:eastAsia="en-US" w:bidi="en-US"/>
                            </w:rPr>
                            <w:t>Praze, B.3787</w:t>
                          </w:r>
                          <w:proofErr w:type="gramEnd"/>
                        </w:p>
                      </w:txbxContent>
                    </wps:txbx>
                    <wps:bodyPr wrap="none" lIns="0" tIns="0" rIns="0" bIns="0">
                      <a:spAutoFit/>
                    </wps:bodyPr>
                  </wps:wsp>
                </a:graphicData>
              </a:graphic>
            </wp:anchor>
          </w:drawing>
        </mc:Choice>
        <mc:Fallback>
          <w:pict>
            <v:shape id="_x0000_s1390" type="#_x0000_t202" style="position:absolute;margin-left:42.399999999999999pt;margin-top:808.5pt;width:389.75pt;height:18.949999999999999pt;z-index:-188743860;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5"/>
                        <w:szCs w:val="15"/>
                      </w:rPr>
                    </w:pPr>
                    <w:r>
                      <w:rPr>
                        <w:b/>
                        <w:bCs/>
                        <w:i/>
                        <w:iCs/>
                        <w:spacing w:val="0"/>
                        <w:w w:val="100"/>
                        <w:position w:val="0"/>
                        <w:sz w:val="15"/>
                        <w:szCs w:val="15"/>
                        <w:shd w:val="clear" w:color="auto" w:fill="auto"/>
                        <w:lang w:val="en-US" w:eastAsia="en-US" w:bidi="en-US"/>
                      </w:rPr>
                      <w:t xml:space="preserve">T -Mobile Czech Republic a.s., </w:t>
                    </w:r>
                    <w:r>
                      <w:rPr>
                        <w:b/>
                        <w:bCs/>
                        <w:i/>
                        <w:iCs/>
                        <w:spacing w:val="0"/>
                        <w:w w:val="100"/>
                        <w:position w:val="0"/>
                        <w:sz w:val="15"/>
                        <w:szCs w:val="15"/>
                        <w:shd w:val="clear" w:color="auto" w:fill="auto"/>
                        <w:lang w:val="cs-CZ" w:eastAsia="cs-CZ" w:bidi="cs-CZ"/>
                      </w:rPr>
                      <w:t xml:space="preserve">Tomíčkova </w:t>
                    </w:r>
                    <w:r>
                      <w:rPr>
                        <w:b/>
                        <w:bCs/>
                        <w:i/>
                        <w:iCs/>
                        <w:spacing w:val="0"/>
                        <w:w w:val="100"/>
                        <w:position w:val="0"/>
                        <w:sz w:val="15"/>
                        <w:szCs w:val="15"/>
                        <w:shd w:val="clear" w:color="auto" w:fill="auto"/>
                        <w:lang w:val="en-US" w:eastAsia="en-US" w:bidi="en-US"/>
                      </w:rPr>
                      <w:t xml:space="preserve">2144/1, 148 00 Praha 4, </w:t>
                    </w:r>
                    <w:r>
                      <w:rPr>
                        <w:b/>
                        <w:bCs/>
                        <w:i/>
                        <w:iCs/>
                        <w:spacing w:val="0"/>
                        <w:w w:val="100"/>
                        <w:position w:val="0"/>
                        <w:sz w:val="15"/>
                        <w:szCs w:val="15"/>
                        <w:shd w:val="clear" w:color="auto" w:fill="auto"/>
                        <w:lang w:val="cs-CZ" w:eastAsia="cs-CZ" w:bidi="cs-CZ"/>
                      </w:rPr>
                      <w:t xml:space="preserve">Česká </w:t>
                    </w:r>
                    <w:r>
                      <w:rPr>
                        <w:b/>
                        <w:bCs/>
                        <w:i/>
                        <w:iCs/>
                        <w:spacing w:val="0"/>
                        <w:w w:val="100"/>
                        <w:position w:val="0"/>
                        <w:sz w:val="15"/>
                        <w:szCs w:val="15"/>
                        <w:shd w:val="clear" w:color="auto" w:fill="auto"/>
                        <w:lang w:val="en-US" w:eastAsia="en-US" w:bidi="en-US"/>
                      </w:rPr>
                      <w:t xml:space="preserve">republika, </w:t>
                    </w:r>
                    <w:r>
                      <w:rPr>
                        <w:b/>
                        <w:bCs/>
                        <w:i/>
                        <w:iCs/>
                        <w:spacing w:val="0"/>
                        <w:w w:val="100"/>
                        <w:position w:val="0"/>
                        <w:sz w:val="15"/>
                        <w:szCs w:val="15"/>
                        <w:shd w:val="clear" w:color="auto" w:fill="auto"/>
                        <w:lang w:val="cs-CZ" w:eastAsia="cs-CZ" w:bidi="cs-CZ"/>
                      </w:rPr>
                      <w:t xml:space="preserve">IČO: </w:t>
                    </w:r>
                    <w:r>
                      <w:rPr>
                        <w:b/>
                        <w:bCs/>
                        <w:i/>
                        <w:iCs/>
                        <w:spacing w:val="0"/>
                        <w:w w:val="100"/>
                        <w:position w:val="0"/>
                        <w:sz w:val="15"/>
                        <w:szCs w:val="15"/>
                        <w:shd w:val="clear" w:color="auto" w:fill="auto"/>
                        <w:lang w:val="en-US" w:eastAsia="en-US" w:bidi="en-US"/>
                      </w:rPr>
                      <w:t xml:space="preserve">64949681, </w:t>
                    </w:r>
                    <w:r>
                      <w:rPr>
                        <w:b/>
                        <w:bCs/>
                        <w:i/>
                        <w:iCs/>
                        <w:spacing w:val="0"/>
                        <w:w w:val="100"/>
                        <w:position w:val="0"/>
                        <w:sz w:val="15"/>
                        <w:szCs w:val="15"/>
                        <w:shd w:val="clear" w:color="auto" w:fill="auto"/>
                        <w:lang w:val="cs-CZ" w:eastAsia="cs-CZ" w:bidi="cs-CZ"/>
                      </w:rPr>
                      <w:t xml:space="preserve">DIČ: </w:t>
                    </w:r>
                    <w:r>
                      <w:rPr>
                        <w:b/>
                        <w:bCs/>
                        <w:i/>
                        <w:iCs/>
                        <w:spacing w:val="0"/>
                        <w:w w:val="100"/>
                        <w:position w:val="0"/>
                        <w:sz w:val="15"/>
                        <w:szCs w:val="15"/>
                        <w:shd w:val="clear" w:color="auto" w:fill="auto"/>
                        <w:lang w:val="en-US" w:eastAsia="en-US" w:bidi="en-US"/>
                      </w:rPr>
                      <w:t>CZ64949681,</w:t>
                    </w:r>
                  </w:p>
                  <w:p>
                    <w:pPr>
                      <w:pStyle w:val="Style157"/>
                      <w:keepNext w:val="0"/>
                      <w:keepLines w:val="0"/>
                      <w:widowControl w:val="0"/>
                      <w:shd w:val="clear" w:color="auto" w:fill="auto"/>
                      <w:bidi w:val="0"/>
                      <w:spacing w:before="0" w:after="0" w:line="240" w:lineRule="auto"/>
                      <w:ind w:left="0" w:right="0" w:firstLine="0"/>
                      <w:jc w:val="left"/>
                      <w:rPr>
                        <w:sz w:val="15"/>
                        <w:szCs w:val="15"/>
                      </w:rPr>
                    </w:pPr>
                    <w:r>
                      <w:rPr>
                        <w:b/>
                        <w:bCs/>
                        <w:i/>
                        <w:iCs/>
                        <w:spacing w:val="0"/>
                        <w:w w:val="100"/>
                        <w:position w:val="0"/>
                        <w:sz w:val="15"/>
                        <w:szCs w:val="15"/>
                        <w:shd w:val="clear" w:color="auto" w:fill="auto"/>
                        <w:lang w:val="cs-CZ" w:eastAsia="cs-CZ" w:bidi="cs-CZ"/>
                      </w:rPr>
                      <w:t xml:space="preserve">zapsaná </w:t>
                    </w:r>
                    <w:r>
                      <w:rPr>
                        <w:b/>
                        <w:bCs/>
                        <w:i/>
                        <w:iCs/>
                        <w:spacing w:val="0"/>
                        <w:w w:val="100"/>
                        <w:position w:val="0"/>
                        <w:sz w:val="15"/>
                        <w:szCs w:val="15"/>
                        <w:shd w:val="clear" w:color="auto" w:fill="auto"/>
                        <w:lang w:val="en-US" w:eastAsia="en-US" w:bidi="en-US"/>
                      </w:rPr>
                      <w:t xml:space="preserve">do OR u </w:t>
                    </w:r>
                    <w:r>
                      <w:rPr>
                        <w:b/>
                        <w:bCs/>
                        <w:i/>
                        <w:iCs/>
                        <w:spacing w:val="0"/>
                        <w:w w:val="100"/>
                        <w:position w:val="0"/>
                        <w:sz w:val="15"/>
                        <w:szCs w:val="15"/>
                        <w:shd w:val="clear" w:color="auto" w:fill="auto"/>
                        <w:lang w:val="cs-CZ" w:eastAsia="cs-CZ" w:bidi="cs-CZ"/>
                      </w:rPr>
                      <w:t xml:space="preserve">Městského </w:t>
                    </w:r>
                    <w:r>
                      <w:rPr>
                        <w:b/>
                        <w:bCs/>
                        <w:i/>
                        <w:iCs/>
                        <w:spacing w:val="0"/>
                        <w:w w:val="100"/>
                        <w:position w:val="0"/>
                        <w:sz w:val="15"/>
                        <w:szCs w:val="15"/>
                        <w:shd w:val="clear" w:color="auto" w:fill="auto"/>
                        <w:lang w:val="en-US" w:eastAsia="en-US" w:bidi="en-US"/>
                      </w:rPr>
                      <w:t>soudu v Praze, B.3787</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85" behindDoc="1" locked="0" layoutInCell="1" allowOverlap="1">
              <wp:simplePos x="0" y="0"/>
              <wp:positionH relativeFrom="page">
                <wp:posOffset>6737985</wp:posOffset>
              </wp:positionH>
              <wp:positionV relativeFrom="page">
                <wp:posOffset>10154920</wp:posOffset>
              </wp:positionV>
              <wp:extent cx="280670" cy="335280"/>
              <wp:effectExtent l="0" t="0" r="0" b="0"/>
              <wp:wrapNone/>
              <wp:docPr id="356" name="Shape 356"/>
              <wp:cNvGraphicFramePr/>
              <a:graphic xmlns:a="http://schemas.openxmlformats.org/drawingml/2006/main">
                <a:graphicData uri="http://schemas.microsoft.com/office/word/2010/wordprocessingShape">
                  <wps:wsp>
                    <wps:cNvSpPr txBox="1"/>
                    <wps:spPr>
                      <a:xfrm>
                        <a:off x="0" y="0"/>
                        <a:ext cx="280670" cy="335280"/>
                      </a:xfrm>
                      <a:prstGeom prst="rect">
                        <a:avLst/>
                      </a:prstGeom>
                      <a:noFill/>
                    </wps:spPr>
                    <wps:txbx>
                      <w:txbxContent>
                        <w:p w:rsidR="00215B20" w:rsidRDefault="00FD0AA3">
                          <w:pPr>
                            <w:pStyle w:val="Zhlavnebozpat0"/>
                            <w:shd w:val="clear" w:color="auto" w:fill="auto"/>
                            <w:rPr>
                              <w:sz w:val="78"/>
                              <w:szCs w:val="78"/>
                            </w:rPr>
                          </w:pPr>
                          <w:r>
                            <w:rPr>
                              <w:rFonts w:ascii="Franklin Gothic Medium Cond" w:eastAsia="Franklin Gothic Medium Cond" w:hAnsi="Franklin Gothic Medium Cond" w:cs="Franklin Gothic Medium Cond"/>
                              <w:b/>
                              <w:bCs/>
                              <w:color w:val="EC018B"/>
                              <w:sz w:val="78"/>
                              <w:szCs w:val="78"/>
                            </w:rPr>
                            <w:t>T</w:t>
                          </w:r>
                        </w:p>
                      </w:txbxContent>
                    </wps:txbx>
                    <wps:bodyPr wrap="none" lIns="0" tIns="0" rIns="0" bIns="0">
                      <a:spAutoFit/>
                    </wps:bodyPr>
                  </wps:wsp>
                </a:graphicData>
              </a:graphic>
            </wp:anchor>
          </w:drawing>
        </mc:Choice>
        <mc:Fallback>
          <w:pict>
            <v:shape id="_x0000_s1382" type="#_x0000_t202" style="position:absolute;margin-left:530.54999999999995pt;margin-top:799.60000000000002pt;width:22.100000000000001pt;height:26.399999999999999pt;z-index:-188743868;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78"/>
                        <w:szCs w:val="78"/>
                      </w:rPr>
                    </w:pPr>
                    <w:r>
                      <w:rPr>
                        <w:rFonts w:ascii="Franklin Gothic Medium Cond" w:eastAsia="Franklin Gothic Medium Cond" w:hAnsi="Franklin Gothic Medium Cond" w:cs="Franklin Gothic Medium Cond"/>
                        <w:b/>
                        <w:bCs/>
                        <w:color w:val="EC018B"/>
                        <w:spacing w:val="0"/>
                        <w:w w:val="100"/>
                        <w:position w:val="0"/>
                        <w:sz w:val="78"/>
                        <w:szCs w:val="78"/>
                        <w:shd w:val="clear" w:color="auto" w:fill="auto"/>
                        <w:lang w:val="cs-CZ" w:eastAsia="cs-CZ" w:bidi="cs-CZ"/>
                      </w:rPr>
                      <w:t>T</w:t>
                    </w:r>
                  </w:p>
                </w:txbxContent>
              </v:textbox>
              <w10:wrap anchorx="page" anchory="page"/>
            </v:shape>
          </w:pict>
        </mc:Fallback>
      </mc:AlternateContent>
    </w:r>
    <w:r>
      <w:rPr>
        <w:noProof/>
        <w:lang w:bidi="ar-SA"/>
      </w:rPr>
      <mc:AlternateContent>
        <mc:Choice Requires="wps">
          <w:drawing>
            <wp:anchor distT="0" distB="0" distL="0" distR="0" simplePos="0" relativeHeight="62914887" behindDoc="1" locked="0" layoutInCell="1" allowOverlap="1">
              <wp:simplePos x="0" y="0"/>
              <wp:positionH relativeFrom="page">
                <wp:posOffset>538480</wp:posOffset>
              </wp:positionH>
              <wp:positionV relativeFrom="page">
                <wp:posOffset>10267950</wp:posOffset>
              </wp:positionV>
              <wp:extent cx="4949825" cy="240665"/>
              <wp:effectExtent l="0" t="0" r="0" b="0"/>
              <wp:wrapNone/>
              <wp:docPr id="358" name="Shape 358"/>
              <wp:cNvGraphicFramePr/>
              <a:graphic xmlns:a="http://schemas.openxmlformats.org/drawingml/2006/main">
                <a:graphicData uri="http://schemas.microsoft.com/office/word/2010/wordprocessingShape">
                  <wps:wsp>
                    <wps:cNvSpPr txBox="1"/>
                    <wps:spPr>
                      <a:xfrm>
                        <a:off x="0" y="0"/>
                        <a:ext cx="4949825" cy="240665"/>
                      </a:xfrm>
                      <a:prstGeom prst="rect">
                        <a:avLst/>
                      </a:prstGeom>
                      <a:noFill/>
                    </wps:spPr>
                    <wps:txbx>
                      <w:txbxContent>
                        <w:p w:rsidR="00215B20" w:rsidRDefault="00FD0AA3">
                          <w:pPr>
                            <w:pStyle w:val="Zhlavnebozpat0"/>
                            <w:shd w:val="clear" w:color="auto" w:fill="auto"/>
                            <w:rPr>
                              <w:sz w:val="15"/>
                              <w:szCs w:val="15"/>
                            </w:rPr>
                          </w:pPr>
                          <w:r>
                            <w:rPr>
                              <w:b/>
                              <w:bCs/>
                              <w:i/>
                              <w:iCs/>
                              <w:sz w:val="15"/>
                              <w:szCs w:val="15"/>
                              <w:lang w:val="en-US" w:eastAsia="en-US" w:bidi="en-US"/>
                            </w:rPr>
                            <w:t xml:space="preserve">T -Mobile Czech Republic a.s., </w:t>
                          </w:r>
                          <w:r>
                            <w:rPr>
                              <w:b/>
                              <w:bCs/>
                              <w:i/>
                              <w:iCs/>
                              <w:sz w:val="15"/>
                              <w:szCs w:val="15"/>
                            </w:rPr>
                            <w:t xml:space="preserve">Tomíčkova </w:t>
                          </w:r>
                          <w:r>
                            <w:rPr>
                              <w:b/>
                              <w:bCs/>
                              <w:i/>
                              <w:iCs/>
                              <w:sz w:val="15"/>
                              <w:szCs w:val="15"/>
                              <w:lang w:val="en-US" w:eastAsia="en-US" w:bidi="en-US"/>
                            </w:rPr>
                            <w:t xml:space="preserve">2144/1, 148 00 Praha 4, </w:t>
                          </w:r>
                          <w:r>
                            <w:rPr>
                              <w:b/>
                              <w:bCs/>
                              <w:i/>
                              <w:iCs/>
                              <w:sz w:val="15"/>
                              <w:szCs w:val="15"/>
                            </w:rPr>
                            <w:t xml:space="preserve">Česká </w:t>
                          </w:r>
                          <w:r>
                            <w:rPr>
                              <w:b/>
                              <w:bCs/>
                              <w:i/>
                              <w:iCs/>
                              <w:sz w:val="15"/>
                              <w:szCs w:val="15"/>
                              <w:lang w:val="en-US" w:eastAsia="en-US" w:bidi="en-US"/>
                            </w:rPr>
                            <w:t xml:space="preserve">republika, </w:t>
                          </w:r>
                          <w:r>
                            <w:rPr>
                              <w:b/>
                              <w:bCs/>
                              <w:i/>
                              <w:iCs/>
                              <w:sz w:val="15"/>
                              <w:szCs w:val="15"/>
                            </w:rPr>
                            <w:t xml:space="preserve">IČO: </w:t>
                          </w:r>
                          <w:r>
                            <w:rPr>
                              <w:b/>
                              <w:bCs/>
                              <w:i/>
                              <w:iCs/>
                              <w:sz w:val="15"/>
                              <w:szCs w:val="15"/>
                              <w:lang w:val="en-US" w:eastAsia="en-US" w:bidi="en-US"/>
                            </w:rPr>
                            <w:t xml:space="preserve">64949681, </w:t>
                          </w:r>
                          <w:r>
                            <w:rPr>
                              <w:b/>
                              <w:bCs/>
                              <w:i/>
                              <w:iCs/>
                              <w:sz w:val="15"/>
                              <w:szCs w:val="15"/>
                            </w:rPr>
                            <w:t xml:space="preserve">DIČ: </w:t>
                          </w:r>
                          <w:r>
                            <w:rPr>
                              <w:b/>
                              <w:bCs/>
                              <w:i/>
                              <w:iCs/>
                              <w:sz w:val="15"/>
                              <w:szCs w:val="15"/>
                              <w:lang w:val="en-US" w:eastAsia="en-US" w:bidi="en-US"/>
                            </w:rPr>
                            <w:t>CZ64949681,</w:t>
                          </w:r>
                        </w:p>
                        <w:p w:rsidR="00215B20" w:rsidRDefault="00FD0AA3">
                          <w:pPr>
                            <w:pStyle w:val="Zhlavnebozpat0"/>
                            <w:shd w:val="clear" w:color="auto" w:fill="auto"/>
                            <w:rPr>
                              <w:sz w:val="15"/>
                              <w:szCs w:val="15"/>
                            </w:rPr>
                          </w:pPr>
                          <w:r>
                            <w:rPr>
                              <w:b/>
                              <w:bCs/>
                              <w:i/>
                              <w:iCs/>
                              <w:sz w:val="15"/>
                              <w:szCs w:val="15"/>
                            </w:rPr>
                            <w:t xml:space="preserve">zapsaná </w:t>
                          </w:r>
                          <w:r>
                            <w:rPr>
                              <w:b/>
                              <w:bCs/>
                              <w:i/>
                              <w:iCs/>
                              <w:sz w:val="15"/>
                              <w:szCs w:val="15"/>
                              <w:lang w:val="en-US" w:eastAsia="en-US" w:bidi="en-US"/>
                            </w:rPr>
                            <w:t xml:space="preserve">do OR u </w:t>
                          </w:r>
                          <w:r>
                            <w:rPr>
                              <w:b/>
                              <w:bCs/>
                              <w:i/>
                              <w:iCs/>
                              <w:sz w:val="15"/>
                              <w:szCs w:val="15"/>
                            </w:rPr>
                            <w:t xml:space="preserve">Městského </w:t>
                          </w:r>
                          <w:r>
                            <w:rPr>
                              <w:b/>
                              <w:bCs/>
                              <w:i/>
                              <w:iCs/>
                              <w:sz w:val="15"/>
                              <w:szCs w:val="15"/>
                              <w:lang w:val="en-US" w:eastAsia="en-US" w:bidi="en-US"/>
                            </w:rPr>
                            <w:t xml:space="preserve">soudu v </w:t>
                          </w:r>
                          <w:proofErr w:type="gramStart"/>
                          <w:r>
                            <w:rPr>
                              <w:b/>
                              <w:bCs/>
                              <w:i/>
                              <w:iCs/>
                              <w:sz w:val="15"/>
                              <w:szCs w:val="15"/>
                              <w:lang w:val="en-US" w:eastAsia="en-US" w:bidi="en-US"/>
                            </w:rPr>
                            <w:t>Praze, B.3787</w:t>
                          </w:r>
                          <w:proofErr w:type="gramEnd"/>
                        </w:p>
                      </w:txbxContent>
                    </wps:txbx>
                    <wps:bodyPr wrap="none" lIns="0" tIns="0" rIns="0" bIns="0">
                      <a:spAutoFit/>
                    </wps:bodyPr>
                  </wps:wsp>
                </a:graphicData>
              </a:graphic>
            </wp:anchor>
          </w:drawing>
        </mc:Choice>
        <mc:Fallback>
          <w:pict>
            <v:shape id="_x0000_s1384" type="#_x0000_t202" style="position:absolute;margin-left:42.399999999999999pt;margin-top:808.5pt;width:389.75pt;height:18.949999999999999pt;z-index:-188743866;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5"/>
                        <w:szCs w:val="15"/>
                      </w:rPr>
                    </w:pPr>
                    <w:r>
                      <w:rPr>
                        <w:b/>
                        <w:bCs/>
                        <w:i/>
                        <w:iCs/>
                        <w:spacing w:val="0"/>
                        <w:w w:val="100"/>
                        <w:position w:val="0"/>
                        <w:sz w:val="15"/>
                        <w:szCs w:val="15"/>
                        <w:shd w:val="clear" w:color="auto" w:fill="auto"/>
                        <w:lang w:val="en-US" w:eastAsia="en-US" w:bidi="en-US"/>
                      </w:rPr>
                      <w:t xml:space="preserve">T -Mobile Czech Republic a.s., </w:t>
                    </w:r>
                    <w:r>
                      <w:rPr>
                        <w:b/>
                        <w:bCs/>
                        <w:i/>
                        <w:iCs/>
                        <w:spacing w:val="0"/>
                        <w:w w:val="100"/>
                        <w:position w:val="0"/>
                        <w:sz w:val="15"/>
                        <w:szCs w:val="15"/>
                        <w:shd w:val="clear" w:color="auto" w:fill="auto"/>
                        <w:lang w:val="cs-CZ" w:eastAsia="cs-CZ" w:bidi="cs-CZ"/>
                      </w:rPr>
                      <w:t xml:space="preserve">Tomíčkova </w:t>
                    </w:r>
                    <w:r>
                      <w:rPr>
                        <w:b/>
                        <w:bCs/>
                        <w:i/>
                        <w:iCs/>
                        <w:spacing w:val="0"/>
                        <w:w w:val="100"/>
                        <w:position w:val="0"/>
                        <w:sz w:val="15"/>
                        <w:szCs w:val="15"/>
                        <w:shd w:val="clear" w:color="auto" w:fill="auto"/>
                        <w:lang w:val="en-US" w:eastAsia="en-US" w:bidi="en-US"/>
                      </w:rPr>
                      <w:t xml:space="preserve">2144/1, 148 00 Praha 4, </w:t>
                    </w:r>
                    <w:r>
                      <w:rPr>
                        <w:b/>
                        <w:bCs/>
                        <w:i/>
                        <w:iCs/>
                        <w:spacing w:val="0"/>
                        <w:w w:val="100"/>
                        <w:position w:val="0"/>
                        <w:sz w:val="15"/>
                        <w:szCs w:val="15"/>
                        <w:shd w:val="clear" w:color="auto" w:fill="auto"/>
                        <w:lang w:val="cs-CZ" w:eastAsia="cs-CZ" w:bidi="cs-CZ"/>
                      </w:rPr>
                      <w:t xml:space="preserve">Česká </w:t>
                    </w:r>
                    <w:r>
                      <w:rPr>
                        <w:b/>
                        <w:bCs/>
                        <w:i/>
                        <w:iCs/>
                        <w:spacing w:val="0"/>
                        <w:w w:val="100"/>
                        <w:position w:val="0"/>
                        <w:sz w:val="15"/>
                        <w:szCs w:val="15"/>
                        <w:shd w:val="clear" w:color="auto" w:fill="auto"/>
                        <w:lang w:val="en-US" w:eastAsia="en-US" w:bidi="en-US"/>
                      </w:rPr>
                      <w:t xml:space="preserve">republika, </w:t>
                    </w:r>
                    <w:r>
                      <w:rPr>
                        <w:b/>
                        <w:bCs/>
                        <w:i/>
                        <w:iCs/>
                        <w:spacing w:val="0"/>
                        <w:w w:val="100"/>
                        <w:position w:val="0"/>
                        <w:sz w:val="15"/>
                        <w:szCs w:val="15"/>
                        <w:shd w:val="clear" w:color="auto" w:fill="auto"/>
                        <w:lang w:val="cs-CZ" w:eastAsia="cs-CZ" w:bidi="cs-CZ"/>
                      </w:rPr>
                      <w:t xml:space="preserve">IČO: </w:t>
                    </w:r>
                    <w:r>
                      <w:rPr>
                        <w:b/>
                        <w:bCs/>
                        <w:i/>
                        <w:iCs/>
                        <w:spacing w:val="0"/>
                        <w:w w:val="100"/>
                        <w:position w:val="0"/>
                        <w:sz w:val="15"/>
                        <w:szCs w:val="15"/>
                        <w:shd w:val="clear" w:color="auto" w:fill="auto"/>
                        <w:lang w:val="en-US" w:eastAsia="en-US" w:bidi="en-US"/>
                      </w:rPr>
                      <w:t xml:space="preserve">64949681, </w:t>
                    </w:r>
                    <w:r>
                      <w:rPr>
                        <w:b/>
                        <w:bCs/>
                        <w:i/>
                        <w:iCs/>
                        <w:spacing w:val="0"/>
                        <w:w w:val="100"/>
                        <w:position w:val="0"/>
                        <w:sz w:val="15"/>
                        <w:szCs w:val="15"/>
                        <w:shd w:val="clear" w:color="auto" w:fill="auto"/>
                        <w:lang w:val="cs-CZ" w:eastAsia="cs-CZ" w:bidi="cs-CZ"/>
                      </w:rPr>
                      <w:t xml:space="preserve">DIČ: </w:t>
                    </w:r>
                    <w:r>
                      <w:rPr>
                        <w:b/>
                        <w:bCs/>
                        <w:i/>
                        <w:iCs/>
                        <w:spacing w:val="0"/>
                        <w:w w:val="100"/>
                        <w:position w:val="0"/>
                        <w:sz w:val="15"/>
                        <w:szCs w:val="15"/>
                        <w:shd w:val="clear" w:color="auto" w:fill="auto"/>
                        <w:lang w:val="en-US" w:eastAsia="en-US" w:bidi="en-US"/>
                      </w:rPr>
                      <w:t>CZ64949681,</w:t>
                    </w:r>
                  </w:p>
                  <w:p>
                    <w:pPr>
                      <w:pStyle w:val="Style157"/>
                      <w:keepNext w:val="0"/>
                      <w:keepLines w:val="0"/>
                      <w:widowControl w:val="0"/>
                      <w:shd w:val="clear" w:color="auto" w:fill="auto"/>
                      <w:bidi w:val="0"/>
                      <w:spacing w:before="0" w:after="0" w:line="240" w:lineRule="auto"/>
                      <w:ind w:left="0" w:right="0" w:firstLine="0"/>
                      <w:jc w:val="left"/>
                      <w:rPr>
                        <w:sz w:val="15"/>
                        <w:szCs w:val="15"/>
                      </w:rPr>
                    </w:pPr>
                    <w:r>
                      <w:rPr>
                        <w:b/>
                        <w:bCs/>
                        <w:i/>
                        <w:iCs/>
                        <w:spacing w:val="0"/>
                        <w:w w:val="100"/>
                        <w:position w:val="0"/>
                        <w:sz w:val="15"/>
                        <w:szCs w:val="15"/>
                        <w:shd w:val="clear" w:color="auto" w:fill="auto"/>
                        <w:lang w:val="cs-CZ" w:eastAsia="cs-CZ" w:bidi="cs-CZ"/>
                      </w:rPr>
                      <w:t xml:space="preserve">zapsaná </w:t>
                    </w:r>
                    <w:r>
                      <w:rPr>
                        <w:b/>
                        <w:bCs/>
                        <w:i/>
                        <w:iCs/>
                        <w:spacing w:val="0"/>
                        <w:w w:val="100"/>
                        <w:position w:val="0"/>
                        <w:sz w:val="15"/>
                        <w:szCs w:val="15"/>
                        <w:shd w:val="clear" w:color="auto" w:fill="auto"/>
                        <w:lang w:val="en-US" w:eastAsia="en-US" w:bidi="en-US"/>
                      </w:rPr>
                      <w:t xml:space="preserve">do OR u </w:t>
                    </w:r>
                    <w:r>
                      <w:rPr>
                        <w:b/>
                        <w:bCs/>
                        <w:i/>
                        <w:iCs/>
                        <w:spacing w:val="0"/>
                        <w:w w:val="100"/>
                        <w:position w:val="0"/>
                        <w:sz w:val="15"/>
                        <w:szCs w:val="15"/>
                        <w:shd w:val="clear" w:color="auto" w:fill="auto"/>
                        <w:lang w:val="cs-CZ" w:eastAsia="cs-CZ" w:bidi="cs-CZ"/>
                      </w:rPr>
                      <w:t xml:space="preserve">Městského </w:t>
                    </w:r>
                    <w:r>
                      <w:rPr>
                        <w:b/>
                        <w:bCs/>
                        <w:i/>
                        <w:iCs/>
                        <w:spacing w:val="0"/>
                        <w:w w:val="100"/>
                        <w:position w:val="0"/>
                        <w:sz w:val="15"/>
                        <w:szCs w:val="15"/>
                        <w:shd w:val="clear" w:color="auto" w:fill="auto"/>
                        <w:lang w:val="en-US" w:eastAsia="en-US" w:bidi="en-US"/>
                      </w:rPr>
                      <w:t>soudu v Praze, B.3787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902" behindDoc="1" locked="0" layoutInCell="1" allowOverlap="1">
              <wp:simplePos x="0" y="0"/>
              <wp:positionH relativeFrom="page">
                <wp:posOffset>1397635</wp:posOffset>
              </wp:positionH>
              <wp:positionV relativeFrom="page">
                <wp:posOffset>10138410</wp:posOffset>
              </wp:positionV>
              <wp:extent cx="4999990" cy="247650"/>
              <wp:effectExtent l="0" t="0" r="0" b="0"/>
              <wp:wrapNone/>
              <wp:docPr id="375" name="Shape 375"/>
              <wp:cNvGraphicFramePr/>
              <a:graphic xmlns:a="http://schemas.openxmlformats.org/drawingml/2006/main">
                <a:graphicData uri="http://schemas.microsoft.com/office/word/2010/wordprocessingShape">
                  <wps:wsp>
                    <wps:cNvSpPr txBox="1"/>
                    <wps:spPr>
                      <a:xfrm>
                        <a:off x="0" y="0"/>
                        <a:ext cx="4999990" cy="247650"/>
                      </a:xfrm>
                      <a:prstGeom prst="rect">
                        <a:avLst/>
                      </a:prstGeom>
                      <a:noFill/>
                    </wps:spPr>
                    <wps:txbx>
                      <w:txbxContent>
                        <w:p w:rsidR="00215B20" w:rsidRDefault="00FD0AA3">
                          <w:pPr>
                            <w:pStyle w:val="Zhlavnebozpat0"/>
                            <w:shd w:val="clear" w:color="auto" w:fill="auto"/>
                            <w:rPr>
                              <w:sz w:val="17"/>
                              <w:szCs w:val="17"/>
                            </w:rPr>
                          </w:pPr>
                          <w:r>
                            <w:rPr>
                              <w:rFonts w:ascii="Calibri" w:eastAsia="Calibri" w:hAnsi="Calibri" w:cs="Calibri"/>
                              <w:color w:val="000000"/>
                              <w:sz w:val="17"/>
                              <w:szCs w:val="17"/>
                            </w:rPr>
                            <w:t xml:space="preserve">T-Mobile </w:t>
                          </w:r>
                          <w:r>
                            <w:rPr>
                              <w:rFonts w:ascii="Calibri" w:eastAsia="Calibri" w:hAnsi="Calibri" w:cs="Calibri"/>
                              <w:color w:val="000000"/>
                              <w:sz w:val="17"/>
                              <w:szCs w:val="17"/>
                              <w:lang w:val="en-US" w:eastAsia="en-US" w:bidi="en-US"/>
                            </w:rPr>
                            <w:t xml:space="preserve">Czech Republic </w:t>
                          </w:r>
                          <w:r>
                            <w:rPr>
                              <w:rFonts w:ascii="Calibri" w:eastAsia="Calibri" w:hAnsi="Calibri" w:cs="Calibri"/>
                              <w:color w:val="000000"/>
                              <w:sz w:val="17"/>
                              <w:szCs w:val="17"/>
                            </w:rPr>
                            <w:t>a.s., Tomíčkova 2144/1,14800 Praha 4, Česká republika, IČ: 64949681, DIČ: CZ64</w:t>
                          </w:r>
                          <w:r>
                            <w:rPr>
                              <w:rFonts w:ascii="Calibri" w:eastAsia="Calibri" w:hAnsi="Calibri" w:cs="Calibri"/>
                              <w:color w:val="000000"/>
                              <w:sz w:val="17"/>
                              <w:szCs w:val="17"/>
                            </w:rPr>
                            <w:t>949681,</w:t>
                          </w:r>
                        </w:p>
                        <w:p w:rsidR="00215B20" w:rsidRDefault="00FD0AA3">
                          <w:pPr>
                            <w:pStyle w:val="Zhlavnebozpat0"/>
                            <w:shd w:val="clear" w:color="auto" w:fill="auto"/>
                            <w:rPr>
                              <w:sz w:val="17"/>
                              <w:szCs w:val="17"/>
                            </w:rPr>
                          </w:pPr>
                          <w:r>
                            <w:rPr>
                              <w:rFonts w:ascii="Calibri" w:eastAsia="Calibri" w:hAnsi="Calibri" w:cs="Calibri"/>
                              <w:color w:val="000000"/>
                              <w:sz w:val="17"/>
                              <w:szCs w:val="17"/>
                            </w:rPr>
                            <w:t xml:space="preserve">zapsaná </w:t>
                          </w:r>
                          <w:r>
                            <w:rPr>
                              <w:rFonts w:ascii="Calibri" w:eastAsia="Calibri" w:hAnsi="Calibri" w:cs="Calibri"/>
                              <w:color w:val="000000"/>
                              <w:sz w:val="17"/>
                              <w:szCs w:val="17"/>
                              <w:lang w:val="en-US" w:eastAsia="en-US" w:bidi="en-US"/>
                            </w:rPr>
                            <w:t xml:space="preserve">do OR </w:t>
                          </w:r>
                          <w:r>
                            <w:rPr>
                              <w:rFonts w:ascii="Calibri" w:eastAsia="Calibri" w:hAnsi="Calibri" w:cs="Calibri"/>
                              <w:color w:val="000000"/>
                              <w:sz w:val="17"/>
                              <w:szCs w:val="17"/>
                            </w:rPr>
                            <w:t xml:space="preserve">u Městského soudu v </w:t>
                          </w:r>
                          <w:proofErr w:type="gramStart"/>
                          <w:r>
                            <w:rPr>
                              <w:rFonts w:ascii="Calibri" w:eastAsia="Calibri" w:hAnsi="Calibri" w:cs="Calibri"/>
                              <w:color w:val="000000"/>
                              <w:sz w:val="17"/>
                              <w:szCs w:val="17"/>
                            </w:rPr>
                            <w:t>Praze, B.3787</w:t>
                          </w:r>
                          <w:proofErr w:type="gramEnd"/>
                        </w:p>
                      </w:txbxContent>
                    </wps:txbx>
                    <wps:bodyPr wrap="none" lIns="0" tIns="0" rIns="0" bIns="0">
                      <a:spAutoFit/>
                    </wps:bodyPr>
                  </wps:wsp>
                </a:graphicData>
              </a:graphic>
            </wp:anchor>
          </w:drawing>
        </mc:Choice>
        <mc:Fallback>
          <w:pict>
            <v:shape id="_x0000_s1401" type="#_x0000_t202" style="position:absolute;margin-left:110.05pt;margin-top:798.29999999999995pt;width:393.69999999999999pt;height:19.5pt;z-index:-188743851;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7"/>
                        <w:szCs w:val="17"/>
                      </w:rPr>
                    </w:pPr>
                    <w:r>
                      <w:rPr>
                        <w:rFonts w:ascii="Calibri" w:eastAsia="Calibri" w:hAnsi="Calibri" w:cs="Calibri"/>
                        <w:color w:val="000000"/>
                        <w:spacing w:val="0"/>
                        <w:w w:val="100"/>
                        <w:position w:val="0"/>
                        <w:sz w:val="17"/>
                        <w:szCs w:val="17"/>
                        <w:shd w:val="clear" w:color="auto" w:fill="auto"/>
                        <w:lang w:val="cs-CZ" w:eastAsia="cs-CZ" w:bidi="cs-CZ"/>
                      </w:rPr>
                      <w:t xml:space="preserve">T-Mobile </w:t>
                    </w:r>
                    <w:r>
                      <w:rPr>
                        <w:rFonts w:ascii="Calibri" w:eastAsia="Calibri" w:hAnsi="Calibri" w:cs="Calibri"/>
                        <w:color w:val="000000"/>
                        <w:spacing w:val="0"/>
                        <w:w w:val="100"/>
                        <w:position w:val="0"/>
                        <w:sz w:val="17"/>
                        <w:szCs w:val="17"/>
                        <w:shd w:val="clear" w:color="auto" w:fill="auto"/>
                        <w:lang w:val="en-US" w:eastAsia="en-US" w:bidi="en-US"/>
                      </w:rPr>
                      <w:t xml:space="preserve">Czech Republic </w:t>
                    </w:r>
                    <w:r>
                      <w:rPr>
                        <w:rFonts w:ascii="Calibri" w:eastAsia="Calibri" w:hAnsi="Calibri" w:cs="Calibri"/>
                        <w:color w:val="000000"/>
                        <w:spacing w:val="0"/>
                        <w:w w:val="100"/>
                        <w:position w:val="0"/>
                        <w:sz w:val="17"/>
                        <w:szCs w:val="17"/>
                        <w:shd w:val="clear" w:color="auto" w:fill="auto"/>
                        <w:lang w:val="cs-CZ" w:eastAsia="cs-CZ" w:bidi="cs-CZ"/>
                      </w:rPr>
                      <w:t>a.s., Tomíčkova 2144/1,14800 Praha 4, Česká republika, IČ: 64949681, DIČ: CZ64949681,</w:t>
                    </w:r>
                  </w:p>
                  <w:p>
                    <w:pPr>
                      <w:pStyle w:val="Style157"/>
                      <w:keepNext w:val="0"/>
                      <w:keepLines w:val="0"/>
                      <w:widowControl w:val="0"/>
                      <w:shd w:val="clear" w:color="auto" w:fill="auto"/>
                      <w:bidi w:val="0"/>
                      <w:spacing w:before="0" w:after="0" w:line="240" w:lineRule="auto"/>
                      <w:ind w:left="0" w:right="0" w:firstLine="0"/>
                      <w:jc w:val="left"/>
                      <w:rPr>
                        <w:sz w:val="17"/>
                        <w:szCs w:val="17"/>
                      </w:rPr>
                    </w:pPr>
                    <w:r>
                      <w:rPr>
                        <w:rFonts w:ascii="Calibri" w:eastAsia="Calibri" w:hAnsi="Calibri" w:cs="Calibri"/>
                        <w:color w:val="000000"/>
                        <w:spacing w:val="0"/>
                        <w:w w:val="100"/>
                        <w:position w:val="0"/>
                        <w:sz w:val="17"/>
                        <w:szCs w:val="17"/>
                        <w:shd w:val="clear" w:color="auto" w:fill="auto"/>
                        <w:lang w:val="cs-CZ" w:eastAsia="cs-CZ" w:bidi="cs-CZ"/>
                      </w:rPr>
                      <w:t xml:space="preserve">zapsaná </w:t>
                    </w:r>
                    <w:r>
                      <w:rPr>
                        <w:rFonts w:ascii="Calibri" w:eastAsia="Calibri" w:hAnsi="Calibri" w:cs="Calibri"/>
                        <w:color w:val="000000"/>
                        <w:spacing w:val="0"/>
                        <w:w w:val="100"/>
                        <w:position w:val="0"/>
                        <w:sz w:val="17"/>
                        <w:szCs w:val="17"/>
                        <w:shd w:val="clear" w:color="auto" w:fill="auto"/>
                        <w:lang w:val="en-US" w:eastAsia="en-US" w:bidi="en-US"/>
                      </w:rPr>
                      <w:t xml:space="preserve">do OR </w:t>
                    </w:r>
                    <w:r>
                      <w:rPr>
                        <w:rFonts w:ascii="Calibri" w:eastAsia="Calibri" w:hAnsi="Calibri" w:cs="Calibri"/>
                        <w:color w:val="000000"/>
                        <w:spacing w:val="0"/>
                        <w:w w:val="100"/>
                        <w:position w:val="0"/>
                        <w:sz w:val="17"/>
                        <w:szCs w:val="17"/>
                        <w:shd w:val="clear" w:color="auto" w:fill="auto"/>
                        <w:lang w:val="cs-CZ" w:eastAsia="cs-CZ" w:bidi="cs-CZ"/>
                      </w:rPr>
                      <w:t>u Městského soudu v Praze, B.3787</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900" behindDoc="1" locked="0" layoutInCell="1" allowOverlap="1">
              <wp:simplePos x="0" y="0"/>
              <wp:positionH relativeFrom="page">
                <wp:posOffset>1397635</wp:posOffset>
              </wp:positionH>
              <wp:positionV relativeFrom="page">
                <wp:posOffset>10138410</wp:posOffset>
              </wp:positionV>
              <wp:extent cx="4999990" cy="247650"/>
              <wp:effectExtent l="0" t="0" r="0" b="0"/>
              <wp:wrapNone/>
              <wp:docPr id="373" name="Shape 373"/>
              <wp:cNvGraphicFramePr/>
              <a:graphic xmlns:a="http://schemas.openxmlformats.org/drawingml/2006/main">
                <a:graphicData uri="http://schemas.microsoft.com/office/word/2010/wordprocessingShape">
                  <wps:wsp>
                    <wps:cNvSpPr txBox="1"/>
                    <wps:spPr>
                      <a:xfrm>
                        <a:off x="0" y="0"/>
                        <a:ext cx="4999990" cy="247650"/>
                      </a:xfrm>
                      <a:prstGeom prst="rect">
                        <a:avLst/>
                      </a:prstGeom>
                      <a:noFill/>
                    </wps:spPr>
                    <wps:txbx>
                      <w:txbxContent>
                        <w:p w:rsidR="00215B20" w:rsidRDefault="00FD0AA3">
                          <w:pPr>
                            <w:pStyle w:val="Zhlavnebozpat0"/>
                            <w:shd w:val="clear" w:color="auto" w:fill="auto"/>
                            <w:rPr>
                              <w:sz w:val="17"/>
                              <w:szCs w:val="17"/>
                            </w:rPr>
                          </w:pPr>
                          <w:r>
                            <w:rPr>
                              <w:rFonts w:ascii="Calibri" w:eastAsia="Calibri" w:hAnsi="Calibri" w:cs="Calibri"/>
                              <w:color w:val="000000"/>
                              <w:sz w:val="17"/>
                              <w:szCs w:val="17"/>
                            </w:rPr>
                            <w:t xml:space="preserve">T-Mobile </w:t>
                          </w:r>
                          <w:r>
                            <w:rPr>
                              <w:rFonts w:ascii="Calibri" w:eastAsia="Calibri" w:hAnsi="Calibri" w:cs="Calibri"/>
                              <w:color w:val="000000"/>
                              <w:sz w:val="17"/>
                              <w:szCs w:val="17"/>
                              <w:lang w:val="en-US" w:eastAsia="en-US" w:bidi="en-US"/>
                            </w:rPr>
                            <w:t xml:space="preserve">Czech Republic </w:t>
                          </w:r>
                          <w:r>
                            <w:rPr>
                              <w:rFonts w:ascii="Calibri" w:eastAsia="Calibri" w:hAnsi="Calibri" w:cs="Calibri"/>
                              <w:color w:val="000000"/>
                              <w:sz w:val="17"/>
                              <w:szCs w:val="17"/>
                            </w:rPr>
                            <w:t>a.s., Tomíčkova 2144/1,14800 Praha 4, Česká republika, IČ: 64949681, DIČ: CZ64949681,</w:t>
                          </w:r>
                        </w:p>
                        <w:p w:rsidR="00215B20" w:rsidRDefault="00FD0AA3">
                          <w:pPr>
                            <w:pStyle w:val="Zhlavnebozpat0"/>
                            <w:shd w:val="clear" w:color="auto" w:fill="auto"/>
                            <w:rPr>
                              <w:sz w:val="17"/>
                              <w:szCs w:val="17"/>
                            </w:rPr>
                          </w:pPr>
                          <w:r>
                            <w:rPr>
                              <w:rFonts w:ascii="Calibri" w:eastAsia="Calibri" w:hAnsi="Calibri" w:cs="Calibri"/>
                              <w:color w:val="000000"/>
                              <w:sz w:val="17"/>
                              <w:szCs w:val="17"/>
                            </w:rPr>
                            <w:t xml:space="preserve">zapsaná </w:t>
                          </w:r>
                          <w:r>
                            <w:rPr>
                              <w:rFonts w:ascii="Calibri" w:eastAsia="Calibri" w:hAnsi="Calibri" w:cs="Calibri"/>
                              <w:color w:val="000000"/>
                              <w:sz w:val="17"/>
                              <w:szCs w:val="17"/>
                              <w:lang w:val="en-US" w:eastAsia="en-US" w:bidi="en-US"/>
                            </w:rPr>
                            <w:t xml:space="preserve">do OR </w:t>
                          </w:r>
                          <w:r>
                            <w:rPr>
                              <w:rFonts w:ascii="Calibri" w:eastAsia="Calibri" w:hAnsi="Calibri" w:cs="Calibri"/>
                              <w:color w:val="000000"/>
                              <w:sz w:val="17"/>
                              <w:szCs w:val="17"/>
                            </w:rPr>
                            <w:t xml:space="preserve">u Městského soudu v </w:t>
                          </w:r>
                          <w:proofErr w:type="gramStart"/>
                          <w:r>
                            <w:rPr>
                              <w:rFonts w:ascii="Calibri" w:eastAsia="Calibri" w:hAnsi="Calibri" w:cs="Calibri"/>
                              <w:color w:val="000000"/>
                              <w:sz w:val="17"/>
                              <w:szCs w:val="17"/>
                            </w:rPr>
                            <w:t>Praze, B.3787</w:t>
                          </w:r>
                          <w:proofErr w:type="gramEnd"/>
                        </w:p>
                      </w:txbxContent>
                    </wps:txbx>
                    <wps:bodyPr wrap="none" lIns="0" tIns="0" rIns="0" bIns="0">
                      <a:spAutoFit/>
                    </wps:bodyPr>
                  </wps:wsp>
                </a:graphicData>
              </a:graphic>
            </wp:anchor>
          </w:drawing>
        </mc:Choice>
        <mc:Fallback>
          <w:pict>
            <v:shape id="_x0000_s1399" type="#_x0000_t202" style="position:absolute;margin-left:110.05pt;margin-top:798.29999999999995pt;width:393.69999999999999pt;height:19.5pt;z-index:-188743853;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7"/>
                        <w:szCs w:val="17"/>
                      </w:rPr>
                    </w:pPr>
                    <w:r>
                      <w:rPr>
                        <w:rFonts w:ascii="Calibri" w:eastAsia="Calibri" w:hAnsi="Calibri" w:cs="Calibri"/>
                        <w:color w:val="000000"/>
                        <w:spacing w:val="0"/>
                        <w:w w:val="100"/>
                        <w:position w:val="0"/>
                        <w:sz w:val="17"/>
                        <w:szCs w:val="17"/>
                        <w:shd w:val="clear" w:color="auto" w:fill="auto"/>
                        <w:lang w:val="cs-CZ" w:eastAsia="cs-CZ" w:bidi="cs-CZ"/>
                      </w:rPr>
                      <w:t xml:space="preserve">T-Mobile </w:t>
                    </w:r>
                    <w:r>
                      <w:rPr>
                        <w:rFonts w:ascii="Calibri" w:eastAsia="Calibri" w:hAnsi="Calibri" w:cs="Calibri"/>
                        <w:color w:val="000000"/>
                        <w:spacing w:val="0"/>
                        <w:w w:val="100"/>
                        <w:position w:val="0"/>
                        <w:sz w:val="17"/>
                        <w:szCs w:val="17"/>
                        <w:shd w:val="clear" w:color="auto" w:fill="auto"/>
                        <w:lang w:val="en-US" w:eastAsia="en-US" w:bidi="en-US"/>
                      </w:rPr>
                      <w:t xml:space="preserve">Czech Republic </w:t>
                    </w:r>
                    <w:r>
                      <w:rPr>
                        <w:rFonts w:ascii="Calibri" w:eastAsia="Calibri" w:hAnsi="Calibri" w:cs="Calibri"/>
                        <w:color w:val="000000"/>
                        <w:spacing w:val="0"/>
                        <w:w w:val="100"/>
                        <w:position w:val="0"/>
                        <w:sz w:val="17"/>
                        <w:szCs w:val="17"/>
                        <w:shd w:val="clear" w:color="auto" w:fill="auto"/>
                        <w:lang w:val="cs-CZ" w:eastAsia="cs-CZ" w:bidi="cs-CZ"/>
                      </w:rPr>
                      <w:t>a.s., Tomíčkova 2144/1,14800 Praha 4, Česká republika, IČ: 64949681, DIČ: CZ64949681,</w:t>
                    </w:r>
                  </w:p>
                  <w:p>
                    <w:pPr>
                      <w:pStyle w:val="Style157"/>
                      <w:keepNext w:val="0"/>
                      <w:keepLines w:val="0"/>
                      <w:widowControl w:val="0"/>
                      <w:shd w:val="clear" w:color="auto" w:fill="auto"/>
                      <w:bidi w:val="0"/>
                      <w:spacing w:before="0" w:after="0" w:line="240" w:lineRule="auto"/>
                      <w:ind w:left="0" w:right="0" w:firstLine="0"/>
                      <w:jc w:val="left"/>
                      <w:rPr>
                        <w:sz w:val="17"/>
                        <w:szCs w:val="17"/>
                      </w:rPr>
                    </w:pPr>
                    <w:r>
                      <w:rPr>
                        <w:rFonts w:ascii="Calibri" w:eastAsia="Calibri" w:hAnsi="Calibri" w:cs="Calibri"/>
                        <w:color w:val="000000"/>
                        <w:spacing w:val="0"/>
                        <w:w w:val="100"/>
                        <w:position w:val="0"/>
                        <w:sz w:val="17"/>
                        <w:szCs w:val="17"/>
                        <w:shd w:val="clear" w:color="auto" w:fill="auto"/>
                        <w:lang w:val="cs-CZ" w:eastAsia="cs-CZ" w:bidi="cs-CZ"/>
                      </w:rPr>
                      <w:t xml:space="preserve">zapsaná </w:t>
                    </w:r>
                    <w:r>
                      <w:rPr>
                        <w:rFonts w:ascii="Calibri" w:eastAsia="Calibri" w:hAnsi="Calibri" w:cs="Calibri"/>
                        <w:color w:val="000000"/>
                        <w:spacing w:val="0"/>
                        <w:w w:val="100"/>
                        <w:position w:val="0"/>
                        <w:sz w:val="17"/>
                        <w:szCs w:val="17"/>
                        <w:shd w:val="clear" w:color="auto" w:fill="auto"/>
                        <w:lang w:val="en-US" w:eastAsia="en-US" w:bidi="en-US"/>
                      </w:rPr>
                      <w:t xml:space="preserve">do OR </w:t>
                    </w:r>
                    <w:r>
                      <w:rPr>
                        <w:rFonts w:ascii="Calibri" w:eastAsia="Calibri" w:hAnsi="Calibri" w:cs="Calibri"/>
                        <w:color w:val="000000"/>
                        <w:spacing w:val="0"/>
                        <w:w w:val="100"/>
                        <w:position w:val="0"/>
                        <w:sz w:val="17"/>
                        <w:szCs w:val="17"/>
                        <w:shd w:val="clear" w:color="auto" w:fill="auto"/>
                        <w:lang w:val="cs-CZ" w:eastAsia="cs-CZ" w:bidi="cs-CZ"/>
                      </w:rPr>
                      <w:t>u Městského soudu v Praze, B.3787</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22" behindDoc="1" locked="0" layoutInCell="1" allowOverlap="1">
              <wp:simplePos x="0" y="0"/>
              <wp:positionH relativeFrom="page">
                <wp:posOffset>715010</wp:posOffset>
              </wp:positionH>
              <wp:positionV relativeFrom="page">
                <wp:posOffset>10132060</wp:posOffset>
              </wp:positionV>
              <wp:extent cx="4550410" cy="204470"/>
              <wp:effectExtent l="0" t="0" r="0" b="0"/>
              <wp:wrapNone/>
              <wp:docPr id="68" name="Shape 68"/>
              <wp:cNvGraphicFramePr/>
              <a:graphic xmlns:a="http://schemas.openxmlformats.org/drawingml/2006/main">
                <a:graphicData uri="http://schemas.microsoft.com/office/word/2010/wordprocessingShape">
                  <wps:wsp>
                    <wps:cNvSpPr txBox="1"/>
                    <wps:spPr>
                      <a:xfrm>
                        <a:off x="0" y="0"/>
                        <a:ext cx="4550410" cy="20447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T-Mobile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 xml:space="preserve">a.s., Tomíčkova 2144/1, 14800 Praha 4,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IČ:64949681, DIČ: CZ64949681</w:t>
                          </w:r>
                        </w:p>
                        <w:p w:rsidR="00215B20" w:rsidRDefault="00FD0AA3">
                          <w:pPr>
                            <w:pStyle w:val="Zhlavnebozpat20"/>
                            <w:shd w:val="clear" w:color="auto" w:fill="auto"/>
                            <w:rPr>
                              <w:sz w:val="13"/>
                              <w:szCs w:val="13"/>
                            </w:rPr>
                          </w:pPr>
                          <w:r>
                            <w:rPr>
                              <w:rFonts w:ascii="Arial" w:eastAsia="Arial" w:hAnsi="Arial" w:cs="Arial"/>
                              <w:color w:val="231F20"/>
                              <w:sz w:val="13"/>
                              <w:szCs w:val="13"/>
                            </w:rPr>
                            <w:t xml:space="preserve">Zapsaná </w:t>
                          </w:r>
                          <w:r>
                            <w:rPr>
                              <w:rFonts w:ascii="Arial" w:eastAsia="Arial" w:hAnsi="Arial" w:cs="Arial"/>
                              <w:color w:val="231F20"/>
                              <w:sz w:val="13"/>
                              <w:szCs w:val="13"/>
                              <w:lang w:val="en-US" w:eastAsia="en-US" w:bidi="en-US"/>
                            </w:rPr>
                            <w:t xml:space="preserve">do OR </w:t>
                          </w:r>
                          <w:r>
                            <w:rPr>
                              <w:rFonts w:ascii="Arial" w:eastAsia="Arial" w:hAnsi="Arial" w:cs="Arial"/>
                              <w:color w:val="231F20"/>
                              <w:sz w:val="13"/>
                              <w:szCs w:val="13"/>
                            </w:rPr>
                            <w:t xml:space="preserve">u Městského soudu v </w:t>
                          </w:r>
                          <w:proofErr w:type="gramStart"/>
                          <w:r>
                            <w:rPr>
                              <w:rFonts w:ascii="Arial" w:eastAsia="Arial" w:hAnsi="Arial" w:cs="Arial"/>
                              <w:color w:val="231F20"/>
                              <w:sz w:val="13"/>
                              <w:szCs w:val="13"/>
                            </w:rPr>
                            <w:t xml:space="preserve">Praze, </w:t>
                          </w:r>
                          <w:r>
                            <w:rPr>
                              <w:rFonts w:ascii="Arial" w:eastAsia="Arial" w:hAnsi="Arial" w:cs="Arial"/>
                              <w:color w:val="231F20"/>
                              <w:sz w:val="13"/>
                              <w:szCs w:val="13"/>
                            </w:rPr>
                            <w:t>B.3787</w:t>
                          </w:r>
                          <w:proofErr w:type="gramEnd"/>
                          <w:r>
                            <w:rPr>
                              <w:rFonts w:ascii="Arial" w:eastAsia="Arial" w:hAnsi="Arial" w:cs="Arial"/>
                              <w:color w:val="231F20"/>
                              <w:sz w:val="13"/>
                              <w:szCs w:val="13"/>
                            </w:rPr>
                            <w:t>,</w:t>
                          </w:r>
                        </w:p>
                      </w:txbxContent>
                    </wps:txbx>
                    <wps:bodyPr wrap="none" lIns="0" tIns="0" rIns="0" bIns="0">
                      <a:spAutoFit/>
                    </wps:bodyPr>
                  </wps:wsp>
                </a:graphicData>
              </a:graphic>
            </wp:anchor>
          </w:drawing>
        </mc:Choice>
        <mc:Fallback>
          <w:pict>
            <v:shape id="_x0000_s1094" type="#_x0000_t202" style="position:absolute;margin-left:56.299999999999997pt;margin-top:797.79999999999995pt;width:358.30000000000001pt;height:16.100000000000001pt;z-index:-18874403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T-Mobile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 xml:space="preserve">a.s., Tomíčkova 2144/1, 14800 Praha 4,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Zapsaná </w:t>
                    </w:r>
                    <w:r>
                      <w:rPr>
                        <w:rFonts w:ascii="Arial" w:eastAsia="Arial" w:hAnsi="Arial" w:cs="Arial"/>
                        <w:color w:val="231F20"/>
                        <w:spacing w:val="0"/>
                        <w:w w:val="100"/>
                        <w:position w:val="0"/>
                        <w:sz w:val="13"/>
                        <w:szCs w:val="13"/>
                        <w:shd w:val="clear" w:color="auto" w:fill="auto"/>
                        <w:lang w:val="en-US" w:eastAsia="en-US" w:bidi="en-US"/>
                      </w:rPr>
                      <w:t xml:space="preserve">do OR </w:t>
                    </w:r>
                    <w:r>
                      <w:rPr>
                        <w:rFonts w:ascii="Arial" w:eastAsia="Arial" w:hAnsi="Arial" w:cs="Arial"/>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24" behindDoc="1" locked="0" layoutInCell="1" allowOverlap="1">
              <wp:simplePos x="0" y="0"/>
              <wp:positionH relativeFrom="page">
                <wp:posOffset>6155690</wp:posOffset>
              </wp:positionH>
              <wp:positionV relativeFrom="page">
                <wp:posOffset>10150475</wp:posOffset>
              </wp:positionV>
              <wp:extent cx="670560" cy="167640"/>
              <wp:effectExtent l="0" t="0" r="0" b="0"/>
              <wp:wrapNone/>
              <wp:docPr id="70" name="Shape 70"/>
              <wp:cNvGraphicFramePr/>
              <a:graphic xmlns:a="http://schemas.openxmlformats.org/drawingml/2006/main">
                <a:graphicData uri="http://schemas.microsoft.com/office/word/2010/wordprocessingShape">
                  <wps:wsp>
                    <wps:cNvSpPr txBox="1"/>
                    <wps:spPr>
                      <a:xfrm>
                        <a:off x="0" y="0"/>
                        <a:ext cx="670560" cy="16764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2</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lang w:val="en-US" w:eastAsia="en-US" w:bidi="en-US"/>
                            </w:rPr>
                            <w:t xml:space="preserve">ver. </w:t>
                          </w:r>
                          <w:r>
                            <w:rPr>
                              <w:rFonts w:ascii="Arial" w:eastAsia="Arial" w:hAnsi="Arial" w:cs="Arial"/>
                              <w:color w:val="231F20"/>
                              <w:sz w:val="13"/>
                              <w:szCs w:val="13"/>
                            </w:rPr>
                            <w:t>OTP 201606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 o:spid="_x0000_s1085" type="#_x0000_t202" style="position:absolute;margin-left:484.7pt;margin-top:799.25pt;width:52.8pt;height:13.2pt;z-index:-4404017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2</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lang w:val="en-US" w:eastAsia="en-US" w:bidi="en-US"/>
                      </w:rPr>
                      <w:t xml:space="preserve">ver. </w:t>
                    </w:r>
                    <w:r>
                      <w:rPr>
                        <w:rFonts w:ascii="Arial" w:eastAsia="Arial" w:hAnsi="Arial" w:cs="Arial"/>
                        <w:color w:val="231F20"/>
                        <w:sz w:val="13"/>
                        <w:szCs w:val="13"/>
                      </w:rPr>
                      <w:t>OTP 201606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18" behindDoc="1" locked="0" layoutInCell="1" allowOverlap="1">
              <wp:simplePos x="0" y="0"/>
              <wp:positionH relativeFrom="page">
                <wp:posOffset>715010</wp:posOffset>
              </wp:positionH>
              <wp:positionV relativeFrom="page">
                <wp:posOffset>10132060</wp:posOffset>
              </wp:positionV>
              <wp:extent cx="4550410" cy="204470"/>
              <wp:effectExtent l="0" t="0" r="0" b="0"/>
              <wp:wrapNone/>
              <wp:docPr id="64" name="Shape 64"/>
              <wp:cNvGraphicFramePr/>
              <a:graphic xmlns:a="http://schemas.openxmlformats.org/drawingml/2006/main">
                <a:graphicData uri="http://schemas.microsoft.com/office/word/2010/wordprocessingShape">
                  <wps:wsp>
                    <wps:cNvSpPr txBox="1"/>
                    <wps:spPr>
                      <a:xfrm>
                        <a:off x="0" y="0"/>
                        <a:ext cx="4550410" cy="20447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T-Mobile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 xml:space="preserve">a.s., Tomíčkova 2144/1, 14800 Praha 4, </w:t>
                          </w:r>
                          <w:r>
                            <w:rPr>
                              <w:rFonts w:ascii="Arial" w:eastAsia="Arial" w:hAnsi="Arial" w:cs="Arial"/>
                              <w:color w:val="231F20"/>
                              <w:sz w:val="13"/>
                              <w:szCs w:val="13"/>
                              <w:lang w:val="en-US" w:eastAsia="en-US" w:bidi="en-US"/>
                            </w:rPr>
                            <w:t xml:space="preserve">Czech Republic, </w:t>
                          </w:r>
                          <w:r>
                            <w:rPr>
                              <w:rFonts w:ascii="Arial" w:eastAsia="Arial" w:hAnsi="Arial" w:cs="Arial"/>
                              <w:color w:val="231F20"/>
                              <w:sz w:val="13"/>
                              <w:szCs w:val="13"/>
                            </w:rPr>
                            <w:t>IČ:64949681, DIČ: CZ64949681</w:t>
                          </w:r>
                        </w:p>
                        <w:p w:rsidR="00215B20" w:rsidRDefault="00FD0AA3">
                          <w:pPr>
                            <w:pStyle w:val="Zhlavnebozpat20"/>
                            <w:shd w:val="clear" w:color="auto" w:fill="auto"/>
                            <w:rPr>
                              <w:sz w:val="13"/>
                              <w:szCs w:val="13"/>
                            </w:rPr>
                          </w:pPr>
                          <w:r>
                            <w:rPr>
                              <w:rFonts w:ascii="Arial" w:eastAsia="Arial" w:hAnsi="Arial" w:cs="Arial"/>
                              <w:color w:val="231F20"/>
                              <w:sz w:val="13"/>
                              <w:szCs w:val="13"/>
                            </w:rPr>
                            <w:t xml:space="preserve">Zapsaná </w:t>
                          </w:r>
                          <w:r>
                            <w:rPr>
                              <w:rFonts w:ascii="Arial" w:eastAsia="Arial" w:hAnsi="Arial" w:cs="Arial"/>
                              <w:color w:val="231F20"/>
                              <w:sz w:val="13"/>
                              <w:szCs w:val="13"/>
                              <w:lang w:val="en-US" w:eastAsia="en-US" w:bidi="en-US"/>
                            </w:rPr>
                            <w:t xml:space="preserve">do OR </w:t>
                          </w:r>
                          <w:r>
                            <w:rPr>
                              <w:rFonts w:ascii="Arial" w:eastAsia="Arial" w:hAnsi="Arial" w:cs="Arial"/>
                              <w:color w:val="231F20"/>
                              <w:sz w:val="13"/>
                              <w:szCs w:val="13"/>
                            </w:rPr>
                            <w:t xml:space="preserve">u Městského soudu v </w:t>
                          </w:r>
                          <w:proofErr w:type="gramStart"/>
                          <w:r>
                            <w:rPr>
                              <w:rFonts w:ascii="Arial" w:eastAsia="Arial" w:hAnsi="Arial" w:cs="Arial"/>
                              <w:color w:val="231F20"/>
                              <w:sz w:val="13"/>
                              <w:szCs w:val="13"/>
                            </w:rPr>
                            <w:t>Praze, B.3787</w:t>
                          </w:r>
                          <w:proofErr w:type="gramEnd"/>
                          <w:r>
                            <w:rPr>
                              <w:rFonts w:ascii="Arial" w:eastAsia="Arial" w:hAnsi="Arial" w:cs="Arial"/>
                              <w:color w:val="231F20"/>
                              <w:sz w:val="13"/>
                              <w:szCs w:val="13"/>
                            </w:rPr>
                            <w:t>,</w:t>
                          </w:r>
                        </w:p>
                      </w:txbxContent>
                    </wps:txbx>
                    <wps:bodyPr wrap="none" lIns="0" tIns="0" rIns="0" bIns="0">
                      <a:spAutoFit/>
                    </wps:bodyPr>
                  </wps:wsp>
                </a:graphicData>
              </a:graphic>
            </wp:anchor>
          </w:drawing>
        </mc:Choice>
        <mc:Fallback>
          <w:pict>
            <v:shape id="_x0000_s1090" type="#_x0000_t202" style="position:absolute;margin-left:56.299999999999997pt;margin-top:797.79999999999995pt;width:358.30000000000001pt;height:16.100000000000001pt;z-index:-18874403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T-Mobile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 xml:space="preserve">a.s., Tomíčkova 2144/1, 14800 Praha 4, </w:t>
                    </w:r>
                    <w:r>
                      <w:rPr>
                        <w:rFonts w:ascii="Arial" w:eastAsia="Arial" w:hAnsi="Arial" w:cs="Arial"/>
                        <w:color w:val="231F20"/>
                        <w:spacing w:val="0"/>
                        <w:w w:val="100"/>
                        <w:position w:val="0"/>
                        <w:sz w:val="13"/>
                        <w:szCs w:val="13"/>
                        <w:shd w:val="clear" w:color="auto" w:fill="auto"/>
                        <w:lang w:val="en-US" w:eastAsia="en-US" w:bidi="en-US"/>
                      </w:rPr>
                      <w:t xml:space="preserve">Czech Republic, </w:t>
                    </w:r>
                    <w:r>
                      <w:rPr>
                        <w:rFonts w:ascii="Arial" w:eastAsia="Arial" w:hAnsi="Arial" w:cs="Arial"/>
                        <w:color w:val="231F20"/>
                        <w:spacing w:val="0"/>
                        <w:w w:val="100"/>
                        <w:position w:val="0"/>
                        <w:sz w:val="13"/>
                        <w:szCs w:val="13"/>
                        <w:shd w:val="clear" w:color="auto" w:fill="auto"/>
                        <w:lang w:val="cs-CZ" w:eastAsia="cs-CZ" w:bidi="cs-CZ"/>
                      </w:rPr>
                      <w:t>IČ:64949681, DIČ: CZ64949681</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 xml:space="preserve">Zapsaná </w:t>
                    </w:r>
                    <w:r>
                      <w:rPr>
                        <w:rFonts w:ascii="Arial" w:eastAsia="Arial" w:hAnsi="Arial" w:cs="Arial"/>
                        <w:color w:val="231F20"/>
                        <w:spacing w:val="0"/>
                        <w:w w:val="100"/>
                        <w:position w:val="0"/>
                        <w:sz w:val="13"/>
                        <w:szCs w:val="13"/>
                        <w:shd w:val="clear" w:color="auto" w:fill="auto"/>
                        <w:lang w:val="en-US" w:eastAsia="en-US" w:bidi="en-US"/>
                      </w:rPr>
                      <w:t xml:space="preserve">do OR </w:t>
                    </w:r>
                    <w:r>
                      <w:rPr>
                        <w:rFonts w:ascii="Arial" w:eastAsia="Arial" w:hAnsi="Arial" w:cs="Arial"/>
                        <w:color w:val="231F20"/>
                        <w:spacing w:val="0"/>
                        <w:w w:val="100"/>
                        <w:position w:val="0"/>
                        <w:sz w:val="13"/>
                        <w:szCs w:val="13"/>
                        <w:shd w:val="clear" w:color="auto" w:fill="auto"/>
                        <w:lang w:val="cs-CZ" w:eastAsia="cs-CZ" w:bidi="cs-CZ"/>
                      </w:rPr>
                      <w:t>u Městského soudu v Praze, B.3787,</w:t>
                    </w:r>
                  </w:p>
                </w:txbxContent>
              </v:textbox>
              <w10:wrap anchorx="page" anchory="page"/>
            </v:shape>
          </w:pict>
        </mc:Fallback>
      </mc:AlternateContent>
    </w:r>
    <w:r>
      <w:rPr>
        <w:noProof/>
        <w:lang w:bidi="ar-SA"/>
      </w:rPr>
      <mc:AlternateContent>
        <mc:Choice Requires="wps">
          <w:drawing>
            <wp:anchor distT="0" distB="0" distL="0" distR="0" simplePos="0" relativeHeight="62914720" behindDoc="1" locked="0" layoutInCell="1" allowOverlap="1">
              <wp:simplePos x="0" y="0"/>
              <wp:positionH relativeFrom="page">
                <wp:posOffset>6155690</wp:posOffset>
              </wp:positionH>
              <wp:positionV relativeFrom="page">
                <wp:posOffset>10150475</wp:posOffset>
              </wp:positionV>
              <wp:extent cx="670560" cy="167640"/>
              <wp:effectExtent l="0" t="0" r="0" b="0"/>
              <wp:wrapNone/>
              <wp:docPr id="66" name="Shape 66"/>
              <wp:cNvGraphicFramePr/>
              <a:graphic xmlns:a="http://schemas.openxmlformats.org/drawingml/2006/main">
                <a:graphicData uri="http://schemas.microsoft.com/office/word/2010/wordprocessingShape">
                  <wps:wsp>
                    <wps:cNvSpPr txBox="1"/>
                    <wps:spPr>
                      <a:xfrm>
                        <a:off x="0" y="0"/>
                        <a:ext cx="670560" cy="167640"/>
                      </a:xfrm>
                      <a:prstGeom prst="rect">
                        <a:avLst/>
                      </a:prstGeom>
                      <a:noFill/>
                    </wps:spPr>
                    <wps:txbx>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3</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lang w:val="en-US" w:eastAsia="en-US" w:bidi="en-US"/>
                            </w:rPr>
                            <w:t xml:space="preserve">ver. </w:t>
                          </w:r>
                          <w:r>
                            <w:rPr>
                              <w:rFonts w:ascii="Arial" w:eastAsia="Arial" w:hAnsi="Arial" w:cs="Arial"/>
                              <w:color w:val="231F20"/>
                              <w:sz w:val="13"/>
                              <w:szCs w:val="13"/>
                            </w:rPr>
                            <w:t>OTP 201606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 o:spid="_x0000_s1087" type="#_x0000_t202" style="position:absolute;margin-left:484.7pt;margin-top:799.25pt;width:52.8pt;height:13.2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" filled="f" stroked="f">
              <v:textbox style="mso-fit-shape-to-text:t" inset="0,0,0,0">
                <w:txbxContent>
                  <w:p w:rsidR="00215B20" w:rsidRDefault="00FD0AA3">
                    <w:pPr>
                      <w:pStyle w:val="Zhlavnebozpat20"/>
                      <w:shd w:val="clear" w:color="auto" w:fill="auto"/>
                      <w:rPr>
                        <w:sz w:val="13"/>
                        <w:szCs w:val="13"/>
                      </w:rPr>
                    </w:pPr>
                    <w:r>
                      <w:rPr>
                        <w:rFonts w:ascii="Arial" w:eastAsia="Arial" w:hAnsi="Arial" w:cs="Arial"/>
                        <w:color w:val="231F20"/>
                        <w:sz w:val="13"/>
                        <w:szCs w:val="13"/>
                      </w:rPr>
                      <w:t xml:space="preserve">Stránka </w:t>
                    </w:r>
                    <w:r>
                      <w:fldChar w:fldCharType="begin"/>
                    </w:r>
                    <w:r>
                      <w:instrText xml:space="preserve"> PAGE \* MERGEFORMAT </w:instrText>
                    </w:r>
                    <w:r>
                      <w:fldChar w:fldCharType="separate"/>
                    </w:r>
                    <w:r w:rsidR="00920265" w:rsidRPr="00920265">
                      <w:rPr>
                        <w:rFonts w:ascii="Arial" w:eastAsia="Arial" w:hAnsi="Arial" w:cs="Arial"/>
                        <w:noProof/>
                        <w:color w:val="231F20"/>
                        <w:sz w:val="13"/>
                        <w:szCs w:val="13"/>
                      </w:rPr>
                      <w:t>3</w:t>
                    </w:r>
                    <w:r>
                      <w:rPr>
                        <w:rFonts w:ascii="Arial" w:eastAsia="Arial" w:hAnsi="Arial" w:cs="Arial"/>
                        <w:color w:val="231F20"/>
                        <w:sz w:val="13"/>
                        <w:szCs w:val="13"/>
                      </w:rPr>
                      <w:fldChar w:fldCharType="end"/>
                    </w:r>
                    <w:r>
                      <w:rPr>
                        <w:rFonts w:ascii="Arial" w:eastAsia="Arial" w:hAnsi="Arial" w:cs="Arial"/>
                        <w:color w:val="231F20"/>
                        <w:sz w:val="13"/>
                        <w:szCs w:val="13"/>
                      </w:rPr>
                      <w:t xml:space="preserve"> /11</w:t>
                    </w:r>
                  </w:p>
                  <w:p w:rsidR="00215B20" w:rsidRDefault="00FD0AA3">
                    <w:pPr>
                      <w:pStyle w:val="Zhlavnebozpat20"/>
                      <w:shd w:val="clear" w:color="auto" w:fill="auto"/>
                      <w:rPr>
                        <w:sz w:val="13"/>
                        <w:szCs w:val="13"/>
                      </w:rPr>
                    </w:pPr>
                    <w:r>
                      <w:rPr>
                        <w:rFonts w:ascii="Arial" w:eastAsia="Arial" w:hAnsi="Arial" w:cs="Arial"/>
                        <w:color w:val="231F20"/>
                        <w:sz w:val="13"/>
                        <w:szCs w:val="13"/>
                        <w:lang w:val="en-US" w:eastAsia="en-US" w:bidi="en-US"/>
                      </w:rPr>
                      <w:t xml:space="preserve">ver. </w:t>
                    </w:r>
                    <w:r>
                      <w:rPr>
                        <w:rFonts w:ascii="Arial" w:eastAsia="Arial" w:hAnsi="Arial" w:cs="Arial"/>
                        <w:color w:val="231F20"/>
                        <w:sz w:val="13"/>
                        <w:szCs w:val="13"/>
                      </w:rPr>
                      <w:t>OTP 201606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AA3" w:rsidRDefault="00FD0AA3"/>
  </w:footnote>
  <w:footnote w:type="continuationSeparator" w:id="0">
    <w:p w:rsidR="00FD0AA3" w:rsidRDefault="00FD0AA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1743075</wp:posOffset>
              </wp:positionH>
              <wp:positionV relativeFrom="page">
                <wp:posOffset>899795</wp:posOffset>
              </wp:positionV>
              <wp:extent cx="938530" cy="469265"/>
              <wp:effectExtent l="0" t="0" r="0" b="0"/>
              <wp:wrapNone/>
              <wp:docPr id="4" name="Shape 4"/>
              <wp:cNvGraphicFramePr/>
              <a:graphic xmlns:a="http://schemas.openxmlformats.org/drawingml/2006/main">
                <a:graphicData uri="http://schemas.microsoft.com/office/word/2010/wordprocessingShape">
                  <wps:wsp>
                    <wps:cNvSpPr txBox="1"/>
                    <wps:spPr>
                      <a:xfrm>
                        <a:off x="0" y="0"/>
                        <a:ext cx="93853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 id="_x0000_s1030" type="#_x0000_t202" style="position:absolute;margin-left:137.25pt;margin-top:70.849999999999994pt;width:73.900000000000006pt;height:36.950000000000003pt;z-index:-18874406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09" behindDoc="1" locked="0" layoutInCell="1" allowOverlap="1">
              <wp:simplePos x="0" y="0"/>
              <wp:positionH relativeFrom="page">
                <wp:posOffset>1738630</wp:posOffset>
              </wp:positionH>
              <wp:positionV relativeFrom="page">
                <wp:posOffset>899795</wp:posOffset>
              </wp:positionV>
              <wp:extent cx="935990" cy="469265"/>
              <wp:effectExtent l="0" t="0" r="0" b="0"/>
              <wp:wrapNone/>
              <wp:docPr id="49" name="Shape 49"/>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 id="_x0000_s1075" type="#_x0000_t202" style="position:absolute;margin-left:136.90000000000001pt;margin-top:70.849999999999994pt;width:73.700000000000003pt;height:36.950000000000003pt;z-index:-18874404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r>
      <w:rPr>
        <w:noProof/>
        <w:lang w:bidi="ar-SA"/>
      </w:rPr>
      <mc:AlternateContent>
        <mc:Choice Requires="wps">
          <w:drawing>
            <wp:anchor distT="0" distB="0" distL="0" distR="0" simplePos="0" relativeHeight="62914711" behindDoc="1" locked="0" layoutInCell="1" allowOverlap="1">
              <wp:simplePos x="0" y="0"/>
              <wp:positionH relativeFrom="page">
                <wp:posOffset>897255</wp:posOffset>
              </wp:positionH>
              <wp:positionV relativeFrom="page">
                <wp:posOffset>915035</wp:posOffset>
              </wp:positionV>
              <wp:extent cx="692150" cy="466090"/>
              <wp:effectExtent l="0" t="0" r="0" b="0"/>
              <wp:wrapNone/>
              <wp:docPr id="51" name="Shape 51"/>
              <wp:cNvGraphicFramePr/>
              <a:graphic xmlns:a="http://schemas.openxmlformats.org/drawingml/2006/main">
                <a:graphicData uri="http://schemas.microsoft.com/office/word/2010/wordprocessingShape">
                  <wps:wsp>
                    <wps:cNvSpPr txBox="1"/>
                    <wps:spPr>
                      <a:xfrm>
                        <a:off x="0" y="0"/>
                        <a:ext cx="692150" cy="466090"/>
                      </a:xfrm>
                      <a:prstGeom prst="rect">
                        <a:avLst/>
                      </a:prstGeom>
                      <a:noFill/>
                    </wps:spPr>
                    <wps:txbx>
                      <w:txbxContent>
                        <w:p w:rsidR="00215B20" w:rsidRDefault="00FD0AA3">
                          <w:pPr>
                            <w:rPr>
                              <w:sz w:val="2"/>
                              <w:szCs w:val="2"/>
                            </w:rPr>
                          </w:pPr>
                          <w:r>
                            <w:rPr>
                              <w:noProof/>
                              <w:lang w:bidi="ar-SA"/>
                            </w:rPr>
                            <w:drawing>
                              <wp:inline distT="0" distB="0" distL="0" distR="0">
                                <wp:extent cx="694690" cy="46926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stretch/>
                                      </pic:blipFill>
                                      <pic:spPr>
                                        <a:xfrm>
                                          <a:off x="0" y="0"/>
                                          <a:ext cx="694690" cy="469265"/>
                                        </a:xfrm>
                                        <a:prstGeom prst="rect">
                                          <a:avLst/>
                                        </a:prstGeom>
                                      </pic:spPr>
                                    </pic:pic>
                                  </a:graphicData>
                                </a:graphic>
                              </wp:inline>
                            </w:drawing>
                          </w:r>
                        </w:p>
                      </w:txbxContent>
                    </wps:txbx>
                    <wps:bodyPr lIns="0" tIns="0" rIns="0" bIns="0"/>
                  </wps:wsp>
                </a:graphicData>
              </a:graphic>
            </wp:anchor>
          </w:drawing>
        </mc:Choice>
        <mc:Fallback>
          <w:pict>
            <v:shape id="_x0000_s1078" type="#_x0000_t202" style="position:absolute;margin-left:70.650000000000006pt;margin-top:72.049999999999997pt;width:54.5pt;height:36.700000000000003pt;z-index:-188744042;mso-wrap-distance-left:0;mso-wrap-distance-right:0;mso-position-horizontal-relative:page;mso-position-vertical-relative:page" wrapcoords="0 0" filled="f" stroked="f">
              <v:textbox inset="0,0,0,0">
                <w:txbxContent>
                  <w:p>
                    <w:pPr>
                      <w:widowControl w:val="0"/>
                      <w:rPr>
                        <w:sz w:val="2"/>
                        <w:szCs w:val="2"/>
                      </w:rPr>
                    </w:pPr>
                    <w:r>
                      <w:drawing>
                        <wp:inline>
                          <wp:extent cx="694690" cy="469265"/>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
                                  <a:stretch/>
                                </pic:blipFill>
                                <pic:spPr>
                                  <a:xfrm>
                                    <a:ext cx="694690" cy="469265"/>
                                  </a:xfrm>
                                  <a:prstGeom prst="rect"/>
                                </pic:spPr>
                              </pic:pic>
                            </a:graphicData>
                          </a:graphic>
                        </wp:inline>
                      </w:drawing>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05" behindDoc="1" locked="0" layoutInCell="1" allowOverlap="1">
              <wp:simplePos x="0" y="0"/>
              <wp:positionH relativeFrom="page">
                <wp:posOffset>1738630</wp:posOffset>
              </wp:positionH>
              <wp:positionV relativeFrom="page">
                <wp:posOffset>899795</wp:posOffset>
              </wp:positionV>
              <wp:extent cx="935990" cy="469265"/>
              <wp:effectExtent l="0" t="0" r="0" b="0"/>
              <wp:wrapNone/>
              <wp:docPr id="43" name="Shape 43"/>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 id="_x0000_s1069" type="#_x0000_t202" style="position:absolute;margin-left:136.90000000000001pt;margin-top:70.849999999999994pt;width:73.700000000000003pt;height:36.950000000000003pt;z-index:-188744048;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r>
      <w:rPr>
        <w:noProof/>
        <w:lang w:bidi="ar-SA"/>
      </w:rPr>
      <mc:AlternateContent>
        <mc:Choice Requires="wps">
          <w:drawing>
            <wp:anchor distT="0" distB="0" distL="0" distR="0" simplePos="0" relativeHeight="62914707" behindDoc="1" locked="0" layoutInCell="1" allowOverlap="1">
              <wp:simplePos x="0" y="0"/>
              <wp:positionH relativeFrom="page">
                <wp:posOffset>897255</wp:posOffset>
              </wp:positionH>
              <wp:positionV relativeFrom="page">
                <wp:posOffset>915035</wp:posOffset>
              </wp:positionV>
              <wp:extent cx="692150" cy="466090"/>
              <wp:effectExtent l="0" t="0" r="0" b="0"/>
              <wp:wrapNone/>
              <wp:docPr id="45" name="Shape 45"/>
              <wp:cNvGraphicFramePr/>
              <a:graphic xmlns:a="http://schemas.openxmlformats.org/drawingml/2006/main">
                <a:graphicData uri="http://schemas.microsoft.com/office/word/2010/wordprocessingShape">
                  <wps:wsp>
                    <wps:cNvSpPr txBox="1"/>
                    <wps:spPr>
                      <a:xfrm>
                        <a:off x="0" y="0"/>
                        <a:ext cx="692150" cy="466090"/>
                      </a:xfrm>
                      <a:prstGeom prst="rect">
                        <a:avLst/>
                      </a:prstGeom>
                      <a:noFill/>
                    </wps:spPr>
                    <wps:txbx>
                      <w:txbxContent>
                        <w:p w:rsidR="00215B20" w:rsidRDefault="00FD0AA3">
                          <w:pPr>
                            <w:rPr>
                              <w:sz w:val="2"/>
                              <w:szCs w:val="2"/>
                            </w:rPr>
                          </w:pPr>
                          <w:r>
                            <w:rPr>
                              <w:noProof/>
                              <w:lang w:bidi="ar-SA"/>
                            </w:rPr>
                            <w:drawing>
                              <wp:inline distT="0" distB="0" distL="0" distR="0">
                                <wp:extent cx="694690" cy="46926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pic:blipFill>
                                      <pic:spPr>
                                        <a:xfrm>
                                          <a:off x="0" y="0"/>
                                          <a:ext cx="694690" cy="469265"/>
                                        </a:xfrm>
                                        <a:prstGeom prst="rect">
                                          <a:avLst/>
                                        </a:prstGeom>
                                      </pic:spPr>
                                    </pic:pic>
                                  </a:graphicData>
                                </a:graphic>
                              </wp:inline>
                            </w:drawing>
                          </w:r>
                        </w:p>
                      </w:txbxContent>
                    </wps:txbx>
                    <wps:bodyPr lIns="0" tIns="0" rIns="0" bIns="0"/>
                  </wps:wsp>
                </a:graphicData>
              </a:graphic>
            </wp:anchor>
          </w:drawing>
        </mc:Choice>
        <mc:Fallback>
          <w:pict>
            <v:shape id="_x0000_s1072" type="#_x0000_t202" style="position:absolute;margin-left:70.650000000000006pt;margin-top:72.049999999999997pt;width:54.5pt;height:36.700000000000003pt;z-index:-188744046;mso-wrap-distance-left:0;mso-wrap-distance-right:0;mso-position-horizontal-relative:page;mso-position-vertical-relative:page" wrapcoords="0 0" filled="f" stroked="f">
              <v:textbox inset="0,0,0,0">
                <w:txbxContent>
                  <w:p>
                    <w:pPr>
                      <w:widowControl w:val="0"/>
                      <w:rPr>
                        <w:sz w:val="2"/>
                        <w:szCs w:val="2"/>
                      </w:rPr>
                    </w:pPr>
                    <w:r>
                      <w:drawing>
                        <wp:inline>
                          <wp:extent cx="694690" cy="469265"/>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
                                  <a:stretch/>
                                </pic:blipFill>
                                <pic:spPr>
                                  <a:xfrm>
                                    <a:ext cx="694690" cy="469265"/>
                                  </a:xfrm>
                                  <a:prstGeom prst="rect"/>
                                </pic:spPr>
                              </pic:pic>
                            </a:graphicData>
                          </a:graphic>
                        </wp:inline>
                      </w:drawing>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16" behindDoc="1" locked="0" layoutInCell="1" allowOverlap="1">
              <wp:simplePos x="0" y="0"/>
              <wp:positionH relativeFrom="page">
                <wp:posOffset>1739900</wp:posOffset>
              </wp:positionH>
              <wp:positionV relativeFrom="page">
                <wp:posOffset>899795</wp:posOffset>
              </wp:positionV>
              <wp:extent cx="935990" cy="469265"/>
              <wp:effectExtent l="0" t="0" r="0" b="0"/>
              <wp:wrapNone/>
              <wp:docPr id="59" name="Shape 59"/>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 id="_x0000_s1085" type="#_x0000_t202" style="position:absolute;margin-left:137.pt;margin-top:70.849999999999994pt;width:73.700000000000003pt;height:36.950000000000003pt;z-index:-18874403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14" behindDoc="1" locked="0" layoutInCell="1" allowOverlap="1">
              <wp:simplePos x="0" y="0"/>
              <wp:positionH relativeFrom="page">
                <wp:posOffset>1739900</wp:posOffset>
              </wp:positionH>
              <wp:positionV relativeFrom="page">
                <wp:posOffset>899795</wp:posOffset>
              </wp:positionV>
              <wp:extent cx="935990" cy="469265"/>
              <wp:effectExtent l="0" t="0" r="0" b="0"/>
              <wp:wrapNone/>
              <wp:docPr id="57" name="Shape 57"/>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 id="_x0000_s1083" type="#_x0000_t202" style="position:absolute;margin-left:137.pt;margin-top:70.849999999999994pt;width:73.700000000000003pt;height:36.950000000000003pt;z-index:-18874403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34" behindDoc="1" locked="0" layoutInCell="1" allowOverlap="1">
              <wp:simplePos x="0" y="0"/>
              <wp:positionH relativeFrom="page">
                <wp:posOffset>710565</wp:posOffset>
              </wp:positionH>
              <wp:positionV relativeFrom="page">
                <wp:posOffset>271780</wp:posOffset>
              </wp:positionV>
              <wp:extent cx="871855" cy="433070"/>
              <wp:effectExtent l="0" t="0" r="0" b="0"/>
              <wp:wrapNone/>
              <wp:docPr id="82" name="Shape 82"/>
              <wp:cNvGraphicFramePr/>
              <a:graphic xmlns:a="http://schemas.openxmlformats.org/drawingml/2006/main">
                <a:graphicData uri="http://schemas.microsoft.com/office/word/2010/wordprocessingShape">
                  <wps:wsp>
                    <wps:cNvSpPr txBox="1"/>
                    <wps:spPr>
                      <a:xfrm>
                        <a:off x="0" y="0"/>
                        <a:ext cx="871855" cy="433070"/>
                      </a:xfrm>
                      <a:prstGeom prst="rect">
                        <a:avLst/>
                      </a:prstGeom>
                      <a:noFill/>
                    </wps:spPr>
                    <wps:txbx>
                      <w:txbxContent>
                        <w:p w:rsidR="00215B20" w:rsidRDefault="00FD0AA3">
                          <w:pPr>
                            <w:rPr>
                              <w:sz w:val="2"/>
                              <w:szCs w:val="2"/>
                            </w:rPr>
                          </w:pPr>
                          <w:r>
                            <w:rPr>
                              <w:noProof/>
                              <w:lang w:bidi="ar-SA"/>
                            </w:rPr>
                            <w:drawing>
                              <wp:inline distT="0" distB="0" distL="0" distR="0">
                                <wp:extent cx="871855" cy="43307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
                                        <a:stretch/>
                                      </pic:blipFill>
                                      <pic:spPr>
                                        <a:xfrm>
                                          <a:off x="0" y="0"/>
                                          <a:ext cx="871855" cy="433070"/>
                                        </a:xfrm>
                                        <a:prstGeom prst="rect">
                                          <a:avLst/>
                                        </a:prstGeom>
                                      </pic:spPr>
                                    </pic:pic>
                                  </a:graphicData>
                                </a:graphic>
                              </wp:inline>
                            </w:drawing>
                          </w:r>
                        </w:p>
                      </w:txbxContent>
                    </wps:txbx>
                    <wps:bodyPr lIns="0" tIns="0" rIns="0" bIns="0"/>
                  </wps:wsp>
                </a:graphicData>
              </a:graphic>
            </wp:anchor>
          </w:drawing>
        </mc:Choice>
        <mc:Fallback>
          <w:pict>
            <v:shape id="_x0000_s1109" type="#_x0000_t202" style="position:absolute;margin-left:55.950000000000003pt;margin-top:21.399999999999999pt;width:68.650000000000006pt;height:34.100000000000001pt;z-index:-188744019;mso-wrap-distance-left:0;mso-wrap-distance-right:0;mso-position-horizontal-relative:page;mso-position-vertical-relative:page" wrapcoords="0 0" filled="f" stroked="f">
              <v:textbox inset="0,0,0,0">
                <w:txbxContent>
                  <w:p>
                    <w:pPr>
                      <w:widowControl w:val="0"/>
                      <w:rPr>
                        <w:sz w:val="2"/>
                        <w:szCs w:val="2"/>
                      </w:rPr>
                    </w:pPr>
                    <w:r>
                      <w:drawing>
                        <wp:inline>
                          <wp:extent cx="871855" cy="433070"/>
                          <wp:docPr id="85" name="Picutre 85"/>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
                                  <a:stretch/>
                                </pic:blipFill>
                                <pic:spPr>
                                  <a:xfrm>
                                    <a:ext cx="871855" cy="4330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36" behindDoc="1" locked="0" layoutInCell="1" allowOverlap="1">
              <wp:simplePos x="0" y="0"/>
              <wp:positionH relativeFrom="page">
                <wp:posOffset>734695</wp:posOffset>
              </wp:positionH>
              <wp:positionV relativeFrom="page">
                <wp:posOffset>814070</wp:posOffset>
              </wp:positionV>
              <wp:extent cx="1896110" cy="216535"/>
              <wp:effectExtent l="0" t="0" r="0" b="0"/>
              <wp:wrapNone/>
              <wp:docPr id="86" name="Shape 86"/>
              <wp:cNvGraphicFramePr/>
              <a:graphic xmlns:a="http://schemas.openxmlformats.org/drawingml/2006/main">
                <a:graphicData uri="http://schemas.microsoft.com/office/word/2010/wordprocessingShape">
                  <wps:wsp>
                    <wps:cNvSpPr txBox="1"/>
                    <wps:spPr>
                      <a:xfrm>
                        <a:off x="0" y="0"/>
                        <a:ext cx="1896110" cy="216535"/>
                      </a:xfrm>
                      <a:prstGeom prst="rect">
                        <a:avLst/>
                      </a:prstGeom>
                      <a:noFill/>
                    </wps:spPr>
                    <wps:txbx>
                      <w:txbxContent>
                        <w:p w:rsidR="00215B20" w:rsidRDefault="00FD0AA3">
                          <w:pPr>
                            <w:pStyle w:val="Zhlavnebozpat20"/>
                            <w:shd w:val="clear" w:color="auto" w:fill="auto"/>
                            <w:rPr>
                              <w:sz w:val="36"/>
                              <w:szCs w:val="36"/>
                            </w:rPr>
                          </w:pPr>
                          <w:r>
                            <w:rPr>
                              <w:rFonts w:ascii="Arial" w:eastAsia="Arial" w:hAnsi="Arial" w:cs="Arial"/>
                              <w:b/>
                              <w:bCs/>
                              <w:color w:val="DE1273"/>
                              <w:sz w:val="36"/>
                              <w:szCs w:val="36"/>
                            </w:rPr>
                            <w:t>Popis služby SLA</w:t>
                          </w:r>
                        </w:p>
                      </w:txbxContent>
                    </wps:txbx>
                    <wps:bodyPr wrap="none" lIns="0" tIns="0" rIns="0" bIns="0">
                      <a:spAutoFit/>
                    </wps:bodyPr>
                  </wps:wsp>
                </a:graphicData>
              </a:graphic>
            </wp:anchor>
          </w:drawing>
        </mc:Choice>
        <mc:Fallback>
          <w:pict>
            <v:shape id="_x0000_s1112" type="#_x0000_t202" style="position:absolute;margin-left:57.850000000000001pt;margin-top:64.099999999999994pt;width:149.30000000000001pt;height:17.050000000000001pt;z-index:-18874401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DE1273"/>
                        <w:spacing w:val="0"/>
                        <w:w w:val="100"/>
                        <w:position w:val="0"/>
                        <w:sz w:val="36"/>
                        <w:szCs w:val="36"/>
                        <w:shd w:val="clear" w:color="auto" w:fill="auto"/>
                        <w:lang w:val="cs-CZ" w:eastAsia="cs-CZ" w:bidi="cs-CZ"/>
                      </w:rPr>
                      <w:t>Popis služby SLA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26" behindDoc="1" locked="0" layoutInCell="1" allowOverlap="1">
              <wp:simplePos x="0" y="0"/>
              <wp:positionH relativeFrom="page">
                <wp:posOffset>710565</wp:posOffset>
              </wp:positionH>
              <wp:positionV relativeFrom="page">
                <wp:posOffset>271780</wp:posOffset>
              </wp:positionV>
              <wp:extent cx="871855" cy="433070"/>
              <wp:effectExtent l="0" t="0" r="0" b="0"/>
              <wp:wrapNone/>
              <wp:docPr id="72" name="Shape 72"/>
              <wp:cNvGraphicFramePr/>
              <a:graphic xmlns:a="http://schemas.openxmlformats.org/drawingml/2006/main">
                <a:graphicData uri="http://schemas.microsoft.com/office/word/2010/wordprocessingShape">
                  <wps:wsp>
                    <wps:cNvSpPr txBox="1"/>
                    <wps:spPr>
                      <a:xfrm>
                        <a:off x="0" y="0"/>
                        <a:ext cx="871855" cy="433070"/>
                      </a:xfrm>
                      <a:prstGeom prst="rect">
                        <a:avLst/>
                      </a:prstGeom>
                      <a:noFill/>
                    </wps:spPr>
                    <wps:txbx>
                      <w:txbxContent>
                        <w:p w:rsidR="00215B20" w:rsidRDefault="00FD0AA3">
                          <w:pPr>
                            <w:rPr>
                              <w:sz w:val="2"/>
                              <w:szCs w:val="2"/>
                            </w:rPr>
                          </w:pPr>
                          <w:r>
                            <w:rPr>
                              <w:noProof/>
                              <w:lang w:bidi="ar-SA"/>
                            </w:rPr>
                            <w:drawing>
                              <wp:inline distT="0" distB="0" distL="0" distR="0">
                                <wp:extent cx="871855" cy="43307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
                                        <a:stretch/>
                                      </pic:blipFill>
                                      <pic:spPr>
                                        <a:xfrm>
                                          <a:off x="0" y="0"/>
                                          <a:ext cx="871855" cy="433070"/>
                                        </a:xfrm>
                                        <a:prstGeom prst="rect">
                                          <a:avLst/>
                                        </a:prstGeom>
                                      </pic:spPr>
                                    </pic:pic>
                                  </a:graphicData>
                                </a:graphic>
                              </wp:inline>
                            </w:drawing>
                          </w:r>
                        </w:p>
                      </w:txbxContent>
                    </wps:txbx>
                    <wps:bodyPr lIns="0" tIns="0" rIns="0" bIns="0"/>
                  </wps:wsp>
                </a:graphicData>
              </a:graphic>
            </wp:anchor>
          </w:drawing>
        </mc:Choice>
        <mc:Fallback>
          <w:pict>
            <v:shape id="_x0000_s1099" type="#_x0000_t202" style="position:absolute;margin-left:55.950000000000003pt;margin-top:21.399999999999999pt;width:68.650000000000006pt;height:34.100000000000001pt;z-index:-188744027;mso-wrap-distance-left:0;mso-wrap-distance-right:0;mso-position-horizontal-relative:page;mso-position-vertical-relative:page" wrapcoords="0 0" filled="f" stroked="f">
              <v:textbox inset="0,0,0,0">
                <w:txbxContent>
                  <w:p>
                    <w:pPr>
                      <w:widowControl w:val="0"/>
                      <w:rPr>
                        <w:sz w:val="2"/>
                        <w:szCs w:val="2"/>
                      </w:rPr>
                    </w:pPr>
                    <w:r>
                      <w:drawing>
                        <wp:inline>
                          <wp:extent cx="871855" cy="433070"/>
                          <wp:docPr id="75" name="Picutre 75"/>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
                                  <a:stretch/>
                                </pic:blipFill>
                                <pic:spPr>
                                  <a:xfrm>
                                    <a:ext cx="871855" cy="4330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28" behindDoc="1" locked="0" layoutInCell="1" allowOverlap="1">
              <wp:simplePos x="0" y="0"/>
              <wp:positionH relativeFrom="page">
                <wp:posOffset>734695</wp:posOffset>
              </wp:positionH>
              <wp:positionV relativeFrom="page">
                <wp:posOffset>814070</wp:posOffset>
              </wp:positionV>
              <wp:extent cx="1896110" cy="216535"/>
              <wp:effectExtent l="0" t="0" r="0" b="0"/>
              <wp:wrapNone/>
              <wp:docPr id="76" name="Shape 76"/>
              <wp:cNvGraphicFramePr/>
              <a:graphic xmlns:a="http://schemas.openxmlformats.org/drawingml/2006/main">
                <a:graphicData uri="http://schemas.microsoft.com/office/word/2010/wordprocessingShape">
                  <wps:wsp>
                    <wps:cNvSpPr txBox="1"/>
                    <wps:spPr>
                      <a:xfrm>
                        <a:off x="0" y="0"/>
                        <a:ext cx="1896110" cy="216535"/>
                      </a:xfrm>
                      <a:prstGeom prst="rect">
                        <a:avLst/>
                      </a:prstGeom>
                      <a:noFill/>
                    </wps:spPr>
                    <wps:txbx>
                      <w:txbxContent>
                        <w:p w:rsidR="00215B20" w:rsidRDefault="00FD0AA3">
                          <w:pPr>
                            <w:pStyle w:val="Zhlavnebozpat20"/>
                            <w:shd w:val="clear" w:color="auto" w:fill="auto"/>
                            <w:rPr>
                              <w:sz w:val="36"/>
                              <w:szCs w:val="36"/>
                            </w:rPr>
                          </w:pPr>
                          <w:r>
                            <w:rPr>
                              <w:rFonts w:ascii="Arial" w:eastAsia="Arial" w:hAnsi="Arial" w:cs="Arial"/>
                              <w:b/>
                              <w:bCs/>
                              <w:color w:val="DE1273"/>
                              <w:sz w:val="36"/>
                              <w:szCs w:val="36"/>
                            </w:rPr>
                            <w:t>Popis služby SLA</w:t>
                          </w:r>
                        </w:p>
                      </w:txbxContent>
                    </wps:txbx>
                    <wps:bodyPr wrap="none" lIns="0" tIns="0" rIns="0" bIns="0">
                      <a:spAutoFit/>
                    </wps:bodyPr>
                  </wps:wsp>
                </a:graphicData>
              </a:graphic>
            </wp:anchor>
          </w:drawing>
        </mc:Choice>
        <mc:Fallback>
          <w:pict>
            <v:shape id="_x0000_s1102" type="#_x0000_t202" style="position:absolute;margin-left:57.850000000000001pt;margin-top:64.099999999999994pt;width:149.30000000000001pt;height:17.050000000000001pt;z-index:-18874402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DE1273"/>
                        <w:spacing w:val="0"/>
                        <w:w w:val="100"/>
                        <w:position w:val="0"/>
                        <w:sz w:val="36"/>
                        <w:szCs w:val="36"/>
                        <w:shd w:val="clear" w:color="auto" w:fill="auto"/>
                        <w:lang w:val="cs-CZ" w:eastAsia="cs-CZ" w:bidi="cs-CZ"/>
                      </w:rPr>
                      <w:t>Popis služby SLA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1743075</wp:posOffset>
              </wp:positionH>
              <wp:positionV relativeFrom="page">
                <wp:posOffset>899795</wp:posOffset>
              </wp:positionV>
              <wp:extent cx="938530" cy="469265"/>
              <wp:effectExtent l="0" t="0" r="0" b="0"/>
              <wp:wrapNone/>
              <wp:docPr id="2" name="Shape 2"/>
              <wp:cNvGraphicFramePr/>
              <a:graphic xmlns:a="http://schemas.openxmlformats.org/drawingml/2006/main">
                <a:graphicData uri="http://schemas.microsoft.com/office/word/2010/wordprocessingShape">
                  <wps:wsp>
                    <wps:cNvSpPr txBox="1"/>
                    <wps:spPr>
                      <a:xfrm>
                        <a:off x="0" y="0"/>
                        <a:ext cx="93853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137.25pt;margin-top:70.849999999999994pt;width:73.900000000000006pt;height:36.950000000000003pt;z-index:-18874406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58" behindDoc="1" locked="0" layoutInCell="1" allowOverlap="1">
              <wp:simplePos x="0" y="0"/>
              <wp:positionH relativeFrom="page">
                <wp:posOffset>710565</wp:posOffset>
              </wp:positionH>
              <wp:positionV relativeFrom="page">
                <wp:posOffset>271780</wp:posOffset>
              </wp:positionV>
              <wp:extent cx="871855" cy="433070"/>
              <wp:effectExtent l="0" t="0" r="0" b="0"/>
              <wp:wrapNone/>
              <wp:docPr id="111" name="Shape 111"/>
              <wp:cNvGraphicFramePr/>
              <a:graphic xmlns:a="http://schemas.openxmlformats.org/drawingml/2006/main">
                <a:graphicData uri="http://schemas.microsoft.com/office/word/2010/wordprocessingShape">
                  <wps:wsp>
                    <wps:cNvSpPr txBox="1"/>
                    <wps:spPr>
                      <a:xfrm>
                        <a:off x="0" y="0"/>
                        <a:ext cx="871855" cy="433070"/>
                      </a:xfrm>
                      <a:prstGeom prst="rect">
                        <a:avLst/>
                      </a:prstGeom>
                      <a:noFill/>
                    </wps:spPr>
                    <wps:txbx>
                      <w:txbxContent>
                        <w:p w:rsidR="00215B20" w:rsidRDefault="00FD0AA3">
                          <w:pPr>
                            <w:rPr>
                              <w:sz w:val="2"/>
                              <w:szCs w:val="2"/>
                            </w:rPr>
                          </w:pPr>
                          <w:r>
                            <w:rPr>
                              <w:noProof/>
                              <w:lang w:bidi="ar-SA"/>
                            </w:rPr>
                            <w:drawing>
                              <wp:inline distT="0" distB="0" distL="0" distR="0">
                                <wp:extent cx="871855" cy="43307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
                                        <a:stretch/>
                                      </pic:blipFill>
                                      <pic:spPr>
                                        <a:xfrm>
                                          <a:off x="0" y="0"/>
                                          <a:ext cx="871855" cy="433070"/>
                                        </a:xfrm>
                                        <a:prstGeom prst="rect">
                                          <a:avLst/>
                                        </a:prstGeom>
                                      </pic:spPr>
                                    </pic:pic>
                                  </a:graphicData>
                                </a:graphic>
                              </wp:inline>
                            </w:drawing>
                          </w:r>
                        </w:p>
                      </w:txbxContent>
                    </wps:txbx>
                    <wps:bodyPr lIns="0" tIns="0" rIns="0" bIns="0"/>
                  </wps:wsp>
                </a:graphicData>
              </a:graphic>
            </wp:anchor>
          </w:drawing>
        </mc:Choice>
        <mc:Fallback>
          <w:pict>
            <v:shape id="_x0000_s1138" type="#_x0000_t202" style="position:absolute;margin-left:55.950000000000003pt;margin-top:21.399999999999999pt;width:68.650000000000006pt;height:34.100000000000001pt;z-index:-188743995;mso-wrap-distance-left:0;mso-wrap-distance-right:0;mso-position-horizontal-relative:page;mso-position-vertical-relative:page" wrapcoords="0 0" filled="f" stroked="f">
              <v:textbox inset="0,0,0,0">
                <w:txbxContent>
                  <w:p>
                    <w:pPr>
                      <w:widowControl w:val="0"/>
                      <w:rPr>
                        <w:sz w:val="2"/>
                        <w:szCs w:val="2"/>
                      </w:rPr>
                    </w:pPr>
                    <w:r>
                      <w:drawing>
                        <wp:inline>
                          <wp:extent cx="871855" cy="433070"/>
                          <wp:docPr id="114" name="Picut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2"/>
                                  <a:stretch/>
                                </pic:blipFill>
                                <pic:spPr>
                                  <a:xfrm>
                                    <a:ext cx="871855" cy="4330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60" behindDoc="1" locked="0" layoutInCell="1" allowOverlap="1">
              <wp:simplePos x="0" y="0"/>
              <wp:positionH relativeFrom="page">
                <wp:posOffset>734695</wp:posOffset>
              </wp:positionH>
              <wp:positionV relativeFrom="page">
                <wp:posOffset>814070</wp:posOffset>
              </wp:positionV>
              <wp:extent cx="1896110" cy="216535"/>
              <wp:effectExtent l="0" t="0" r="0" b="0"/>
              <wp:wrapNone/>
              <wp:docPr id="115" name="Shape 115"/>
              <wp:cNvGraphicFramePr/>
              <a:graphic xmlns:a="http://schemas.openxmlformats.org/drawingml/2006/main">
                <a:graphicData uri="http://schemas.microsoft.com/office/word/2010/wordprocessingShape">
                  <wps:wsp>
                    <wps:cNvSpPr txBox="1"/>
                    <wps:spPr>
                      <a:xfrm>
                        <a:off x="0" y="0"/>
                        <a:ext cx="1896110" cy="216535"/>
                      </a:xfrm>
                      <a:prstGeom prst="rect">
                        <a:avLst/>
                      </a:prstGeom>
                      <a:noFill/>
                    </wps:spPr>
                    <wps:txbx>
                      <w:txbxContent>
                        <w:p w:rsidR="00215B20" w:rsidRDefault="00FD0AA3">
                          <w:pPr>
                            <w:pStyle w:val="Zhlavnebozpat20"/>
                            <w:shd w:val="clear" w:color="auto" w:fill="auto"/>
                            <w:rPr>
                              <w:sz w:val="36"/>
                              <w:szCs w:val="36"/>
                            </w:rPr>
                          </w:pPr>
                          <w:r>
                            <w:rPr>
                              <w:rFonts w:ascii="Arial" w:eastAsia="Arial" w:hAnsi="Arial" w:cs="Arial"/>
                              <w:b/>
                              <w:bCs/>
                              <w:color w:val="DE1273"/>
                              <w:sz w:val="36"/>
                              <w:szCs w:val="36"/>
                            </w:rPr>
                            <w:t>Popis služby SLA</w:t>
                          </w:r>
                        </w:p>
                      </w:txbxContent>
                    </wps:txbx>
                    <wps:bodyPr wrap="none" lIns="0" tIns="0" rIns="0" bIns="0">
                      <a:spAutoFit/>
                    </wps:bodyPr>
                  </wps:wsp>
                </a:graphicData>
              </a:graphic>
            </wp:anchor>
          </w:drawing>
        </mc:Choice>
        <mc:Fallback>
          <w:pict>
            <v:shape id="_x0000_s1141" type="#_x0000_t202" style="position:absolute;margin-left:57.850000000000001pt;margin-top:64.099999999999994pt;width:149.30000000000001pt;height:17.050000000000001pt;z-index:-18874399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DE1273"/>
                        <w:spacing w:val="0"/>
                        <w:w w:val="100"/>
                        <w:position w:val="0"/>
                        <w:sz w:val="36"/>
                        <w:szCs w:val="36"/>
                        <w:shd w:val="clear" w:color="auto" w:fill="auto"/>
                        <w:lang w:val="cs-CZ" w:eastAsia="cs-CZ" w:bidi="cs-CZ"/>
                      </w:rPr>
                      <w:t>Popis služby SLA</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50" behindDoc="1" locked="0" layoutInCell="1" allowOverlap="1">
              <wp:simplePos x="0" y="0"/>
              <wp:positionH relativeFrom="page">
                <wp:posOffset>710565</wp:posOffset>
              </wp:positionH>
              <wp:positionV relativeFrom="page">
                <wp:posOffset>271780</wp:posOffset>
              </wp:positionV>
              <wp:extent cx="871855" cy="433070"/>
              <wp:effectExtent l="0" t="0" r="0" b="0"/>
              <wp:wrapNone/>
              <wp:docPr id="101" name="Shape 101"/>
              <wp:cNvGraphicFramePr/>
              <a:graphic xmlns:a="http://schemas.openxmlformats.org/drawingml/2006/main">
                <a:graphicData uri="http://schemas.microsoft.com/office/word/2010/wordprocessingShape">
                  <wps:wsp>
                    <wps:cNvSpPr txBox="1"/>
                    <wps:spPr>
                      <a:xfrm>
                        <a:off x="0" y="0"/>
                        <a:ext cx="871855" cy="433070"/>
                      </a:xfrm>
                      <a:prstGeom prst="rect">
                        <a:avLst/>
                      </a:prstGeom>
                      <a:noFill/>
                    </wps:spPr>
                    <wps:txbx>
                      <w:txbxContent>
                        <w:p w:rsidR="00215B20" w:rsidRDefault="00FD0AA3">
                          <w:pPr>
                            <w:rPr>
                              <w:sz w:val="2"/>
                              <w:szCs w:val="2"/>
                            </w:rPr>
                          </w:pPr>
                          <w:r>
                            <w:rPr>
                              <w:noProof/>
                              <w:lang w:bidi="ar-SA"/>
                            </w:rPr>
                            <w:drawing>
                              <wp:inline distT="0" distB="0" distL="0" distR="0">
                                <wp:extent cx="871855" cy="43307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
                                        <a:stretch/>
                                      </pic:blipFill>
                                      <pic:spPr>
                                        <a:xfrm>
                                          <a:off x="0" y="0"/>
                                          <a:ext cx="871855" cy="433070"/>
                                        </a:xfrm>
                                        <a:prstGeom prst="rect">
                                          <a:avLst/>
                                        </a:prstGeom>
                                      </pic:spPr>
                                    </pic:pic>
                                  </a:graphicData>
                                </a:graphic>
                              </wp:inline>
                            </w:drawing>
                          </w:r>
                        </w:p>
                      </w:txbxContent>
                    </wps:txbx>
                    <wps:bodyPr lIns="0" tIns="0" rIns="0" bIns="0"/>
                  </wps:wsp>
                </a:graphicData>
              </a:graphic>
            </wp:anchor>
          </w:drawing>
        </mc:Choice>
        <mc:Fallback>
          <w:pict>
            <v:shape id="_x0000_s1128" type="#_x0000_t202" style="position:absolute;margin-left:55.950000000000003pt;margin-top:21.399999999999999pt;width:68.650000000000006pt;height:34.100000000000001pt;z-index:-188744003;mso-wrap-distance-left:0;mso-wrap-distance-right:0;mso-position-horizontal-relative:page;mso-position-vertical-relative:page" wrapcoords="0 0" filled="f" stroked="f">
              <v:textbox inset="0,0,0,0">
                <w:txbxContent>
                  <w:p>
                    <w:pPr>
                      <w:widowControl w:val="0"/>
                      <w:rPr>
                        <w:sz w:val="2"/>
                        <w:szCs w:val="2"/>
                      </w:rPr>
                    </w:pPr>
                    <w:r>
                      <w:drawing>
                        <wp:inline>
                          <wp:extent cx="871855" cy="433070"/>
                          <wp:docPr id="104" name="Picut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
                                  <a:stretch/>
                                </pic:blipFill>
                                <pic:spPr>
                                  <a:xfrm>
                                    <a:ext cx="871855" cy="4330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52" behindDoc="1" locked="0" layoutInCell="1" allowOverlap="1">
              <wp:simplePos x="0" y="0"/>
              <wp:positionH relativeFrom="page">
                <wp:posOffset>734695</wp:posOffset>
              </wp:positionH>
              <wp:positionV relativeFrom="page">
                <wp:posOffset>814070</wp:posOffset>
              </wp:positionV>
              <wp:extent cx="1896110" cy="216535"/>
              <wp:effectExtent l="0" t="0" r="0" b="0"/>
              <wp:wrapNone/>
              <wp:docPr id="105" name="Shape 105"/>
              <wp:cNvGraphicFramePr/>
              <a:graphic xmlns:a="http://schemas.openxmlformats.org/drawingml/2006/main">
                <a:graphicData uri="http://schemas.microsoft.com/office/word/2010/wordprocessingShape">
                  <wps:wsp>
                    <wps:cNvSpPr txBox="1"/>
                    <wps:spPr>
                      <a:xfrm>
                        <a:off x="0" y="0"/>
                        <a:ext cx="1896110" cy="216535"/>
                      </a:xfrm>
                      <a:prstGeom prst="rect">
                        <a:avLst/>
                      </a:prstGeom>
                      <a:noFill/>
                    </wps:spPr>
                    <wps:txbx>
                      <w:txbxContent>
                        <w:p w:rsidR="00215B20" w:rsidRDefault="00FD0AA3">
                          <w:pPr>
                            <w:pStyle w:val="Zhlavnebozpat20"/>
                            <w:shd w:val="clear" w:color="auto" w:fill="auto"/>
                            <w:rPr>
                              <w:sz w:val="36"/>
                              <w:szCs w:val="36"/>
                            </w:rPr>
                          </w:pPr>
                          <w:r>
                            <w:rPr>
                              <w:rFonts w:ascii="Arial" w:eastAsia="Arial" w:hAnsi="Arial" w:cs="Arial"/>
                              <w:b/>
                              <w:bCs/>
                              <w:color w:val="DE1273"/>
                              <w:sz w:val="36"/>
                              <w:szCs w:val="36"/>
                            </w:rPr>
                            <w:t>Popis služby SLA</w:t>
                          </w:r>
                        </w:p>
                      </w:txbxContent>
                    </wps:txbx>
                    <wps:bodyPr wrap="none" lIns="0" tIns="0" rIns="0" bIns="0">
                      <a:spAutoFit/>
                    </wps:bodyPr>
                  </wps:wsp>
                </a:graphicData>
              </a:graphic>
            </wp:anchor>
          </w:drawing>
        </mc:Choice>
        <mc:Fallback>
          <w:pict>
            <v:shape id="_x0000_s1131" type="#_x0000_t202" style="position:absolute;margin-left:57.850000000000001pt;margin-top:64.099999999999994pt;width:149.30000000000001pt;height:17.050000000000001pt;z-index:-18874400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DE1273"/>
                        <w:spacing w:val="0"/>
                        <w:w w:val="100"/>
                        <w:position w:val="0"/>
                        <w:sz w:val="36"/>
                        <w:szCs w:val="36"/>
                        <w:shd w:val="clear" w:color="auto" w:fill="auto"/>
                        <w:lang w:val="cs-CZ" w:eastAsia="cs-CZ" w:bidi="cs-CZ"/>
                      </w:rPr>
                      <w:t>Popis služby SLA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68" behindDoc="1" locked="0" layoutInCell="1" allowOverlap="1">
              <wp:simplePos x="0" y="0"/>
              <wp:positionH relativeFrom="page">
                <wp:posOffset>1737360</wp:posOffset>
              </wp:positionH>
              <wp:positionV relativeFrom="page">
                <wp:posOffset>619125</wp:posOffset>
              </wp:positionV>
              <wp:extent cx="935990" cy="469265"/>
              <wp:effectExtent l="0" t="0" r="0" b="0"/>
              <wp:wrapNone/>
              <wp:docPr id="124" name="Shape 124"/>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 id="_x0000_s1150" type="#_x0000_t202" style="position:absolute;margin-left:136.80000000000001pt;margin-top:48.75pt;width:73.700000000000003pt;height:36.950000000000003pt;z-index:-18874398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66" behindDoc="1" locked="0" layoutInCell="1" allowOverlap="1">
              <wp:simplePos x="0" y="0"/>
              <wp:positionH relativeFrom="page">
                <wp:posOffset>1737360</wp:posOffset>
              </wp:positionH>
              <wp:positionV relativeFrom="page">
                <wp:posOffset>619125</wp:posOffset>
              </wp:positionV>
              <wp:extent cx="935990" cy="469265"/>
              <wp:effectExtent l="0" t="0" r="0" b="0"/>
              <wp:wrapNone/>
              <wp:docPr id="122" name="Shape 122"/>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 id="_x0000_s1148" type="#_x0000_t202" style="position:absolute;margin-left:136.80000000000001pt;margin-top:48.75pt;width:73.700000000000003pt;height:36.950000000000003pt;z-index:-18874398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86" behindDoc="1" locked="0" layoutInCell="1" allowOverlap="1">
              <wp:simplePos x="0" y="0"/>
              <wp:positionH relativeFrom="page">
                <wp:posOffset>702945</wp:posOffset>
              </wp:positionH>
              <wp:positionV relativeFrom="page">
                <wp:posOffset>256540</wp:posOffset>
              </wp:positionV>
              <wp:extent cx="877570" cy="429895"/>
              <wp:effectExtent l="0" t="0" r="0" b="0"/>
              <wp:wrapNone/>
              <wp:docPr id="148" name="Shape 148"/>
              <wp:cNvGraphicFramePr/>
              <a:graphic xmlns:a="http://schemas.openxmlformats.org/drawingml/2006/main">
                <a:graphicData uri="http://schemas.microsoft.com/office/word/2010/wordprocessingShape">
                  <wps:wsp>
                    <wps:cNvSpPr txBox="1"/>
                    <wps:spPr>
                      <a:xfrm>
                        <a:off x="0" y="0"/>
                        <a:ext cx="877570" cy="429895"/>
                      </a:xfrm>
                      <a:prstGeom prst="rect">
                        <a:avLst/>
                      </a:prstGeom>
                      <a:noFill/>
                    </wps:spPr>
                    <wps:txbx>
                      <w:txbxContent>
                        <w:p w:rsidR="00215B20" w:rsidRDefault="00FD0AA3">
                          <w:pPr>
                            <w:rPr>
                              <w:sz w:val="2"/>
                              <w:szCs w:val="2"/>
                            </w:rPr>
                          </w:pPr>
                          <w:r>
                            <w:rPr>
                              <w:noProof/>
                              <w:lang w:bidi="ar-SA"/>
                            </w:rPr>
                            <w:drawing>
                              <wp:inline distT="0" distB="0" distL="0" distR="0">
                                <wp:extent cx="877570" cy="43307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pic:blipFill>
                                      <pic:spPr>
                                        <a:xfrm>
                                          <a:off x="0" y="0"/>
                                          <a:ext cx="877570" cy="433070"/>
                                        </a:xfrm>
                                        <a:prstGeom prst="rect">
                                          <a:avLst/>
                                        </a:prstGeom>
                                      </pic:spPr>
                                    </pic:pic>
                                  </a:graphicData>
                                </a:graphic>
                              </wp:inline>
                            </w:drawing>
                          </w:r>
                        </w:p>
                      </w:txbxContent>
                    </wps:txbx>
                    <wps:bodyPr lIns="0" tIns="0" rIns="0" bIns="0"/>
                  </wps:wsp>
                </a:graphicData>
              </a:graphic>
            </wp:anchor>
          </w:drawing>
        </mc:Choice>
        <mc:Fallback>
          <w:pict>
            <v:shape id="_x0000_s1175" type="#_x0000_t202" style="position:absolute;margin-left:55.350000000000001pt;margin-top:20.199999999999999pt;width:69.099999999999994pt;height:33.850000000000001pt;z-index:-188743967;mso-wrap-distance-left:0;mso-wrap-distance-right:0;mso-position-horizontal-relative:page;mso-position-vertical-relative:page" wrapcoords="0 0" filled="f" stroked="f">
              <v:textbox inset="0,0,0,0">
                <w:txbxContent>
                  <w:p>
                    <w:pPr>
                      <w:widowControl w:val="0"/>
                      <w:rPr>
                        <w:sz w:val="2"/>
                        <w:szCs w:val="2"/>
                      </w:rPr>
                    </w:pPr>
                    <w:r>
                      <w:drawing>
                        <wp:inline>
                          <wp:extent cx="877570" cy="433070"/>
                          <wp:docPr id="151" name="Picut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
                                  <a:stretch/>
                                </pic:blipFill>
                                <pic:spPr>
                                  <a:xfrm>
                                    <a:ext cx="877570" cy="4330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88" behindDoc="1" locked="0" layoutInCell="1" allowOverlap="1">
              <wp:simplePos x="0" y="0"/>
              <wp:positionH relativeFrom="page">
                <wp:posOffset>718185</wp:posOffset>
              </wp:positionH>
              <wp:positionV relativeFrom="page">
                <wp:posOffset>869315</wp:posOffset>
              </wp:positionV>
              <wp:extent cx="4361815" cy="320040"/>
              <wp:effectExtent l="0" t="0" r="0" b="0"/>
              <wp:wrapNone/>
              <wp:docPr id="152" name="Shape 152"/>
              <wp:cNvGraphicFramePr/>
              <a:graphic xmlns:a="http://schemas.openxmlformats.org/drawingml/2006/main">
                <a:graphicData uri="http://schemas.microsoft.com/office/word/2010/wordprocessingShape">
                  <wps:wsp>
                    <wps:cNvSpPr txBox="1"/>
                    <wps:spPr>
                      <a:xfrm>
                        <a:off x="0" y="0"/>
                        <a:ext cx="4361815" cy="320040"/>
                      </a:xfrm>
                      <a:prstGeom prst="rect">
                        <a:avLst/>
                      </a:prstGeom>
                      <a:noFill/>
                    </wps:spPr>
                    <wps:txbx>
                      <w:txbxContent>
                        <w:p w:rsidR="00215B20" w:rsidRDefault="00FD0AA3">
                          <w:pPr>
                            <w:pStyle w:val="Zhlavnebozpat20"/>
                            <w:shd w:val="clear" w:color="auto" w:fill="auto"/>
                            <w:rPr>
                              <w:sz w:val="36"/>
                              <w:szCs w:val="36"/>
                            </w:rPr>
                          </w:pPr>
                          <w:r>
                            <w:rPr>
                              <w:rFonts w:ascii="Arial" w:eastAsia="Arial" w:hAnsi="Arial" w:cs="Arial"/>
                              <w:b/>
                              <w:bCs/>
                              <w:color w:val="DE1273"/>
                              <w:sz w:val="36"/>
                              <w:szCs w:val="36"/>
                            </w:rPr>
                            <w:t>Provozní statistiky - Uživatelský manuál</w:t>
                          </w:r>
                        </w:p>
                        <w:p w:rsidR="00215B20" w:rsidRDefault="00FD0AA3">
                          <w:pPr>
                            <w:pStyle w:val="Zhlavnebozpat20"/>
                            <w:shd w:val="clear" w:color="auto" w:fill="auto"/>
                            <w:rPr>
                              <w:sz w:val="13"/>
                              <w:szCs w:val="13"/>
                            </w:rPr>
                          </w:pPr>
                          <w:r>
                            <w:rPr>
                              <w:rFonts w:ascii="Arial" w:eastAsia="Arial" w:hAnsi="Arial" w:cs="Arial"/>
                              <w:color w:val="231F20"/>
                              <w:sz w:val="13"/>
                              <w:szCs w:val="13"/>
                            </w:rPr>
                            <w:t>Platnost od 1. 6. 2018</w:t>
                          </w:r>
                        </w:p>
                      </w:txbxContent>
                    </wps:txbx>
                    <wps:bodyPr wrap="none" lIns="0" tIns="0" rIns="0" bIns="0">
                      <a:spAutoFit/>
                    </wps:bodyPr>
                  </wps:wsp>
                </a:graphicData>
              </a:graphic>
            </wp:anchor>
          </w:drawing>
        </mc:Choice>
        <mc:Fallback>
          <w:pict>
            <v:shape id="_x0000_s1178" type="#_x0000_t202" style="position:absolute;margin-left:56.549999999999997pt;margin-top:68.450000000000003pt;width:343.44999999999999pt;height:25.199999999999999pt;z-index:-18874396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DE1273"/>
                        <w:spacing w:val="0"/>
                        <w:w w:val="100"/>
                        <w:position w:val="0"/>
                        <w:sz w:val="36"/>
                        <w:szCs w:val="36"/>
                        <w:shd w:val="clear" w:color="auto" w:fill="auto"/>
                        <w:lang w:val="cs-CZ" w:eastAsia="cs-CZ" w:bidi="cs-CZ"/>
                      </w:rPr>
                      <w:t>Provozní statistiky - Uživatelský manuál</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Platnost od 1. 6. 2018</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778" behindDoc="1" locked="0" layoutInCell="1" allowOverlap="1">
              <wp:simplePos x="0" y="0"/>
              <wp:positionH relativeFrom="page">
                <wp:posOffset>702945</wp:posOffset>
              </wp:positionH>
              <wp:positionV relativeFrom="page">
                <wp:posOffset>256540</wp:posOffset>
              </wp:positionV>
              <wp:extent cx="877570" cy="429895"/>
              <wp:effectExtent l="0" t="0" r="0" b="0"/>
              <wp:wrapNone/>
              <wp:docPr id="138" name="Shape 138"/>
              <wp:cNvGraphicFramePr/>
              <a:graphic xmlns:a="http://schemas.openxmlformats.org/drawingml/2006/main">
                <a:graphicData uri="http://schemas.microsoft.com/office/word/2010/wordprocessingShape">
                  <wps:wsp>
                    <wps:cNvSpPr txBox="1"/>
                    <wps:spPr>
                      <a:xfrm>
                        <a:off x="0" y="0"/>
                        <a:ext cx="877570" cy="429895"/>
                      </a:xfrm>
                      <a:prstGeom prst="rect">
                        <a:avLst/>
                      </a:prstGeom>
                      <a:noFill/>
                    </wps:spPr>
                    <wps:txbx>
                      <w:txbxContent>
                        <w:p w:rsidR="00215B20" w:rsidRDefault="00FD0AA3">
                          <w:pPr>
                            <w:rPr>
                              <w:sz w:val="2"/>
                              <w:szCs w:val="2"/>
                            </w:rPr>
                          </w:pPr>
                          <w:r>
                            <w:rPr>
                              <w:noProof/>
                              <w:lang w:bidi="ar-SA"/>
                            </w:rPr>
                            <w:drawing>
                              <wp:inline distT="0" distB="0" distL="0" distR="0">
                                <wp:extent cx="877570" cy="43307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
                                        <a:stretch/>
                                      </pic:blipFill>
                                      <pic:spPr>
                                        <a:xfrm>
                                          <a:off x="0" y="0"/>
                                          <a:ext cx="877570" cy="433070"/>
                                        </a:xfrm>
                                        <a:prstGeom prst="rect">
                                          <a:avLst/>
                                        </a:prstGeom>
                                      </pic:spPr>
                                    </pic:pic>
                                  </a:graphicData>
                                </a:graphic>
                              </wp:inline>
                            </w:drawing>
                          </w:r>
                        </w:p>
                      </w:txbxContent>
                    </wps:txbx>
                    <wps:bodyPr lIns="0" tIns="0" rIns="0" bIns="0"/>
                  </wps:wsp>
                </a:graphicData>
              </a:graphic>
            </wp:anchor>
          </w:drawing>
        </mc:Choice>
        <mc:Fallback>
          <w:pict>
            <v:shape id="_x0000_s1165" type="#_x0000_t202" style="position:absolute;margin-left:55.350000000000001pt;margin-top:20.199999999999999pt;width:69.099999999999994pt;height:33.850000000000001pt;z-index:-188743975;mso-wrap-distance-left:0;mso-wrap-distance-right:0;mso-position-horizontal-relative:page;mso-position-vertical-relative:page" wrapcoords="0 0" filled="f" stroked="f">
              <v:textbox inset="0,0,0,0">
                <w:txbxContent>
                  <w:p>
                    <w:pPr>
                      <w:widowControl w:val="0"/>
                      <w:rPr>
                        <w:sz w:val="2"/>
                        <w:szCs w:val="2"/>
                      </w:rPr>
                    </w:pPr>
                    <w:r>
                      <w:drawing>
                        <wp:inline>
                          <wp:extent cx="877570" cy="433070"/>
                          <wp:docPr id="141" name="Picut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stretch/>
                                </pic:blipFill>
                                <pic:spPr>
                                  <a:xfrm>
                                    <a:ext cx="877570" cy="4330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80" behindDoc="1" locked="0" layoutInCell="1" allowOverlap="1">
              <wp:simplePos x="0" y="0"/>
              <wp:positionH relativeFrom="page">
                <wp:posOffset>718185</wp:posOffset>
              </wp:positionH>
              <wp:positionV relativeFrom="page">
                <wp:posOffset>869315</wp:posOffset>
              </wp:positionV>
              <wp:extent cx="4361815" cy="320040"/>
              <wp:effectExtent l="0" t="0" r="0" b="0"/>
              <wp:wrapNone/>
              <wp:docPr id="142" name="Shape 142"/>
              <wp:cNvGraphicFramePr/>
              <a:graphic xmlns:a="http://schemas.openxmlformats.org/drawingml/2006/main">
                <a:graphicData uri="http://schemas.microsoft.com/office/word/2010/wordprocessingShape">
                  <wps:wsp>
                    <wps:cNvSpPr txBox="1"/>
                    <wps:spPr>
                      <a:xfrm>
                        <a:off x="0" y="0"/>
                        <a:ext cx="4361815" cy="320040"/>
                      </a:xfrm>
                      <a:prstGeom prst="rect">
                        <a:avLst/>
                      </a:prstGeom>
                      <a:noFill/>
                    </wps:spPr>
                    <wps:txbx>
                      <w:txbxContent>
                        <w:p w:rsidR="00215B20" w:rsidRDefault="00FD0AA3">
                          <w:pPr>
                            <w:pStyle w:val="Zhlavnebozpat20"/>
                            <w:shd w:val="clear" w:color="auto" w:fill="auto"/>
                            <w:rPr>
                              <w:sz w:val="36"/>
                              <w:szCs w:val="36"/>
                            </w:rPr>
                          </w:pPr>
                          <w:r>
                            <w:rPr>
                              <w:rFonts w:ascii="Arial" w:eastAsia="Arial" w:hAnsi="Arial" w:cs="Arial"/>
                              <w:b/>
                              <w:bCs/>
                              <w:color w:val="DE1273"/>
                              <w:sz w:val="36"/>
                              <w:szCs w:val="36"/>
                            </w:rPr>
                            <w:t xml:space="preserve">Provozní statistiky - </w:t>
                          </w:r>
                          <w:r>
                            <w:rPr>
                              <w:rFonts w:ascii="Arial" w:eastAsia="Arial" w:hAnsi="Arial" w:cs="Arial"/>
                              <w:b/>
                              <w:bCs/>
                              <w:color w:val="DE1273"/>
                              <w:sz w:val="36"/>
                              <w:szCs w:val="36"/>
                            </w:rPr>
                            <w:t>Uživatelský manuál</w:t>
                          </w:r>
                        </w:p>
                        <w:p w:rsidR="00215B20" w:rsidRDefault="00FD0AA3">
                          <w:pPr>
                            <w:pStyle w:val="Zhlavnebozpat20"/>
                            <w:shd w:val="clear" w:color="auto" w:fill="auto"/>
                            <w:rPr>
                              <w:sz w:val="13"/>
                              <w:szCs w:val="13"/>
                            </w:rPr>
                          </w:pPr>
                          <w:r>
                            <w:rPr>
                              <w:rFonts w:ascii="Arial" w:eastAsia="Arial" w:hAnsi="Arial" w:cs="Arial"/>
                              <w:color w:val="231F20"/>
                              <w:sz w:val="13"/>
                              <w:szCs w:val="13"/>
                            </w:rPr>
                            <w:t>Platnost od 1. 6. 2018</w:t>
                          </w:r>
                        </w:p>
                      </w:txbxContent>
                    </wps:txbx>
                    <wps:bodyPr wrap="none" lIns="0" tIns="0" rIns="0" bIns="0">
                      <a:spAutoFit/>
                    </wps:bodyPr>
                  </wps:wsp>
                </a:graphicData>
              </a:graphic>
            </wp:anchor>
          </w:drawing>
        </mc:Choice>
        <mc:Fallback>
          <w:pict>
            <v:shape id="_x0000_s1168" type="#_x0000_t202" style="position:absolute;margin-left:56.549999999999997pt;margin-top:68.450000000000003pt;width:343.44999999999999pt;height:25.199999999999999pt;z-index:-18874397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DE1273"/>
                        <w:spacing w:val="0"/>
                        <w:w w:val="100"/>
                        <w:position w:val="0"/>
                        <w:sz w:val="36"/>
                        <w:szCs w:val="36"/>
                        <w:shd w:val="clear" w:color="auto" w:fill="auto"/>
                        <w:lang w:val="cs-CZ" w:eastAsia="cs-CZ" w:bidi="cs-CZ"/>
                      </w:rPr>
                      <w:t>Provozní statistiky - Uživatelský manuál</w:t>
                    </w:r>
                  </w:p>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color w:val="231F20"/>
                        <w:spacing w:val="0"/>
                        <w:w w:val="100"/>
                        <w:position w:val="0"/>
                        <w:sz w:val="13"/>
                        <w:szCs w:val="13"/>
                        <w:shd w:val="clear" w:color="auto" w:fill="auto"/>
                        <w:lang w:val="cs-CZ" w:eastAsia="cs-CZ" w:bidi="cs-CZ"/>
                      </w:rPr>
                      <w:t>Platnost od 1. 6. 2018</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06" behindDoc="1" locked="0" layoutInCell="1" allowOverlap="1">
              <wp:simplePos x="0" y="0"/>
              <wp:positionH relativeFrom="page">
                <wp:posOffset>702310</wp:posOffset>
              </wp:positionH>
              <wp:positionV relativeFrom="page">
                <wp:posOffset>52070</wp:posOffset>
              </wp:positionV>
              <wp:extent cx="877570" cy="429895"/>
              <wp:effectExtent l="0" t="0" r="0" b="0"/>
              <wp:wrapNone/>
              <wp:docPr id="173" name="Shape 173"/>
              <wp:cNvGraphicFramePr/>
              <a:graphic xmlns:a="http://schemas.openxmlformats.org/drawingml/2006/main">
                <a:graphicData uri="http://schemas.microsoft.com/office/word/2010/wordprocessingShape">
                  <wps:wsp>
                    <wps:cNvSpPr txBox="1"/>
                    <wps:spPr>
                      <a:xfrm>
                        <a:off x="0" y="0"/>
                        <a:ext cx="877570" cy="429895"/>
                      </a:xfrm>
                      <a:prstGeom prst="rect">
                        <a:avLst/>
                      </a:prstGeom>
                      <a:noFill/>
                    </wps:spPr>
                    <wps:txbx>
                      <w:txbxContent>
                        <w:p w:rsidR="00215B20" w:rsidRDefault="00FD0AA3">
                          <w:pPr>
                            <w:rPr>
                              <w:sz w:val="2"/>
                              <w:szCs w:val="2"/>
                            </w:rPr>
                          </w:pPr>
                          <w:r>
                            <w:rPr>
                              <w:noProof/>
                              <w:lang w:bidi="ar-SA"/>
                            </w:rPr>
                            <w:drawing>
                              <wp:inline distT="0" distB="0" distL="0" distR="0">
                                <wp:extent cx="877570" cy="43307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
                                        <a:stretch/>
                                      </pic:blipFill>
                                      <pic:spPr>
                                        <a:xfrm>
                                          <a:off x="0" y="0"/>
                                          <a:ext cx="877570" cy="433070"/>
                                        </a:xfrm>
                                        <a:prstGeom prst="rect">
                                          <a:avLst/>
                                        </a:prstGeom>
                                      </pic:spPr>
                                    </pic:pic>
                                  </a:graphicData>
                                </a:graphic>
                              </wp:inline>
                            </w:drawing>
                          </w:r>
                        </w:p>
                      </w:txbxContent>
                    </wps:txbx>
                    <wps:bodyPr lIns="0" tIns="0" rIns="0" bIns="0"/>
                  </wps:wsp>
                </a:graphicData>
              </a:graphic>
            </wp:anchor>
          </w:drawing>
        </mc:Choice>
        <mc:Fallback>
          <w:pict>
            <v:shape id="_x0000_s1200" type="#_x0000_t202" style="position:absolute;margin-left:55.299999999999997pt;margin-top:4.0999999999999996pt;width:69.099999999999994pt;height:33.850000000000001pt;z-index:-188743947;mso-wrap-distance-left:0;mso-wrap-distance-right:0;mso-position-horizontal-relative:page;mso-position-vertical-relative:page" wrapcoords="0 0" filled="f" stroked="f">
              <v:textbox inset="0,0,0,0">
                <w:txbxContent>
                  <w:p>
                    <w:pPr>
                      <w:widowControl w:val="0"/>
                      <w:rPr>
                        <w:sz w:val="2"/>
                        <w:szCs w:val="2"/>
                      </w:rPr>
                    </w:pPr>
                    <w:r>
                      <w:drawing>
                        <wp:inline>
                          <wp:extent cx="877570" cy="433070"/>
                          <wp:docPr id="176" name="Picut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2"/>
                                  <a:stretch/>
                                </pic:blipFill>
                                <pic:spPr>
                                  <a:xfrm>
                                    <a:ext cx="877570" cy="4330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808" behindDoc="1" locked="0" layoutInCell="1" allowOverlap="1">
              <wp:simplePos x="0" y="0"/>
              <wp:positionH relativeFrom="page">
                <wp:posOffset>717550</wp:posOffset>
              </wp:positionH>
              <wp:positionV relativeFrom="page">
                <wp:posOffset>664845</wp:posOffset>
              </wp:positionV>
              <wp:extent cx="4361815" cy="320040"/>
              <wp:effectExtent l="0" t="0" r="0" b="0"/>
              <wp:wrapNone/>
              <wp:docPr id="177" name="Shape 177"/>
              <wp:cNvGraphicFramePr/>
              <a:graphic xmlns:a="http://schemas.openxmlformats.org/drawingml/2006/main">
                <a:graphicData uri="http://schemas.microsoft.com/office/word/2010/wordprocessingShape">
                  <wps:wsp>
                    <wps:cNvSpPr txBox="1"/>
                    <wps:spPr>
                      <a:xfrm>
                        <a:off x="0" y="0"/>
                        <a:ext cx="4361815" cy="320040"/>
                      </a:xfrm>
                      <a:prstGeom prst="rect">
                        <a:avLst/>
                      </a:prstGeom>
                      <a:noFill/>
                    </wps:spPr>
                    <wps:txbx>
                      <w:txbxContent>
                        <w:p w:rsidR="00215B20" w:rsidRDefault="00FD0AA3">
                          <w:pPr>
                            <w:pStyle w:val="Zhlavnebozpat20"/>
                            <w:shd w:val="clear" w:color="auto" w:fill="auto"/>
                            <w:rPr>
                              <w:sz w:val="36"/>
                              <w:szCs w:val="36"/>
                            </w:rPr>
                          </w:pPr>
                          <w:r>
                            <w:rPr>
                              <w:rFonts w:ascii="Arial" w:eastAsia="Arial" w:hAnsi="Arial" w:cs="Arial"/>
                              <w:b/>
                              <w:bCs/>
                              <w:color w:val="DE1273"/>
                              <w:sz w:val="36"/>
                              <w:szCs w:val="36"/>
                            </w:rPr>
                            <w:t>Provozní statistiky - Uživatelský manuál</w:t>
                          </w:r>
                        </w:p>
                        <w:p w:rsidR="00215B20" w:rsidRDefault="00FD0AA3">
                          <w:pPr>
                            <w:pStyle w:val="Zhlavnebozpat20"/>
                            <w:shd w:val="clear" w:color="auto" w:fill="auto"/>
                            <w:rPr>
                              <w:sz w:val="14"/>
                              <w:szCs w:val="14"/>
                            </w:rPr>
                          </w:pPr>
                          <w:r>
                            <w:rPr>
                              <w:rFonts w:ascii="Arial" w:eastAsia="Arial" w:hAnsi="Arial" w:cs="Arial"/>
                              <w:b/>
                              <w:bCs/>
                              <w:color w:val="231F20"/>
                              <w:sz w:val="14"/>
                              <w:szCs w:val="14"/>
                            </w:rPr>
                            <w:t>Platnost od 1. 6. 2018</w:t>
                          </w:r>
                        </w:p>
                      </w:txbxContent>
                    </wps:txbx>
                    <wps:bodyPr wrap="none" lIns="0" tIns="0" rIns="0" bIns="0">
                      <a:spAutoFit/>
                    </wps:bodyPr>
                  </wps:wsp>
                </a:graphicData>
              </a:graphic>
            </wp:anchor>
          </w:drawing>
        </mc:Choice>
        <mc:Fallback>
          <w:pict>
            <v:shape id="_x0000_s1203" type="#_x0000_t202" style="position:absolute;margin-left:56.5pt;margin-top:52.350000000000001pt;width:343.44999999999999pt;height:25.199999999999999pt;z-index:-18874394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DE1273"/>
                        <w:spacing w:val="0"/>
                        <w:w w:val="100"/>
                        <w:position w:val="0"/>
                        <w:sz w:val="36"/>
                        <w:szCs w:val="36"/>
                        <w:shd w:val="clear" w:color="auto" w:fill="auto"/>
                        <w:lang w:val="cs-CZ" w:eastAsia="cs-CZ" w:bidi="cs-CZ"/>
                      </w:rPr>
                      <w:t>Provozní statistiky - Uživatelský manuál</w:t>
                    </w:r>
                  </w:p>
                  <w:p>
                    <w:pPr>
                      <w:pStyle w:val="Style5"/>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231F20"/>
                        <w:spacing w:val="0"/>
                        <w:w w:val="100"/>
                        <w:position w:val="0"/>
                        <w:sz w:val="14"/>
                        <w:szCs w:val="14"/>
                        <w:shd w:val="clear" w:color="auto" w:fill="auto"/>
                        <w:lang w:val="cs-CZ" w:eastAsia="cs-CZ" w:bidi="cs-CZ"/>
                      </w:rPr>
                      <w:t>Platnost od 1. 6. 2018</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25" behindDoc="1" locked="0" layoutInCell="1" allowOverlap="1">
              <wp:simplePos x="0" y="0"/>
              <wp:positionH relativeFrom="page">
                <wp:posOffset>702310</wp:posOffset>
              </wp:positionH>
              <wp:positionV relativeFrom="page">
                <wp:posOffset>52070</wp:posOffset>
              </wp:positionV>
              <wp:extent cx="877570" cy="429895"/>
              <wp:effectExtent l="0" t="0" r="0" b="0"/>
              <wp:wrapNone/>
              <wp:docPr id="275" name="Shape 275"/>
              <wp:cNvGraphicFramePr/>
              <a:graphic xmlns:a="http://schemas.openxmlformats.org/drawingml/2006/main">
                <a:graphicData uri="http://schemas.microsoft.com/office/word/2010/wordprocessingShape">
                  <wps:wsp>
                    <wps:cNvSpPr txBox="1"/>
                    <wps:spPr>
                      <a:xfrm>
                        <a:off x="0" y="0"/>
                        <a:ext cx="877570" cy="429895"/>
                      </a:xfrm>
                      <a:prstGeom prst="rect">
                        <a:avLst/>
                      </a:prstGeom>
                      <a:noFill/>
                    </wps:spPr>
                    <wps:txbx>
                      <w:txbxContent>
                        <w:p w:rsidR="00215B20" w:rsidRDefault="00FD0AA3">
                          <w:pPr>
                            <w:rPr>
                              <w:sz w:val="2"/>
                              <w:szCs w:val="2"/>
                            </w:rPr>
                          </w:pPr>
                          <w:r>
                            <w:rPr>
                              <w:noProof/>
                              <w:lang w:bidi="ar-SA"/>
                            </w:rPr>
                            <w:drawing>
                              <wp:inline distT="0" distB="0" distL="0" distR="0">
                                <wp:extent cx="877570" cy="433070"/>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
                                        <a:stretch/>
                                      </pic:blipFill>
                                      <pic:spPr>
                                        <a:xfrm>
                                          <a:off x="0" y="0"/>
                                          <a:ext cx="877570" cy="433070"/>
                                        </a:xfrm>
                                        <a:prstGeom prst="rect">
                                          <a:avLst/>
                                        </a:prstGeom>
                                      </pic:spPr>
                                    </pic:pic>
                                  </a:graphicData>
                                </a:graphic>
                              </wp:inline>
                            </w:drawing>
                          </w:r>
                        </w:p>
                      </w:txbxContent>
                    </wps:txbx>
                    <wps:bodyPr lIns="0" tIns="0" rIns="0" bIns="0"/>
                  </wps:wsp>
                </a:graphicData>
              </a:graphic>
            </wp:anchor>
          </w:drawing>
        </mc:Choice>
        <mc:Fallback>
          <w:pict>
            <v:shape id="_x0000_s1302" type="#_x0000_t202" style="position:absolute;margin-left:55.299999999999997pt;margin-top:4.0999999999999996pt;width:69.099999999999994pt;height:33.850000000000001pt;z-index:-188743928;mso-wrap-distance-left:0;mso-wrap-distance-right:0;mso-position-horizontal-relative:page;mso-position-vertical-relative:page" wrapcoords="0 0" filled="f" stroked="f">
              <v:textbox inset="0,0,0,0">
                <w:txbxContent>
                  <w:p>
                    <w:pPr>
                      <w:widowControl w:val="0"/>
                      <w:rPr>
                        <w:sz w:val="2"/>
                        <w:szCs w:val="2"/>
                      </w:rPr>
                    </w:pPr>
                    <w:r>
                      <w:drawing>
                        <wp:inline>
                          <wp:extent cx="877570" cy="433070"/>
                          <wp:docPr id="278" name="Picutre 278"/>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
                                  <a:stretch/>
                                </pic:blipFill>
                                <pic:spPr>
                                  <a:xfrm>
                                    <a:ext cx="877570" cy="4330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827" behindDoc="1" locked="0" layoutInCell="1" allowOverlap="1">
              <wp:simplePos x="0" y="0"/>
              <wp:positionH relativeFrom="page">
                <wp:posOffset>717550</wp:posOffset>
              </wp:positionH>
              <wp:positionV relativeFrom="page">
                <wp:posOffset>664845</wp:posOffset>
              </wp:positionV>
              <wp:extent cx="4361815" cy="320040"/>
              <wp:effectExtent l="0" t="0" r="0" b="0"/>
              <wp:wrapNone/>
              <wp:docPr id="279" name="Shape 279"/>
              <wp:cNvGraphicFramePr/>
              <a:graphic xmlns:a="http://schemas.openxmlformats.org/drawingml/2006/main">
                <a:graphicData uri="http://schemas.microsoft.com/office/word/2010/wordprocessingShape">
                  <wps:wsp>
                    <wps:cNvSpPr txBox="1"/>
                    <wps:spPr>
                      <a:xfrm>
                        <a:off x="0" y="0"/>
                        <a:ext cx="4361815" cy="320040"/>
                      </a:xfrm>
                      <a:prstGeom prst="rect">
                        <a:avLst/>
                      </a:prstGeom>
                      <a:noFill/>
                    </wps:spPr>
                    <wps:txbx>
                      <w:txbxContent>
                        <w:p w:rsidR="00215B20" w:rsidRDefault="00FD0AA3">
                          <w:pPr>
                            <w:pStyle w:val="Zhlavnebozpat20"/>
                            <w:shd w:val="clear" w:color="auto" w:fill="auto"/>
                            <w:rPr>
                              <w:sz w:val="36"/>
                              <w:szCs w:val="36"/>
                            </w:rPr>
                          </w:pPr>
                          <w:r>
                            <w:rPr>
                              <w:rFonts w:ascii="Arial" w:eastAsia="Arial" w:hAnsi="Arial" w:cs="Arial"/>
                              <w:b/>
                              <w:bCs/>
                              <w:color w:val="DE1273"/>
                              <w:sz w:val="36"/>
                              <w:szCs w:val="36"/>
                            </w:rPr>
                            <w:t>Provozní statistiky - Uživatelský manuál</w:t>
                          </w:r>
                        </w:p>
                        <w:p w:rsidR="00215B20" w:rsidRDefault="00FD0AA3">
                          <w:pPr>
                            <w:pStyle w:val="Zhlavnebozpat20"/>
                            <w:shd w:val="clear" w:color="auto" w:fill="auto"/>
                            <w:rPr>
                              <w:sz w:val="14"/>
                              <w:szCs w:val="14"/>
                            </w:rPr>
                          </w:pPr>
                          <w:r>
                            <w:rPr>
                              <w:rFonts w:ascii="Arial" w:eastAsia="Arial" w:hAnsi="Arial" w:cs="Arial"/>
                              <w:b/>
                              <w:bCs/>
                              <w:color w:val="231F20"/>
                              <w:sz w:val="14"/>
                              <w:szCs w:val="14"/>
                            </w:rPr>
                            <w:t>Platnost od 1. 6. 2018</w:t>
                          </w:r>
                        </w:p>
                      </w:txbxContent>
                    </wps:txbx>
                    <wps:bodyPr wrap="none" lIns="0" tIns="0" rIns="0" bIns="0">
                      <a:spAutoFit/>
                    </wps:bodyPr>
                  </wps:wsp>
                </a:graphicData>
              </a:graphic>
            </wp:anchor>
          </w:drawing>
        </mc:Choice>
        <mc:Fallback>
          <w:pict>
            <v:shape id="_x0000_s1305" type="#_x0000_t202" style="position:absolute;margin-left:56.5pt;margin-top:52.350000000000001pt;width:343.44999999999999pt;height:25.199999999999999pt;z-index:-188743926;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DE1273"/>
                        <w:spacing w:val="0"/>
                        <w:w w:val="100"/>
                        <w:position w:val="0"/>
                        <w:sz w:val="36"/>
                        <w:szCs w:val="36"/>
                        <w:shd w:val="clear" w:color="auto" w:fill="auto"/>
                        <w:lang w:val="cs-CZ" w:eastAsia="cs-CZ" w:bidi="cs-CZ"/>
                      </w:rPr>
                      <w:t>Provozní statistiky - Uživatelský manuál</w:t>
                    </w:r>
                  </w:p>
                  <w:p>
                    <w:pPr>
                      <w:pStyle w:val="Style5"/>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231F20"/>
                        <w:spacing w:val="0"/>
                        <w:w w:val="100"/>
                        <w:position w:val="0"/>
                        <w:sz w:val="14"/>
                        <w:szCs w:val="14"/>
                        <w:shd w:val="clear" w:color="auto" w:fill="auto"/>
                        <w:lang w:val="cs-CZ" w:eastAsia="cs-CZ" w:bidi="cs-CZ"/>
                      </w:rPr>
                      <w:t>Platnost od 1. 6. 2018</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17" behindDoc="1" locked="0" layoutInCell="1" allowOverlap="1">
              <wp:simplePos x="0" y="0"/>
              <wp:positionH relativeFrom="page">
                <wp:posOffset>702310</wp:posOffset>
              </wp:positionH>
              <wp:positionV relativeFrom="page">
                <wp:posOffset>52070</wp:posOffset>
              </wp:positionV>
              <wp:extent cx="877570" cy="429895"/>
              <wp:effectExtent l="0" t="0" r="0" b="0"/>
              <wp:wrapNone/>
              <wp:docPr id="265" name="Shape 265"/>
              <wp:cNvGraphicFramePr/>
              <a:graphic xmlns:a="http://schemas.openxmlformats.org/drawingml/2006/main">
                <a:graphicData uri="http://schemas.microsoft.com/office/word/2010/wordprocessingShape">
                  <wps:wsp>
                    <wps:cNvSpPr txBox="1"/>
                    <wps:spPr>
                      <a:xfrm>
                        <a:off x="0" y="0"/>
                        <a:ext cx="877570" cy="429895"/>
                      </a:xfrm>
                      <a:prstGeom prst="rect">
                        <a:avLst/>
                      </a:prstGeom>
                      <a:noFill/>
                    </wps:spPr>
                    <wps:txbx>
                      <w:txbxContent>
                        <w:p w:rsidR="00215B20" w:rsidRDefault="00FD0AA3">
                          <w:pPr>
                            <w:rPr>
                              <w:sz w:val="2"/>
                              <w:szCs w:val="2"/>
                            </w:rPr>
                          </w:pPr>
                          <w:r>
                            <w:rPr>
                              <w:noProof/>
                              <w:lang w:bidi="ar-SA"/>
                            </w:rPr>
                            <w:drawing>
                              <wp:inline distT="0" distB="0" distL="0" distR="0">
                                <wp:extent cx="877570" cy="433070"/>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
                                        <a:stretch/>
                                      </pic:blipFill>
                                      <pic:spPr>
                                        <a:xfrm>
                                          <a:off x="0" y="0"/>
                                          <a:ext cx="877570" cy="433070"/>
                                        </a:xfrm>
                                        <a:prstGeom prst="rect">
                                          <a:avLst/>
                                        </a:prstGeom>
                                      </pic:spPr>
                                    </pic:pic>
                                  </a:graphicData>
                                </a:graphic>
                              </wp:inline>
                            </w:drawing>
                          </w:r>
                        </w:p>
                      </w:txbxContent>
                    </wps:txbx>
                    <wps:bodyPr lIns="0" tIns="0" rIns="0" bIns="0"/>
                  </wps:wsp>
                </a:graphicData>
              </a:graphic>
            </wp:anchor>
          </w:drawing>
        </mc:Choice>
        <mc:Fallback>
          <w:pict>
            <v:shape id="_x0000_s1292" type="#_x0000_t202" style="position:absolute;margin-left:55.299999999999997pt;margin-top:4.0999999999999996pt;width:69.099999999999994pt;height:33.850000000000001pt;z-index:-188743936;mso-wrap-distance-left:0;mso-wrap-distance-right:0;mso-position-horizontal-relative:page;mso-position-vertical-relative:page" wrapcoords="0 0" filled="f" stroked="f">
              <v:textbox inset="0,0,0,0">
                <w:txbxContent>
                  <w:p>
                    <w:pPr>
                      <w:widowControl w:val="0"/>
                      <w:rPr>
                        <w:sz w:val="2"/>
                        <w:szCs w:val="2"/>
                      </w:rPr>
                    </w:pPr>
                    <w:r>
                      <w:drawing>
                        <wp:inline>
                          <wp:extent cx="877570" cy="433070"/>
                          <wp:docPr id="268" name="Picut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
                                  <a:stretch/>
                                </pic:blipFill>
                                <pic:spPr>
                                  <a:xfrm>
                                    <a:ext cx="877570" cy="4330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819" behindDoc="1" locked="0" layoutInCell="1" allowOverlap="1">
              <wp:simplePos x="0" y="0"/>
              <wp:positionH relativeFrom="page">
                <wp:posOffset>717550</wp:posOffset>
              </wp:positionH>
              <wp:positionV relativeFrom="page">
                <wp:posOffset>664845</wp:posOffset>
              </wp:positionV>
              <wp:extent cx="4361815" cy="320040"/>
              <wp:effectExtent l="0" t="0" r="0" b="0"/>
              <wp:wrapNone/>
              <wp:docPr id="269" name="Shape 269"/>
              <wp:cNvGraphicFramePr/>
              <a:graphic xmlns:a="http://schemas.openxmlformats.org/drawingml/2006/main">
                <a:graphicData uri="http://schemas.microsoft.com/office/word/2010/wordprocessingShape">
                  <wps:wsp>
                    <wps:cNvSpPr txBox="1"/>
                    <wps:spPr>
                      <a:xfrm>
                        <a:off x="0" y="0"/>
                        <a:ext cx="4361815" cy="320040"/>
                      </a:xfrm>
                      <a:prstGeom prst="rect">
                        <a:avLst/>
                      </a:prstGeom>
                      <a:noFill/>
                    </wps:spPr>
                    <wps:txbx>
                      <w:txbxContent>
                        <w:p w:rsidR="00215B20" w:rsidRDefault="00FD0AA3">
                          <w:pPr>
                            <w:pStyle w:val="Zhlavnebozpat20"/>
                            <w:shd w:val="clear" w:color="auto" w:fill="auto"/>
                            <w:rPr>
                              <w:sz w:val="36"/>
                              <w:szCs w:val="36"/>
                            </w:rPr>
                          </w:pPr>
                          <w:r>
                            <w:rPr>
                              <w:rFonts w:ascii="Arial" w:eastAsia="Arial" w:hAnsi="Arial" w:cs="Arial"/>
                              <w:b/>
                              <w:bCs/>
                              <w:color w:val="DE1273"/>
                              <w:sz w:val="36"/>
                              <w:szCs w:val="36"/>
                            </w:rPr>
                            <w:t xml:space="preserve">Provozní statistiky - </w:t>
                          </w:r>
                          <w:r>
                            <w:rPr>
                              <w:rFonts w:ascii="Arial" w:eastAsia="Arial" w:hAnsi="Arial" w:cs="Arial"/>
                              <w:b/>
                              <w:bCs/>
                              <w:color w:val="DE1273"/>
                              <w:sz w:val="36"/>
                              <w:szCs w:val="36"/>
                            </w:rPr>
                            <w:t>Uživatelský manuál</w:t>
                          </w:r>
                        </w:p>
                        <w:p w:rsidR="00215B20" w:rsidRDefault="00FD0AA3">
                          <w:pPr>
                            <w:pStyle w:val="Zhlavnebozpat20"/>
                            <w:shd w:val="clear" w:color="auto" w:fill="auto"/>
                            <w:rPr>
                              <w:sz w:val="14"/>
                              <w:szCs w:val="14"/>
                            </w:rPr>
                          </w:pPr>
                          <w:r>
                            <w:rPr>
                              <w:rFonts w:ascii="Arial" w:eastAsia="Arial" w:hAnsi="Arial" w:cs="Arial"/>
                              <w:b/>
                              <w:bCs/>
                              <w:color w:val="231F20"/>
                              <w:sz w:val="14"/>
                              <w:szCs w:val="14"/>
                            </w:rPr>
                            <w:t>Platnost od 1. 6. 2018</w:t>
                          </w:r>
                        </w:p>
                      </w:txbxContent>
                    </wps:txbx>
                    <wps:bodyPr wrap="none" lIns="0" tIns="0" rIns="0" bIns="0">
                      <a:spAutoFit/>
                    </wps:bodyPr>
                  </wps:wsp>
                </a:graphicData>
              </a:graphic>
            </wp:anchor>
          </w:drawing>
        </mc:Choice>
        <mc:Fallback>
          <w:pict>
            <v:shape id="_x0000_s1295" type="#_x0000_t202" style="position:absolute;margin-left:56.5pt;margin-top:52.350000000000001pt;width:343.44999999999999pt;height:25.199999999999999pt;z-index:-18874393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DE1273"/>
                        <w:spacing w:val="0"/>
                        <w:w w:val="100"/>
                        <w:position w:val="0"/>
                        <w:sz w:val="36"/>
                        <w:szCs w:val="36"/>
                        <w:shd w:val="clear" w:color="auto" w:fill="auto"/>
                        <w:lang w:val="cs-CZ" w:eastAsia="cs-CZ" w:bidi="cs-CZ"/>
                      </w:rPr>
                      <w:t>Provozní statistiky - Uživatelský manuál</w:t>
                    </w:r>
                  </w:p>
                  <w:p>
                    <w:pPr>
                      <w:pStyle w:val="Style5"/>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231F20"/>
                        <w:spacing w:val="0"/>
                        <w:w w:val="100"/>
                        <w:position w:val="0"/>
                        <w:sz w:val="14"/>
                        <w:szCs w:val="14"/>
                        <w:shd w:val="clear" w:color="auto" w:fill="auto"/>
                        <w:lang w:val="cs-CZ" w:eastAsia="cs-CZ" w:bidi="cs-CZ"/>
                      </w:rPr>
                      <w:t>Platnost od 1. 6. 2018</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47" behindDoc="1" locked="0" layoutInCell="1" allowOverlap="1">
              <wp:simplePos x="0" y="0"/>
              <wp:positionH relativeFrom="page">
                <wp:posOffset>1739265</wp:posOffset>
              </wp:positionH>
              <wp:positionV relativeFrom="page">
                <wp:posOffset>899795</wp:posOffset>
              </wp:positionV>
              <wp:extent cx="935990" cy="469265"/>
              <wp:effectExtent l="0" t="0" r="0" b="0"/>
              <wp:wrapNone/>
              <wp:docPr id="312" name="Shape 312"/>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0"/>
                            <w:shd w:val="clear" w:color="auto" w:fill="auto"/>
                            <w:rPr>
                              <w:sz w:val="22"/>
                              <w:szCs w:val="22"/>
                            </w:rPr>
                          </w:pPr>
                          <w:r>
                            <w:rPr>
                              <w:b/>
                              <w:bCs/>
                              <w:color w:val="444444"/>
                              <w:sz w:val="22"/>
                              <w:szCs w:val="22"/>
                            </w:rPr>
                            <w:t>NÁRODNÍ</w:t>
                          </w:r>
                        </w:p>
                        <w:p w:rsidR="00215B20" w:rsidRDefault="00FD0AA3">
                          <w:pPr>
                            <w:pStyle w:val="Zhlavnebozpat0"/>
                            <w:shd w:val="clear" w:color="auto" w:fill="auto"/>
                            <w:rPr>
                              <w:sz w:val="22"/>
                              <w:szCs w:val="22"/>
                            </w:rPr>
                          </w:pPr>
                          <w:r>
                            <w:rPr>
                              <w:b/>
                              <w:bCs/>
                              <w:color w:val="444444"/>
                              <w:sz w:val="22"/>
                              <w:szCs w:val="22"/>
                            </w:rPr>
                            <w:t>PAMÁTKOVÝ</w:t>
                          </w:r>
                        </w:p>
                        <w:p w:rsidR="00215B20" w:rsidRDefault="00FD0AA3">
                          <w:pPr>
                            <w:pStyle w:val="Zhlavnebozpat0"/>
                            <w:shd w:val="clear" w:color="auto" w:fill="auto"/>
                            <w:rPr>
                              <w:sz w:val="22"/>
                              <w:szCs w:val="22"/>
                            </w:rPr>
                          </w:pPr>
                          <w:r>
                            <w:rPr>
                              <w:b/>
                              <w:bCs/>
                              <w:color w:val="444444"/>
                              <w:sz w:val="22"/>
                              <w:szCs w:val="22"/>
                            </w:rPr>
                            <w:t>ÚSTAV</w:t>
                          </w:r>
                        </w:p>
                      </w:txbxContent>
                    </wps:txbx>
                    <wps:bodyPr wrap="none" lIns="0" tIns="0" rIns="0" bIns="0">
                      <a:spAutoFit/>
                    </wps:bodyPr>
                  </wps:wsp>
                </a:graphicData>
              </a:graphic>
            </wp:anchor>
          </w:drawing>
        </mc:Choice>
        <mc:Fallback>
          <w:pict>
            <v:shape id="_x0000_s1338" type="#_x0000_t202" style="position:absolute;margin-left:136.94999999999999pt;margin-top:70.849999999999994pt;width:73.700000000000003pt;height:36.950000000000003pt;z-index:-188743906;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NÁRODNÍ</w:t>
                    </w:r>
                  </w:p>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PAMÁTKOVÝ</w:t>
                    </w:r>
                  </w:p>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45" behindDoc="1" locked="0" layoutInCell="1" allowOverlap="1">
              <wp:simplePos x="0" y="0"/>
              <wp:positionH relativeFrom="page">
                <wp:posOffset>1739265</wp:posOffset>
              </wp:positionH>
              <wp:positionV relativeFrom="page">
                <wp:posOffset>899795</wp:posOffset>
              </wp:positionV>
              <wp:extent cx="935990" cy="469265"/>
              <wp:effectExtent l="0" t="0" r="0" b="0"/>
              <wp:wrapNone/>
              <wp:docPr id="310" name="Shape 310"/>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0"/>
                            <w:shd w:val="clear" w:color="auto" w:fill="auto"/>
                            <w:rPr>
                              <w:sz w:val="22"/>
                              <w:szCs w:val="22"/>
                            </w:rPr>
                          </w:pPr>
                          <w:r>
                            <w:rPr>
                              <w:b/>
                              <w:bCs/>
                              <w:color w:val="444444"/>
                              <w:sz w:val="22"/>
                              <w:szCs w:val="22"/>
                            </w:rPr>
                            <w:t>NÁRODNÍ</w:t>
                          </w:r>
                        </w:p>
                        <w:p w:rsidR="00215B20" w:rsidRDefault="00FD0AA3">
                          <w:pPr>
                            <w:pStyle w:val="Zhlavnebozpat0"/>
                            <w:shd w:val="clear" w:color="auto" w:fill="auto"/>
                            <w:rPr>
                              <w:sz w:val="22"/>
                              <w:szCs w:val="22"/>
                            </w:rPr>
                          </w:pPr>
                          <w:r>
                            <w:rPr>
                              <w:b/>
                              <w:bCs/>
                              <w:color w:val="444444"/>
                              <w:sz w:val="22"/>
                              <w:szCs w:val="22"/>
                            </w:rPr>
                            <w:t>PAMÁTKOVÝ</w:t>
                          </w:r>
                        </w:p>
                        <w:p w:rsidR="00215B20" w:rsidRDefault="00FD0AA3">
                          <w:pPr>
                            <w:pStyle w:val="Zhlavnebozpat0"/>
                            <w:shd w:val="clear" w:color="auto" w:fill="auto"/>
                            <w:rPr>
                              <w:sz w:val="22"/>
                              <w:szCs w:val="22"/>
                            </w:rPr>
                          </w:pPr>
                          <w:r>
                            <w:rPr>
                              <w:b/>
                              <w:bCs/>
                              <w:color w:val="444444"/>
                              <w:sz w:val="22"/>
                              <w:szCs w:val="22"/>
                            </w:rPr>
                            <w:t>ÚSTAV</w:t>
                          </w:r>
                        </w:p>
                      </w:txbxContent>
                    </wps:txbx>
                    <wps:bodyPr wrap="none" lIns="0" tIns="0" rIns="0" bIns="0">
                      <a:spAutoFit/>
                    </wps:bodyPr>
                  </wps:wsp>
                </a:graphicData>
              </a:graphic>
            </wp:anchor>
          </w:drawing>
        </mc:Choice>
        <mc:Fallback>
          <w:pict>
            <v:shape id="_x0000_s1336" type="#_x0000_t202" style="position:absolute;margin-left:136.94999999999999pt;margin-top:70.849999999999994pt;width:73.700000000000003pt;height:36.950000000000003pt;z-index:-188743908;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NÁRODNÍ</w:t>
                    </w:r>
                  </w:p>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PAMÁTKOVÝ</w:t>
                    </w:r>
                  </w:p>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55" behindDoc="1" locked="0" layoutInCell="1" allowOverlap="1">
              <wp:simplePos x="0" y="0"/>
              <wp:positionH relativeFrom="page">
                <wp:posOffset>513715</wp:posOffset>
              </wp:positionH>
              <wp:positionV relativeFrom="page">
                <wp:posOffset>347980</wp:posOffset>
              </wp:positionV>
              <wp:extent cx="652145" cy="469265"/>
              <wp:effectExtent l="0" t="0" r="0" b="0"/>
              <wp:wrapNone/>
              <wp:docPr id="322" name="Shape 322"/>
              <wp:cNvGraphicFramePr/>
              <a:graphic xmlns:a="http://schemas.openxmlformats.org/drawingml/2006/main">
                <a:graphicData uri="http://schemas.microsoft.com/office/word/2010/wordprocessingShape">
                  <wps:wsp>
                    <wps:cNvSpPr txBox="1"/>
                    <wps:spPr>
                      <a:xfrm>
                        <a:off x="0" y="0"/>
                        <a:ext cx="652145" cy="469265"/>
                      </a:xfrm>
                      <a:prstGeom prst="rect">
                        <a:avLst/>
                      </a:prstGeom>
                      <a:noFill/>
                    </wps:spPr>
                    <wps:txbx>
                      <w:txbxContent>
                        <w:p w:rsidR="00215B20" w:rsidRDefault="00FD0AA3">
                          <w:pPr>
                            <w:rPr>
                              <w:sz w:val="2"/>
                              <w:szCs w:val="2"/>
                            </w:rPr>
                          </w:pPr>
                          <w:r>
                            <w:rPr>
                              <w:noProof/>
                              <w:lang w:bidi="ar-SA"/>
                            </w:rPr>
                            <w:drawing>
                              <wp:inline distT="0" distB="0" distL="0" distR="0">
                                <wp:extent cx="652145" cy="469265"/>
                                <wp:effectExtent l="0" t="0" r="0" b="0"/>
                                <wp:docPr id="323" name="Picut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1"/>
                                        <a:stretch/>
                                      </pic:blipFill>
                                      <pic:spPr>
                                        <a:xfrm>
                                          <a:off x="0" y="0"/>
                                          <a:ext cx="652145" cy="469265"/>
                                        </a:xfrm>
                                        <a:prstGeom prst="rect">
                                          <a:avLst/>
                                        </a:prstGeom>
                                      </pic:spPr>
                                    </pic:pic>
                                  </a:graphicData>
                                </a:graphic>
                              </wp:inline>
                            </w:drawing>
                          </w:r>
                        </w:p>
                      </w:txbxContent>
                    </wps:txbx>
                    <wps:bodyPr lIns="0" tIns="0" rIns="0" bIns="0"/>
                  </wps:wsp>
                </a:graphicData>
              </a:graphic>
            </wp:anchor>
          </w:drawing>
        </mc:Choice>
        <mc:Fallback>
          <w:pict>
            <v:shape id="_x0000_s1349" type="#_x0000_t202" style="position:absolute;margin-left:40.450000000000003pt;margin-top:27.399999999999999pt;width:51.350000000000001pt;height:36.950000000000003pt;z-index:-188743898;mso-wrap-distance-left:0;mso-wrap-distance-right:0;mso-position-horizontal-relative:page;mso-position-vertical-relative:page" wrapcoords="0 0" filled="f" stroked="f">
              <v:textbox inset="0,0,0,0">
                <w:txbxContent>
                  <w:p>
                    <w:pPr>
                      <w:widowControl w:val="0"/>
                      <w:rPr>
                        <w:sz w:val="2"/>
                        <w:szCs w:val="2"/>
                      </w:rPr>
                    </w:pPr>
                    <w:r>
                      <w:drawing>
                        <wp:inline>
                          <wp:extent cx="652145" cy="469265"/>
                          <wp:docPr id="325" name="Picutre 325"/>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
                                  <a:stretch/>
                                </pic:blipFill>
                                <pic:spPr>
                                  <a:xfrm>
                                    <a:ext cx="652145" cy="469265"/>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857" behindDoc="1" locked="0" layoutInCell="1" allowOverlap="1">
              <wp:simplePos x="0" y="0"/>
              <wp:positionH relativeFrom="page">
                <wp:posOffset>1736090</wp:posOffset>
              </wp:positionH>
              <wp:positionV relativeFrom="page">
                <wp:posOffset>537210</wp:posOffset>
              </wp:positionV>
              <wp:extent cx="1276985" cy="118745"/>
              <wp:effectExtent l="0" t="0" r="0" b="0"/>
              <wp:wrapNone/>
              <wp:docPr id="326" name="Shape 326"/>
              <wp:cNvGraphicFramePr/>
              <a:graphic xmlns:a="http://schemas.openxmlformats.org/drawingml/2006/main">
                <a:graphicData uri="http://schemas.microsoft.com/office/word/2010/wordprocessingShape">
                  <wps:wsp>
                    <wps:cNvSpPr txBox="1"/>
                    <wps:spPr>
                      <a:xfrm>
                        <a:off x="0" y="0"/>
                        <a:ext cx="1276985" cy="118745"/>
                      </a:xfrm>
                      <a:prstGeom prst="rect">
                        <a:avLst/>
                      </a:prstGeom>
                      <a:noFill/>
                    </wps:spPr>
                    <wps:txbx>
                      <w:txbxContent>
                        <w:p w:rsidR="00215B20" w:rsidRDefault="00FD0AA3">
                          <w:pPr>
                            <w:pStyle w:val="Zhlavnebozpat0"/>
                            <w:shd w:val="clear" w:color="auto" w:fill="auto"/>
                            <w:rPr>
                              <w:sz w:val="16"/>
                              <w:szCs w:val="16"/>
                            </w:rPr>
                          </w:pPr>
                          <w:r>
                            <w:rPr>
                              <w:b/>
                              <w:bCs/>
                              <w:color w:val="E4087E"/>
                              <w:sz w:val="16"/>
                              <w:szCs w:val="16"/>
                            </w:rPr>
                            <w:t>PRO SPOLEČNÉ ZÁŽITKY</w:t>
                          </w:r>
                        </w:p>
                      </w:txbxContent>
                    </wps:txbx>
                    <wps:bodyPr wrap="none" lIns="0" tIns="0" rIns="0" bIns="0">
                      <a:spAutoFit/>
                    </wps:bodyPr>
                  </wps:wsp>
                </a:graphicData>
              </a:graphic>
            </wp:anchor>
          </w:drawing>
        </mc:Choice>
        <mc:Fallback>
          <w:pict>
            <v:shape id="_x0000_s1352" type="#_x0000_t202" style="position:absolute;margin-left:136.69999999999999pt;margin-top:42.299999999999997pt;width:100.55pt;height:9.3499999999999996pt;z-index:-188743896;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6"/>
                        <w:szCs w:val="16"/>
                      </w:rPr>
                    </w:pPr>
                    <w:r>
                      <w:rPr>
                        <w:b/>
                        <w:bCs/>
                        <w:color w:val="E4087E"/>
                        <w:spacing w:val="0"/>
                        <w:w w:val="100"/>
                        <w:position w:val="0"/>
                        <w:sz w:val="16"/>
                        <w:szCs w:val="16"/>
                        <w:shd w:val="clear" w:color="auto" w:fill="auto"/>
                        <w:lang w:val="cs-CZ" w:eastAsia="cs-CZ" w:bidi="cs-CZ"/>
                      </w:rPr>
                      <w:t>PRO SPOLEČNÉ ZÁŽITKY</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49" behindDoc="1" locked="0" layoutInCell="1" allowOverlap="1">
              <wp:simplePos x="0" y="0"/>
              <wp:positionH relativeFrom="page">
                <wp:posOffset>513715</wp:posOffset>
              </wp:positionH>
              <wp:positionV relativeFrom="page">
                <wp:posOffset>347980</wp:posOffset>
              </wp:positionV>
              <wp:extent cx="652145" cy="469265"/>
              <wp:effectExtent l="0" t="0" r="0" b="0"/>
              <wp:wrapNone/>
              <wp:docPr id="314" name="Shape 314"/>
              <wp:cNvGraphicFramePr/>
              <a:graphic xmlns:a="http://schemas.openxmlformats.org/drawingml/2006/main">
                <a:graphicData uri="http://schemas.microsoft.com/office/word/2010/wordprocessingShape">
                  <wps:wsp>
                    <wps:cNvSpPr txBox="1"/>
                    <wps:spPr>
                      <a:xfrm>
                        <a:off x="0" y="0"/>
                        <a:ext cx="652145" cy="469265"/>
                      </a:xfrm>
                      <a:prstGeom prst="rect">
                        <a:avLst/>
                      </a:prstGeom>
                      <a:noFill/>
                    </wps:spPr>
                    <wps:txbx>
                      <w:txbxContent>
                        <w:p w:rsidR="00215B20" w:rsidRDefault="00FD0AA3">
                          <w:pPr>
                            <w:rPr>
                              <w:sz w:val="2"/>
                              <w:szCs w:val="2"/>
                            </w:rPr>
                          </w:pPr>
                          <w:r>
                            <w:rPr>
                              <w:noProof/>
                              <w:lang w:bidi="ar-SA"/>
                            </w:rPr>
                            <w:drawing>
                              <wp:inline distT="0" distB="0" distL="0" distR="0">
                                <wp:extent cx="652145" cy="469265"/>
                                <wp:effectExtent l="0" t="0" r="0" b="0"/>
                                <wp:docPr id="315" name="Picut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
                                        <a:stretch/>
                                      </pic:blipFill>
                                      <pic:spPr>
                                        <a:xfrm>
                                          <a:off x="0" y="0"/>
                                          <a:ext cx="652145" cy="469265"/>
                                        </a:xfrm>
                                        <a:prstGeom prst="rect">
                                          <a:avLst/>
                                        </a:prstGeom>
                                      </pic:spPr>
                                    </pic:pic>
                                  </a:graphicData>
                                </a:graphic>
                              </wp:inline>
                            </w:drawing>
                          </w:r>
                        </w:p>
                      </w:txbxContent>
                    </wps:txbx>
                    <wps:bodyPr lIns="0" tIns="0" rIns="0" bIns="0"/>
                  </wps:wsp>
                </a:graphicData>
              </a:graphic>
            </wp:anchor>
          </w:drawing>
        </mc:Choice>
        <mc:Fallback>
          <w:pict>
            <v:shape id="_x0000_s1341" type="#_x0000_t202" style="position:absolute;margin-left:40.450000000000003pt;margin-top:27.399999999999999pt;width:51.350000000000001pt;height:36.950000000000003pt;z-index:-188743904;mso-wrap-distance-left:0;mso-wrap-distance-right:0;mso-position-horizontal-relative:page;mso-position-vertical-relative:page" wrapcoords="0 0" filled="f" stroked="f">
              <v:textbox inset="0,0,0,0">
                <w:txbxContent>
                  <w:p>
                    <w:pPr>
                      <w:widowControl w:val="0"/>
                      <w:rPr>
                        <w:sz w:val="2"/>
                        <w:szCs w:val="2"/>
                      </w:rPr>
                    </w:pPr>
                    <w:r>
                      <w:drawing>
                        <wp:inline>
                          <wp:extent cx="652145" cy="469265"/>
                          <wp:docPr id="317" name="Picut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2"/>
                                  <a:stretch/>
                                </pic:blipFill>
                                <pic:spPr>
                                  <a:xfrm>
                                    <a:ext cx="652145" cy="469265"/>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851" behindDoc="1" locked="0" layoutInCell="1" allowOverlap="1">
              <wp:simplePos x="0" y="0"/>
              <wp:positionH relativeFrom="page">
                <wp:posOffset>1736090</wp:posOffset>
              </wp:positionH>
              <wp:positionV relativeFrom="page">
                <wp:posOffset>537210</wp:posOffset>
              </wp:positionV>
              <wp:extent cx="1276985" cy="118745"/>
              <wp:effectExtent l="0" t="0" r="0" b="0"/>
              <wp:wrapNone/>
              <wp:docPr id="318" name="Shape 318"/>
              <wp:cNvGraphicFramePr/>
              <a:graphic xmlns:a="http://schemas.openxmlformats.org/drawingml/2006/main">
                <a:graphicData uri="http://schemas.microsoft.com/office/word/2010/wordprocessingShape">
                  <wps:wsp>
                    <wps:cNvSpPr txBox="1"/>
                    <wps:spPr>
                      <a:xfrm>
                        <a:off x="0" y="0"/>
                        <a:ext cx="1276985" cy="118745"/>
                      </a:xfrm>
                      <a:prstGeom prst="rect">
                        <a:avLst/>
                      </a:prstGeom>
                      <a:noFill/>
                    </wps:spPr>
                    <wps:txbx>
                      <w:txbxContent>
                        <w:p w:rsidR="00215B20" w:rsidRDefault="00FD0AA3">
                          <w:pPr>
                            <w:pStyle w:val="Zhlavnebozpat0"/>
                            <w:shd w:val="clear" w:color="auto" w:fill="auto"/>
                            <w:rPr>
                              <w:sz w:val="16"/>
                              <w:szCs w:val="16"/>
                            </w:rPr>
                          </w:pPr>
                          <w:r>
                            <w:rPr>
                              <w:b/>
                              <w:bCs/>
                              <w:color w:val="E4087E"/>
                              <w:sz w:val="16"/>
                              <w:szCs w:val="16"/>
                            </w:rPr>
                            <w:t>PRO SPOLEČNÉ ZÁŽITKY</w:t>
                          </w:r>
                        </w:p>
                      </w:txbxContent>
                    </wps:txbx>
                    <wps:bodyPr wrap="none" lIns="0" tIns="0" rIns="0" bIns="0">
                      <a:spAutoFit/>
                    </wps:bodyPr>
                  </wps:wsp>
                </a:graphicData>
              </a:graphic>
            </wp:anchor>
          </w:drawing>
        </mc:Choice>
        <mc:Fallback>
          <w:pict>
            <v:shape id="_x0000_s1344" type="#_x0000_t202" style="position:absolute;margin-left:136.69999999999999pt;margin-top:42.299999999999997pt;width:100.55pt;height:9.3499999999999996pt;z-index:-188743902;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16"/>
                        <w:szCs w:val="16"/>
                      </w:rPr>
                    </w:pPr>
                    <w:r>
                      <w:rPr>
                        <w:b/>
                        <w:bCs/>
                        <w:color w:val="E4087E"/>
                        <w:spacing w:val="0"/>
                        <w:w w:val="100"/>
                        <w:position w:val="0"/>
                        <w:sz w:val="16"/>
                        <w:szCs w:val="16"/>
                        <w:shd w:val="clear" w:color="auto" w:fill="auto"/>
                        <w:lang w:val="cs-CZ" w:eastAsia="cs-CZ" w:bidi="cs-CZ"/>
                      </w:rPr>
                      <w:t>PRO SPOLEČNÉ ZÁŽITKY</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65" behindDoc="1" locked="0" layoutInCell="1" allowOverlap="1">
              <wp:simplePos x="0" y="0"/>
              <wp:positionH relativeFrom="page">
                <wp:posOffset>528955</wp:posOffset>
              </wp:positionH>
              <wp:positionV relativeFrom="page">
                <wp:posOffset>372110</wp:posOffset>
              </wp:positionV>
              <wp:extent cx="2484120" cy="426720"/>
              <wp:effectExtent l="0" t="0" r="0" b="0"/>
              <wp:wrapNone/>
              <wp:docPr id="334" name="Shape 334"/>
              <wp:cNvGraphicFramePr/>
              <a:graphic xmlns:a="http://schemas.openxmlformats.org/drawingml/2006/main">
                <a:graphicData uri="http://schemas.microsoft.com/office/word/2010/wordprocessingShape">
                  <wps:wsp>
                    <wps:cNvSpPr txBox="1"/>
                    <wps:spPr>
                      <a:xfrm>
                        <a:off x="0" y="0"/>
                        <a:ext cx="2484120" cy="426720"/>
                      </a:xfrm>
                      <a:prstGeom prst="rect">
                        <a:avLst/>
                      </a:prstGeom>
                      <a:noFill/>
                    </wps:spPr>
                    <wps:txbx>
                      <w:txbxContent>
                        <w:p w:rsidR="00215B20" w:rsidRDefault="00FD0AA3">
                          <w:pPr>
                            <w:pStyle w:val="Zhlavnebozpat0"/>
                            <w:shd w:val="clear" w:color="auto" w:fill="auto"/>
                            <w:tabs>
                              <w:tab w:val="right" w:pos="3912"/>
                            </w:tabs>
                            <w:rPr>
                              <w:sz w:val="16"/>
                              <w:szCs w:val="16"/>
                            </w:rPr>
                          </w:pPr>
                          <w:r>
                            <w:rPr>
                              <w:rFonts w:ascii="Times New Roman" w:eastAsia="Times New Roman" w:hAnsi="Times New Roman" w:cs="Times New Roman"/>
                              <w:color w:val="E4087E"/>
                              <w:sz w:val="100"/>
                              <w:szCs w:val="100"/>
                            </w:rPr>
                            <w:t>T</w:t>
                          </w:r>
                          <w:r>
                            <w:rPr>
                              <w:rFonts w:ascii="Times New Roman" w:eastAsia="Times New Roman" w:hAnsi="Times New Roman" w:cs="Times New Roman"/>
                              <w:color w:val="E4087E"/>
                              <w:sz w:val="100"/>
                              <w:szCs w:val="100"/>
                            </w:rPr>
                            <w:tab/>
                          </w:r>
                          <w:r>
                            <w:rPr>
                              <w:b/>
                              <w:bCs/>
                              <w:color w:val="E4087E"/>
                              <w:sz w:val="16"/>
                              <w:szCs w:val="16"/>
                            </w:rPr>
                            <w:t>PRO SPOLEČNÉ ZÁŽITKY</w:t>
                          </w:r>
                        </w:p>
                      </w:txbxContent>
                    </wps:txbx>
                    <wps:bodyPr lIns="0" tIns="0" rIns="0" bIns="0">
                      <a:spAutoFit/>
                    </wps:bodyPr>
                  </wps:wsp>
                </a:graphicData>
              </a:graphic>
            </wp:anchor>
          </w:drawing>
        </mc:Choice>
        <mc:Fallback>
          <w:pict>
            <v:shape id="_x0000_s1360" type="#_x0000_t202" style="position:absolute;margin-left:41.649999999999999pt;margin-top:29.300000000000001pt;width:195.59999999999999pt;height:33.600000000000001pt;z-index:-188743888;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tabs>
                        <w:tab w:pos="3912" w:val="right"/>
                      </w:tabs>
                      <w:bidi w:val="0"/>
                      <w:spacing w:before="0" w:after="0" w:line="240" w:lineRule="auto"/>
                      <w:ind w:left="0" w:right="0" w:firstLine="0"/>
                      <w:jc w:val="left"/>
                      <w:rPr>
                        <w:sz w:val="16"/>
                        <w:szCs w:val="16"/>
                      </w:rPr>
                    </w:pPr>
                    <w:r>
                      <w:rPr>
                        <w:rFonts w:ascii="Times New Roman" w:eastAsia="Times New Roman" w:hAnsi="Times New Roman" w:cs="Times New Roman"/>
                        <w:color w:val="E4087E"/>
                        <w:spacing w:val="0"/>
                        <w:w w:val="100"/>
                        <w:position w:val="0"/>
                        <w:sz w:val="100"/>
                        <w:szCs w:val="100"/>
                        <w:shd w:val="clear" w:color="auto" w:fill="auto"/>
                        <w:lang w:val="cs-CZ" w:eastAsia="cs-CZ" w:bidi="cs-CZ"/>
                      </w:rPr>
                      <w:t>T</w:t>
                      <w:tab/>
                    </w:r>
                    <w:r>
                      <w:rPr>
                        <w:b/>
                        <w:bCs/>
                        <w:color w:val="E4087E"/>
                        <w:spacing w:val="0"/>
                        <w:w w:val="100"/>
                        <w:position w:val="0"/>
                        <w:sz w:val="16"/>
                        <w:szCs w:val="16"/>
                        <w:shd w:val="clear" w:color="auto" w:fill="auto"/>
                        <w:lang w:val="cs-CZ" w:eastAsia="cs-CZ" w:bidi="cs-CZ"/>
                      </w:rPr>
                      <w:t>PRO SPOLEČNÉ ZÁŽITKY</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61" behindDoc="1" locked="0" layoutInCell="1" allowOverlap="1">
              <wp:simplePos x="0" y="0"/>
              <wp:positionH relativeFrom="page">
                <wp:posOffset>528955</wp:posOffset>
              </wp:positionH>
              <wp:positionV relativeFrom="page">
                <wp:posOffset>372110</wp:posOffset>
              </wp:positionV>
              <wp:extent cx="2484120" cy="426720"/>
              <wp:effectExtent l="0" t="0" r="0" b="0"/>
              <wp:wrapNone/>
              <wp:docPr id="330" name="Shape 330"/>
              <wp:cNvGraphicFramePr/>
              <a:graphic xmlns:a="http://schemas.openxmlformats.org/drawingml/2006/main">
                <a:graphicData uri="http://schemas.microsoft.com/office/word/2010/wordprocessingShape">
                  <wps:wsp>
                    <wps:cNvSpPr txBox="1"/>
                    <wps:spPr>
                      <a:xfrm>
                        <a:off x="0" y="0"/>
                        <a:ext cx="2484120" cy="426720"/>
                      </a:xfrm>
                      <a:prstGeom prst="rect">
                        <a:avLst/>
                      </a:prstGeom>
                      <a:noFill/>
                    </wps:spPr>
                    <wps:txbx>
                      <w:txbxContent>
                        <w:p w:rsidR="00215B20" w:rsidRDefault="00FD0AA3">
                          <w:pPr>
                            <w:pStyle w:val="Zhlavnebozpat0"/>
                            <w:shd w:val="clear" w:color="auto" w:fill="auto"/>
                            <w:tabs>
                              <w:tab w:val="right" w:pos="3912"/>
                            </w:tabs>
                            <w:rPr>
                              <w:sz w:val="16"/>
                              <w:szCs w:val="16"/>
                            </w:rPr>
                          </w:pPr>
                          <w:r>
                            <w:rPr>
                              <w:rFonts w:ascii="Times New Roman" w:eastAsia="Times New Roman" w:hAnsi="Times New Roman" w:cs="Times New Roman"/>
                              <w:color w:val="E4087E"/>
                              <w:sz w:val="100"/>
                              <w:szCs w:val="100"/>
                            </w:rPr>
                            <w:t>T</w:t>
                          </w:r>
                          <w:r>
                            <w:rPr>
                              <w:rFonts w:ascii="Times New Roman" w:eastAsia="Times New Roman" w:hAnsi="Times New Roman" w:cs="Times New Roman"/>
                              <w:color w:val="E4087E"/>
                              <w:sz w:val="100"/>
                              <w:szCs w:val="100"/>
                            </w:rPr>
                            <w:tab/>
                          </w:r>
                          <w:r>
                            <w:rPr>
                              <w:b/>
                              <w:bCs/>
                              <w:color w:val="E4087E"/>
                              <w:sz w:val="16"/>
                              <w:szCs w:val="16"/>
                            </w:rPr>
                            <w:t xml:space="preserve">PRO </w:t>
                          </w:r>
                          <w:r>
                            <w:rPr>
                              <w:b/>
                              <w:bCs/>
                              <w:color w:val="E4087E"/>
                              <w:sz w:val="16"/>
                              <w:szCs w:val="16"/>
                            </w:rPr>
                            <w:t>SPOLEČNÉ ZÁŽITKY</w:t>
                          </w:r>
                        </w:p>
                      </w:txbxContent>
                    </wps:txbx>
                    <wps:bodyPr lIns="0" tIns="0" rIns="0" bIns="0">
                      <a:spAutoFit/>
                    </wps:bodyPr>
                  </wps:wsp>
                </a:graphicData>
              </a:graphic>
            </wp:anchor>
          </w:drawing>
        </mc:Choice>
        <mc:Fallback>
          <w:pict>
            <v:shape id="_x0000_s1356" type="#_x0000_t202" style="position:absolute;margin-left:41.649999999999999pt;margin-top:29.300000000000001pt;width:195.59999999999999pt;height:33.600000000000001pt;z-index:-188743892;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tabs>
                        <w:tab w:pos="3912" w:val="right"/>
                      </w:tabs>
                      <w:bidi w:val="0"/>
                      <w:spacing w:before="0" w:after="0" w:line="240" w:lineRule="auto"/>
                      <w:ind w:left="0" w:right="0" w:firstLine="0"/>
                      <w:jc w:val="left"/>
                      <w:rPr>
                        <w:sz w:val="16"/>
                        <w:szCs w:val="16"/>
                      </w:rPr>
                    </w:pPr>
                    <w:r>
                      <w:rPr>
                        <w:rFonts w:ascii="Times New Roman" w:eastAsia="Times New Roman" w:hAnsi="Times New Roman" w:cs="Times New Roman"/>
                        <w:color w:val="E4087E"/>
                        <w:spacing w:val="0"/>
                        <w:w w:val="100"/>
                        <w:position w:val="0"/>
                        <w:sz w:val="100"/>
                        <w:szCs w:val="100"/>
                        <w:shd w:val="clear" w:color="auto" w:fill="auto"/>
                        <w:lang w:val="cs-CZ" w:eastAsia="cs-CZ" w:bidi="cs-CZ"/>
                      </w:rPr>
                      <w:t>T</w:t>
                      <w:tab/>
                    </w:r>
                    <w:r>
                      <w:rPr>
                        <w:b/>
                        <w:bCs/>
                        <w:color w:val="E4087E"/>
                        <w:spacing w:val="0"/>
                        <w:w w:val="100"/>
                        <w:position w:val="0"/>
                        <w:sz w:val="16"/>
                        <w:szCs w:val="16"/>
                        <w:shd w:val="clear" w:color="auto" w:fill="auto"/>
                        <w:lang w:val="cs-CZ" w:eastAsia="cs-CZ" w:bidi="cs-CZ"/>
                      </w:rPr>
                      <w:t>PRO SPOLEČNÉ ZÁŽITKY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77" behindDoc="1" locked="0" layoutInCell="1" allowOverlap="1">
              <wp:simplePos x="0" y="0"/>
              <wp:positionH relativeFrom="page">
                <wp:posOffset>538480</wp:posOffset>
              </wp:positionH>
              <wp:positionV relativeFrom="page">
                <wp:posOffset>374015</wp:posOffset>
              </wp:positionV>
              <wp:extent cx="2127250" cy="426720"/>
              <wp:effectExtent l="0" t="0" r="0" b="0"/>
              <wp:wrapNone/>
              <wp:docPr id="346" name="Shape 346"/>
              <wp:cNvGraphicFramePr/>
              <a:graphic xmlns:a="http://schemas.openxmlformats.org/drawingml/2006/main">
                <a:graphicData uri="http://schemas.microsoft.com/office/word/2010/wordprocessingShape">
                  <wps:wsp>
                    <wps:cNvSpPr txBox="1"/>
                    <wps:spPr>
                      <a:xfrm>
                        <a:off x="0" y="0"/>
                        <a:ext cx="2127250" cy="426720"/>
                      </a:xfrm>
                      <a:prstGeom prst="rect">
                        <a:avLst/>
                      </a:prstGeom>
                      <a:noFill/>
                    </wps:spPr>
                    <wps:txbx>
                      <w:txbxContent>
                        <w:p w:rsidR="00215B20" w:rsidRDefault="00FD0AA3">
                          <w:pPr>
                            <w:pStyle w:val="Zhlavnebozpat0"/>
                            <w:shd w:val="clear" w:color="auto" w:fill="auto"/>
                            <w:rPr>
                              <w:sz w:val="78"/>
                              <w:szCs w:val="78"/>
                            </w:rPr>
                          </w:pPr>
                          <w:r>
                            <w:rPr>
                              <w:rFonts w:ascii="Franklin Gothic Medium Cond" w:eastAsia="Franklin Gothic Medium Cond" w:hAnsi="Franklin Gothic Medium Cond" w:cs="Franklin Gothic Medium Cond"/>
                              <w:b/>
                              <w:bCs/>
                              <w:color w:val="EC018B"/>
                              <w:sz w:val="78"/>
                              <w:szCs w:val="78"/>
                              <w:lang w:val="en-US" w:eastAsia="en-US" w:bidi="en-US"/>
                            </w:rPr>
                            <w:t>T Business</w:t>
                          </w:r>
                        </w:p>
                      </w:txbxContent>
                    </wps:txbx>
                    <wps:bodyPr wrap="none" lIns="0" tIns="0" rIns="0" bIns="0">
                      <a:spAutoFit/>
                    </wps:bodyPr>
                  </wps:wsp>
                </a:graphicData>
              </a:graphic>
            </wp:anchor>
          </w:drawing>
        </mc:Choice>
        <mc:Fallback>
          <w:pict>
            <v:shape id="_x0000_s1372" type="#_x0000_t202" style="position:absolute;margin-left:42.399999999999999pt;margin-top:29.449999999999999pt;width:167.5pt;height:33.600000000000001pt;z-index:-188743876;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78"/>
                        <w:szCs w:val="78"/>
                      </w:rPr>
                    </w:pPr>
                    <w:r>
                      <w:rPr>
                        <w:rFonts w:ascii="Franklin Gothic Medium Cond" w:eastAsia="Franklin Gothic Medium Cond" w:hAnsi="Franklin Gothic Medium Cond" w:cs="Franklin Gothic Medium Cond"/>
                        <w:b/>
                        <w:bCs/>
                        <w:color w:val="EC018B"/>
                        <w:spacing w:val="0"/>
                        <w:w w:val="100"/>
                        <w:position w:val="0"/>
                        <w:sz w:val="78"/>
                        <w:szCs w:val="78"/>
                        <w:shd w:val="clear" w:color="auto" w:fill="auto"/>
                        <w:lang w:val="en-US" w:eastAsia="en-US" w:bidi="en-US"/>
                      </w:rPr>
                      <w:t>T Business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69" behindDoc="1" locked="0" layoutInCell="1" allowOverlap="1">
              <wp:simplePos x="0" y="0"/>
              <wp:positionH relativeFrom="page">
                <wp:posOffset>538480</wp:posOffset>
              </wp:positionH>
              <wp:positionV relativeFrom="page">
                <wp:posOffset>375285</wp:posOffset>
              </wp:positionV>
              <wp:extent cx="2127250" cy="426720"/>
              <wp:effectExtent l="0" t="0" r="0" b="0"/>
              <wp:wrapNone/>
              <wp:docPr id="338" name="Shape 338"/>
              <wp:cNvGraphicFramePr/>
              <a:graphic xmlns:a="http://schemas.openxmlformats.org/drawingml/2006/main">
                <a:graphicData uri="http://schemas.microsoft.com/office/word/2010/wordprocessingShape">
                  <wps:wsp>
                    <wps:cNvSpPr txBox="1"/>
                    <wps:spPr>
                      <a:xfrm>
                        <a:off x="0" y="0"/>
                        <a:ext cx="2127250" cy="426720"/>
                      </a:xfrm>
                      <a:prstGeom prst="rect">
                        <a:avLst/>
                      </a:prstGeom>
                      <a:noFill/>
                    </wps:spPr>
                    <wps:txbx>
                      <w:txbxContent>
                        <w:p w:rsidR="00215B20" w:rsidRDefault="00FD0AA3">
                          <w:pPr>
                            <w:pStyle w:val="Zhlavnebozpat0"/>
                            <w:shd w:val="clear" w:color="auto" w:fill="auto"/>
                            <w:rPr>
                              <w:sz w:val="78"/>
                              <w:szCs w:val="78"/>
                            </w:rPr>
                          </w:pPr>
                          <w:r>
                            <w:rPr>
                              <w:rFonts w:ascii="Franklin Gothic Medium Cond" w:eastAsia="Franklin Gothic Medium Cond" w:hAnsi="Franklin Gothic Medium Cond" w:cs="Franklin Gothic Medium Cond"/>
                              <w:b/>
                              <w:bCs/>
                              <w:color w:val="EC018B"/>
                              <w:sz w:val="78"/>
                              <w:szCs w:val="78"/>
                              <w:lang w:val="en-US" w:eastAsia="en-US" w:bidi="en-US"/>
                            </w:rPr>
                            <w:t>T Business</w:t>
                          </w:r>
                        </w:p>
                      </w:txbxContent>
                    </wps:txbx>
                    <wps:bodyPr wrap="none" lIns="0" tIns="0" rIns="0" bIns="0">
                      <a:spAutoFit/>
                    </wps:bodyPr>
                  </wps:wsp>
                </a:graphicData>
              </a:graphic>
            </wp:anchor>
          </w:drawing>
        </mc:Choice>
        <mc:Fallback>
          <w:pict>
            <v:shape id="_x0000_s1364" type="#_x0000_t202" style="position:absolute;margin-left:42.399999999999999pt;margin-top:29.550000000000001pt;width:167.5pt;height:33.600000000000001pt;z-index:-188743884;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78"/>
                        <w:szCs w:val="78"/>
                      </w:rPr>
                    </w:pPr>
                    <w:r>
                      <w:rPr>
                        <w:rFonts w:ascii="Franklin Gothic Medium Cond" w:eastAsia="Franklin Gothic Medium Cond" w:hAnsi="Franklin Gothic Medium Cond" w:cs="Franklin Gothic Medium Cond"/>
                        <w:b/>
                        <w:bCs/>
                        <w:color w:val="EC018B"/>
                        <w:spacing w:val="0"/>
                        <w:w w:val="100"/>
                        <w:position w:val="0"/>
                        <w:sz w:val="78"/>
                        <w:szCs w:val="78"/>
                        <w:shd w:val="clear" w:color="auto" w:fill="auto"/>
                        <w:lang w:val="en-US" w:eastAsia="en-US" w:bidi="en-US"/>
                      </w:rPr>
                      <w:t>T Business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89" behindDoc="1" locked="0" layoutInCell="1" allowOverlap="1">
              <wp:simplePos x="0" y="0"/>
              <wp:positionH relativeFrom="page">
                <wp:posOffset>538480</wp:posOffset>
              </wp:positionH>
              <wp:positionV relativeFrom="page">
                <wp:posOffset>374015</wp:posOffset>
              </wp:positionV>
              <wp:extent cx="2127250" cy="426720"/>
              <wp:effectExtent l="0" t="0" r="0" b="0"/>
              <wp:wrapNone/>
              <wp:docPr id="360" name="Shape 360"/>
              <wp:cNvGraphicFramePr/>
              <a:graphic xmlns:a="http://schemas.openxmlformats.org/drawingml/2006/main">
                <a:graphicData uri="http://schemas.microsoft.com/office/word/2010/wordprocessingShape">
                  <wps:wsp>
                    <wps:cNvSpPr txBox="1"/>
                    <wps:spPr>
                      <a:xfrm>
                        <a:off x="0" y="0"/>
                        <a:ext cx="2127250" cy="426720"/>
                      </a:xfrm>
                      <a:prstGeom prst="rect">
                        <a:avLst/>
                      </a:prstGeom>
                      <a:noFill/>
                    </wps:spPr>
                    <wps:txbx>
                      <w:txbxContent>
                        <w:p w:rsidR="00215B20" w:rsidRDefault="00FD0AA3">
                          <w:pPr>
                            <w:pStyle w:val="Zhlavnebozpat0"/>
                            <w:shd w:val="clear" w:color="auto" w:fill="auto"/>
                            <w:rPr>
                              <w:sz w:val="78"/>
                              <w:szCs w:val="78"/>
                            </w:rPr>
                          </w:pPr>
                          <w:r>
                            <w:rPr>
                              <w:rFonts w:ascii="Franklin Gothic Medium Cond" w:eastAsia="Franklin Gothic Medium Cond" w:hAnsi="Franklin Gothic Medium Cond" w:cs="Franklin Gothic Medium Cond"/>
                              <w:b/>
                              <w:bCs/>
                              <w:color w:val="EC018B"/>
                              <w:sz w:val="78"/>
                              <w:szCs w:val="78"/>
                              <w:lang w:val="en-US" w:eastAsia="en-US" w:bidi="en-US"/>
                            </w:rPr>
                            <w:t>T Business</w:t>
                          </w:r>
                        </w:p>
                      </w:txbxContent>
                    </wps:txbx>
                    <wps:bodyPr wrap="none" lIns="0" tIns="0" rIns="0" bIns="0">
                      <a:spAutoFit/>
                    </wps:bodyPr>
                  </wps:wsp>
                </a:graphicData>
              </a:graphic>
            </wp:anchor>
          </w:drawing>
        </mc:Choice>
        <mc:Fallback>
          <w:pict>
            <v:shape id="_x0000_s1386" type="#_x0000_t202" style="position:absolute;margin-left:42.399999999999999pt;margin-top:29.449999999999999pt;width:167.5pt;height:33.600000000000001pt;z-index:-188743864;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78"/>
                        <w:szCs w:val="78"/>
                      </w:rPr>
                    </w:pPr>
                    <w:r>
                      <w:rPr>
                        <w:rFonts w:ascii="Franklin Gothic Medium Cond" w:eastAsia="Franklin Gothic Medium Cond" w:hAnsi="Franklin Gothic Medium Cond" w:cs="Franklin Gothic Medium Cond"/>
                        <w:b/>
                        <w:bCs/>
                        <w:color w:val="EC018B"/>
                        <w:spacing w:val="0"/>
                        <w:w w:val="100"/>
                        <w:position w:val="0"/>
                        <w:sz w:val="78"/>
                        <w:szCs w:val="78"/>
                        <w:shd w:val="clear" w:color="auto" w:fill="auto"/>
                        <w:lang w:val="en-US" w:eastAsia="en-US" w:bidi="en-US"/>
                      </w:rPr>
                      <w:t>T Business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83" behindDoc="1" locked="0" layoutInCell="1" allowOverlap="1">
              <wp:simplePos x="0" y="0"/>
              <wp:positionH relativeFrom="page">
                <wp:posOffset>538480</wp:posOffset>
              </wp:positionH>
              <wp:positionV relativeFrom="page">
                <wp:posOffset>374015</wp:posOffset>
              </wp:positionV>
              <wp:extent cx="2127250" cy="426720"/>
              <wp:effectExtent l="0" t="0" r="0" b="0"/>
              <wp:wrapNone/>
              <wp:docPr id="354" name="Shape 354"/>
              <wp:cNvGraphicFramePr/>
              <a:graphic xmlns:a="http://schemas.openxmlformats.org/drawingml/2006/main">
                <a:graphicData uri="http://schemas.microsoft.com/office/word/2010/wordprocessingShape">
                  <wps:wsp>
                    <wps:cNvSpPr txBox="1"/>
                    <wps:spPr>
                      <a:xfrm>
                        <a:off x="0" y="0"/>
                        <a:ext cx="2127250" cy="426720"/>
                      </a:xfrm>
                      <a:prstGeom prst="rect">
                        <a:avLst/>
                      </a:prstGeom>
                      <a:noFill/>
                    </wps:spPr>
                    <wps:txbx>
                      <w:txbxContent>
                        <w:p w:rsidR="00215B20" w:rsidRDefault="00FD0AA3">
                          <w:pPr>
                            <w:pStyle w:val="Zhlavnebozpat0"/>
                            <w:shd w:val="clear" w:color="auto" w:fill="auto"/>
                            <w:rPr>
                              <w:sz w:val="78"/>
                              <w:szCs w:val="78"/>
                            </w:rPr>
                          </w:pPr>
                          <w:r>
                            <w:rPr>
                              <w:rFonts w:ascii="Franklin Gothic Medium Cond" w:eastAsia="Franklin Gothic Medium Cond" w:hAnsi="Franklin Gothic Medium Cond" w:cs="Franklin Gothic Medium Cond"/>
                              <w:b/>
                              <w:bCs/>
                              <w:color w:val="EC018B"/>
                              <w:sz w:val="78"/>
                              <w:szCs w:val="78"/>
                              <w:lang w:val="en-US" w:eastAsia="en-US" w:bidi="en-US"/>
                            </w:rPr>
                            <w:t>T Business</w:t>
                          </w:r>
                        </w:p>
                      </w:txbxContent>
                    </wps:txbx>
                    <wps:bodyPr wrap="none" lIns="0" tIns="0" rIns="0" bIns="0">
                      <a:spAutoFit/>
                    </wps:bodyPr>
                  </wps:wsp>
                </a:graphicData>
              </a:graphic>
            </wp:anchor>
          </w:drawing>
        </mc:Choice>
        <mc:Fallback>
          <w:pict>
            <v:shape id="_x0000_s1380" type="#_x0000_t202" style="position:absolute;margin-left:42.399999999999999pt;margin-top:29.449999999999999pt;width:167.5pt;height:33.600000000000001pt;z-index:-188743870;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78"/>
                        <w:szCs w:val="78"/>
                      </w:rPr>
                    </w:pPr>
                    <w:r>
                      <w:rPr>
                        <w:rFonts w:ascii="Franklin Gothic Medium Cond" w:eastAsia="Franklin Gothic Medium Cond" w:hAnsi="Franklin Gothic Medium Cond" w:cs="Franklin Gothic Medium Cond"/>
                        <w:b/>
                        <w:bCs/>
                        <w:color w:val="EC018B"/>
                        <w:spacing w:val="0"/>
                        <w:w w:val="100"/>
                        <w:position w:val="0"/>
                        <w:sz w:val="78"/>
                        <w:szCs w:val="78"/>
                        <w:shd w:val="clear" w:color="auto" w:fill="auto"/>
                        <w:lang w:val="en-US" w:eastAsia="en-US" w:bidi="en-US"/>
                      </w:rPr>
                      <w:t>T Business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97" behindDoc="1" locked="0" layoutInCell="1" allowOverlap="1">
              <wp:simplePos x="0" y="0"/>
              <wp:positionH relativeFrom="page">
                <wp:posOffset>1739265</wp:posOffset>
              </wp:positionH>
              <wp:positionV relativeFrom="page">
                <wp:posOffset>454025</wp:posOffset>
              </wp:positionV>
              <wp:extent cx="935990" cy="469265"/>
              <wp:effectExtent l="0" t="0" r="0" b="0"/>
              <wp:wrapNone/>
              <wp:docPr id="369" name="Shape 369"/>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0"/>
                            <w:shd w:val="clear" w:color="auto" w:fill="auto"/>
                            <w:rPr>
                              <w:sz w:val="22"/>
                              <w:szCs w:val="22"/>
                            </w:rPr>
                          </w:pPr>
                          <w:r>
                            <w:rPr>
                              <w:b/>
                              <w:bCs/>
                              <w:color w:val="444444"/>
                              <w:sz w:val="22"/>
                              <w:szCs w:val="22"/>
                            </w:rPr>
                            <w:t>NÁRODNÍ</w:t>
                          </w:r>
                        </w:p>
                        <w:p w:rsidR="00215B20" w:rsidRDefault="00FD0AA3">
                          <w:pPr>
                            <w:pStyle w:val="Zhlavnebozpat0"/>
                            <w:shd w:val="clear" w:color="auto" w:fill="auto"/>
                            <w:rPr>
                              <w:sz w:val="22"/>
                              <w:szCs w:val="22"/>
                            </w:rPr>
                          </w:pPr>
                          <w:r>
                            <w:rPr>
                              <w:b/>
                              <w:bCs/>
                              <w:color w:val="444444"/>
                              <w:sz w:val="22"/>
                              <w:szCs w:val="22"/>
                            </w:rPr>
                            <w:t>PAMÁTKOVÝ</w:t>
                          </w:r>
                        </w:p>
                        <w:p w:rsidR="00215B20" w:rsidRDefault="00FD0AA3">
                          <w:pPr>
                            <w:pStyle w:val="Zhlavnebozpat0"/>
                            <w:shd w:val="clear" w:color="auto" w:fill="auto"/>
                            <w:rPr>
                              <w:sz w:val="22"/>
                              <w:szCs w:val="22"/>
                            </w:rPr>
                          </w:pPr>
                          <w:r>
                            <w:rPr>
                              <w:b/>
                              <w:bCs/>
                              <w:color w:val="444444"/>
                              <w:sz w:val="22"/>
                              <w:szCs w:val="22"/>
                            </w:rPr>
                            <w:t>ÚSTAV</w:t>
                          </w:r>
                        </w:p>
                      </w:txbxContent>
                    </wps:txbx>
                    <wps:bodyPr wrap="none" lIns="0" tIns="0" rIns="0" bIns="0">
                      <a:spAutoFit/>
                    </wps:bodyPr>
                  </wps:wsp>
                </a:graphicData>
              </a:graphic>
            </wp:anchor>
          </w:drawing>
        </mc:Choice>
        <mc:Fallback>
          <w:pict>
            <v:shape id="_x0000_s1395" type="#_x0000_t202" style="position:absolute;margin-left:136.94999999999999pt;margin-top:35.75pt;width:73.700000000000003pt;height:36.950000000000003pt;z-index:-188743856;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NÁRODNÍ</w:t>
                    </w:r>
                  </w:p>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PAMÁTKOVÝ</w:t>
                    </w:r>
                  </w:p>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895" behindDoc="1" locked="0" layoutInCell="1" allowOverlap="1">
              <wp:simplePos x="0" y="0"/>
              <wp:positionH relativeFrom="page">
                <wp:posOffset>1739265</wp:posOffset>
              </wp:positionH>
              <wp:positionV relativeFrom="page">
                <wp:posOffset>454025</wp:posOffset>
              </wp:positionV>
              <wp:extent cx="935990" cy="469265"/>
              <wp:effectExtent l="0" t="0" r="0" b="0"/>
              <wp:wrapNone/>
              <wp:docPr id="367" name="Shape 367"/>
              <wp:cNvGraphicFramePr/>
              <a:graphic xmlns:a="http://schemas.openxmlformats.org/drawingml/2006/main">
                <a:graphicData uri="http://schemas.microsoft.com/office/word/2010/wordprocessingShape">
                  <wps:wsp>
                    <wps:cNvSpPr txBox="1"/>
                    <wps:spPr>
                      <a:xfrm>
                        <a:off x="0" y="0"/>
                        <a:ext cx="935990" cy="469265"/>
                      </a:xfrm>
                      <a:prstGeom prst="rect">
                        <a:avLst/>
                      </a:prstGeom>
                      <a:noFill/>
                    </wps:spPr>
                    <wps:txbx>
                      <w:txbxContent>
                        <w:p w:rsidR="00215B20" w:rsidRDefault="00FD0AA3">
                          <w:pPr>
                            <w:pStyle w:val="Zhlavnebozpat0"/>
                            <w:shd w:val="clear" w:color="auto" w:fill="auto"/>
                            <w:rPr>
                              <w:sz w:val="22"/>
                              <w:szCs w:val="22"/>
                            </w:rPr>
                          </w:pPr>
                          <w:r>
                            <w:rPr>
                              <w:b/>
                              <w:bCs/>
                              <w:color w:val="444444"/>
                              <w:sz w:val="22"/>
                              <w:szCs w:val="22"/>
                            </w:rPr>
                            <w:t>NÁRODNÍ</w:t>
                          </w:r>
                        </w:p>
                        <w:p w:rsidR="00215B20" w:rsidRDefault="00FD0AA3">
                          <w:pPr>
                            <w:pStyle w:val="Zhlavnebozpat0"/>
                            <w:shd w:val="clear" w:color="auto" w:fill="auto"/>
                            <w:rPr>
                              <w:sz w:val="22"/>
                              <w:szCs w:val="22"/>
                            </w:rPr>
                          </w:pPr>
                          <w:r>
                            <w:rPr>
                              <w:b/>
                              <w:bCs/>
                              <w:color w:val="444444"/>
                              <w:sz w:val="22"/>
                              <w:szCs w:val="22"/>
                            </w:rPr>
                            <w:t>PAMÁTKOVÝ</w:t>
                          </w:r>
                        </w:p>
                        <w:p w:rsidR="00215B20" w:rsidRDefault="00FD0AA3">
                          <w:pPr>
                            <w:pStyle w:val="Zhlavnebozpat0"/>
                            <w:shd w:val="clear" w:color="auto" w:fill="auto"/>
                            <w:rPr>
                              <w:sz w:val="22"/>
                              <w:szCs w:val="22"/>
                            </w:rPr>
                          </w:pPr>
                          <w:r>
                            <w:rPr>
                              <w:b/>
                              <w:bCs/>
                              <w:color w:val="444444"/>
                              <w:sz w:val="22"/>
                              <w:szCs w:val="22"/>
                            </w:rPr>
                            <w:t>ÚSTAV</w:t>
                          </w:r>
                        </w:p>
                      </w:txbxContent>
                    </wps:txbx>
                    <wps:bodyPr wrap="none" lIns="0" tIns="0" rIns="0" bIns="0">
                      <a:spAutoFit/>
                    </wps:bodyPr>
                  </wps:wsp>
                </a:graphicData>
              </a:graphic>
            </wp:anchor>
          </w:drawing>
        </mc:Choice>
        <mc:Fallback>
          <w:pict>
            <v:shape id="_x0000_s1393" type="#_x0000_t202" style="position:absolute;margin-left:136.94999999999999pt;margin-top:35.75pt;width:73.700000000000003pt;height:36.950000000000003pt;z-index:-188743858;mso-wrap-style:none;mso-wrap-distance-left:0;mso-wrap-distance-right:0;mso-position-horizontal-relative:page;mso-position-vertical-relative:page" wrapcoords="0 0" filled="f" stroked="f">
              <v:textbox style="mso-fit-shape-to-text:t" inset="0,0,0,0">
                <w:txbxContent>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NÁRODNÍ</w:t>
                    </w:r>
                  </w:p>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PAMÁTKOVÝ</w:t>
                    </w:r>
                  </w:p>
                  <w:p>
                    <w:pPr>
                      <w:pStyle w:val="Style157"/>
                      <w:keepNext w:val="0"/>
                      <w:keepLines w:val="0"/>
                      <w:widowControl w:val="0"/>
                      <w:shd w:val="clear" w:color="auto" w:fill="auto"/>
                      <w:bidi w:val="0"/>
                      <w:spacing w:before="0" w:after="0" w:line="240" w:lineRule="auto"/>
                      <w:ind w:left="0" w:right="0" w:firstLine="0"/>
                      <w:jc w:val="left"/>
                      <w:rPr>
                        <w:sz w:val="22"/>
                        <w:szCs w:val="22"/>
                      </w:rPr>
                    </w:pPr>
                    <w:r>
                      <w:rPr>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1743075</wp:posOffset>
              </wp:positionH>
              <wp:positionV relativeFrom="page">
                <wp:posOffset>899795</wp:posOffset>
              </wp:positionV>
              <wp:extent cx="938530" cy="469265"/>
              <wp:effectExtent l="0" t="0" r="0" b="0"/>
              <wp:wrapNone/>
              <wp:docPr id="11" name="Shape 11"/>
              <wp:cNvGraphicFramePr/>
              <a:graphic xmlns:a="http://schemas.openxmlformats.org/drawingml/2006/main">
                <a:graphicData uri="http://schemas.microsoft.com/office/word/2010/wordprocessingShape">
                  <wps:wsp>
                    <wps:cNvSpPr txBox="1"/>
                    <wps:spPr>
                      <a:xfrm>
                        <a:off x="0" y="0"/>
                        <a:ext cx="93853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 id="_x0000_s1037" type="#_x0000_t202" style="position:absolute;margin-left:137.25pt;margin-top:70.849999999999994pt;width:73.900000000000006pt;height:36.950000000000003pt;z-index:-18874405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FD0AA3">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1743075</wp:posOffset>
              </wp:positionH>
              <wp:positionV relativeFrom="page">
                <wp:posOffset>899795</wp:posOffset>
              </wp:positionV>
              <wp:extent cx="938530" cy="469265"/>
              <wp:effectExtent l="0" t="0" r="0" b="0"/>
              <wp:wrapNone/>
              <wp:docPr id="9" name="Shape 9"/>
              <wp:cNvGraphicFramePr/>
              <a:graphic xmlns:a="http://schemas.openxmlformats.org/drawingml/2006/main">
                <a:graphicData uri="http://schemas.microsoft.com/office/word/2010/wordprocessingShape">
                  <wps:wsp>
                    <wps:cNvSpPr txBox="1"/>
                    <wps:spPr>
                      <a:xfrm>
                        <a:off x="0" y="0"/>
                        <a:ext cx="938530" cy="469265"/>
                      </a:xfrm>
                      <a:prstGeom prst="rect">
                        <a:avLst/>
                      </a:prstGeom>
                      <a:noFill/>
                    </wps:spPr>
                    <wps:txbx>
                      <w:txbxContent>
                        <w:p w:rsidR="00215B20" w:rsidRDefault="00FD0AA3">
                          <w:pPr>
                            <w:pStyle w:val="Zhlavnebozpat20"/>
                            <w:shd w:val="clear" w:color="auto" w:fill="auto"/>
                            <w:rPr>
                              <w:sz w:val="22"/>
                              <w:szCs w:val="22"/>
                            </w:rPr>
                          </w:pPr>
                          <w:r>
                            <w:rPr>
                              <w:rFonts w:ascii="Arial" w:eastAsia="Arial" w:hAnsi="Arial" w:cs="Arial"/>
                              <w:b/>
                              <w:bCs/>
                              <w:color w:val="444444"/>
                              <w:sz w:val="22"/>
                              <w:szCs w:val="22"/>
                            </w:rPr>
                            <w:t>NÁRODNÍ</w:t>
                          </w:r>
                        </w:p>
                        <w:p w:rsidR="00215B20" w:rsidRDefault="00FD0AA3">
                          <w:pPr>
                            <w:pStyle w:val="Zhlavnebozpat20"/>
                            <w:shd w:val="clear" w:color="auto" w:fill="auto"/>
                            <w:rPr>
                              <w:sz w:val="22"/>
                              <w:szCs w:val="22"/>
                            </w:rPr>
                          </w:pPr>
                          <w:r>
                            <w:rPr>
                              <w:rFonts w:ascii="Arial" w:eastAsia="Arial" w:hAnsi="Arial" w:cs="Arial"/>
                              <w:b/>
                              <w:bCs/>
                              <w:color w:val="444444"/>
                              <w:sz w:val="22"/>
                              <w:szCs w:val="22"/>
                            </w:rPr>
                            <w:t>PAMÁTKOVÝ</w:t>
                          </w:r>
                        </w:p>
                        <w:p w:rsidR="00215B20" w:rsidRDefault="00FD0AA3">
                          <w:pPr>
                            <w:pStyle w:val="Zhlavnebozpat20"/>
                            <w:shd w:val="clear" w:color="auto" w:fill="auto"/>
                            <w:rPr>
                              <w:sz w:val="22"/>
                              <w:szCs w:val="22"/>
                            </w:rPr>
                          </w:pPr>
                          <w:r>
                            <w:rPr>
                              <w:rFonts w:ascii="Arial" w:eastAsia="Arial" w:hAnsi="Arial" w:cs="Arial"/>
                              <w:b/>
                              <w:bCs/>
                              <w:color w:val="444444"/>
                              <w:sz w:val="22"/>
                              <w:szCs w:val="22"/>
                            </w:rPr>
                            <w:t>ÚSTAV</w:t>
                          </w:r>
                        </w:p>
                      </w:txbxContent>
                    </wps:txbx>
                    <wps:bodyPr wrap="none" lIns="0" tIns="0" rIns="0" bIns="0">
                      <a:spAutoFit/>
                    </wps:bodyPr>
                  </wps:wsp>
                </a:graphicData>
              </a:graphic>
            </wp:anchor>
          </w:drawing>
        </mc:Choice>
        <mc:Fallback>
          <w:pict>
            <v:shape id="_x0000_s1035" type="#_x0000_t202" style="position:absolute;margin-left:137.25pt;margin-top:70.849999999999994pt;width:73.900000000000006pt;height:36.950000000000003pt;z-index:-18874405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NÁRODNÍ</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PAMÁTKOVÝ</w:t>
                    </w:r>
                  </w:p>
                  <w:p>
                    <w:pPr>
                      <w:pStyle w:val="Style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444444"/>
                        <w:spacing w:val="0"/>
                        <w:w w:val="100"/>
                        <w:position w:val="0"/>
                        <w:sz w:val="22"/>
                        <w:szCs w:val="22"/>
                        <w:shd w:val="clear" w:color="auto" w:fill="auto"/>
                        <w:lang w:val="cs-CZ" w:eastAsia="cs-CZ" w:bidi="cs-CZ"/>
                      </w:rPr>
                      <w:t>ÚSTAV</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0" w:rsidRDefault="00215B20">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AEE"/>
    <w:multiLevelType w:val="multilevel"/>
    <w:tmpl w:val="17381742"/>
    <w:lvl w:ilvl="0">
      <w:start w:val="9"/>
      <w:numFmt w:val="lowerRoman"/>
      <w:lvlText w:val="(%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141FA"/>
    <w:multiLevelType w:val="multilevel"/>
    <w:tmpl w:val="B09A81B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3F3281"/>
    <w:multiLevelType w:val="multilevel"/>
    <w:tmpl w:val="5FF22E06"/>
    <w:lvl w:ilvl="0">
      <w:start w:val="1"/>
      <w:numFmt w:val="decimal"/>
      <w:lvlText w:val="4.%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B97404"/>
    <w:multiLevelType w:val="multilevel"/>
    <w:tmpl w:val="1256C7E8"/>
    <w:lvl w:ilvl="0">
      <w:start w:val="1"/>
      <w:numFmt w:val="decimal"/>
      <w:lvlText w:val="2.3.6.%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066ADA"/>
    <w:multiLevelType w:val="multilevel"/>
    <w:tmpl w:val="144CE58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A336DE"/>
    <w:multiLevelType w:val="multilevel"/>
    <w:tmpl w:val="3744B638"/>
    <w:lvl w:ilvl="0">
      <w:start w:val="4"/>
      <w:numFmt w:val="lowerLetter"/>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9A3E7E"/>
    <w:multiLevelType w:val="multilevel"/>
    <w:tmpl w:val="642EA898"/>
    <w:lvl w:ilvl="0">
      <w:start w:val="3"/>
      <w:numFmt w:val="decimal"/>
      <w:lvlText w:val="9.%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812C71"/>
    <w:multiLevelType w:val="multilevel"/>
    <w:tmpl w:val="550AED3E"/>
    <w:lvl w:ilvl="0">
      <w:start w:val="1"/>
      <w:numFmt w:val="lowerRoman"/>
      <w:lvlText w:val="(%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16046F"/>
    <w:multiLevelType w:val="multilevel"/>
    <w:tmpl w:val="6F50ACAC"/>
    <w:lvl w:ilvl="0">
      <w:start w:val="1"/>
      <w:numFmt w:val="bullet"/>
      <w:lvlText w:val="•"/>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992599"/>
    <w:multiLevelType w:val="multilevel"/>
    <w:tmpl w:val="49B2B278"/>
    <w:lvl w:ilvl="0">
      <w:start w:val="1"/>
      <w:numFmt w:val="bullet"/>
      <w:lvlText w:val="■"/>
      <w:lvlJc w:val="left"/>
      <w:rPr>
        <w:rFonts w:ascii="Arial" w:eastAsia="Arial" w:hAnsi="Arial" w:cs="Arial"/>
        <w:b w:val="0"/>
        <w:bCs w:val="0"/>
        <w:i w:val="0"/>
        <w:iCs w:val="0"/>
        <w:smallCaps w:val="0"/>
        <w:strike w:val="0"/>
        <w:color w:val="DE1273"/>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3C67DA"/>
    <w:multiLevelType w:val="multilevel"/>
    <w:tmpl w:val="CD90A978"/>
    <w:lvl w:ilvl="0">
      <w:start w:val="1"/>
      <w:numFmt w:val="bullet"/>
      <w:lvlText w:val="V"/>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005E32"/>
    <w:multiLevelType w:val="multilevel"/>
    <w:tmpl w:val="D6F04A32"/>
    <w:lvl w:ilvl="0">
      <w:start w:val="1"/>
      <w:numFmt w:val="bullet"/>
      <w:lvlText w:val="*"/>
      <w:lvlJc w:val="left"/>
      <w:rPr>
        <w:rFonts w:ascii="Arial" w:eastAsia="Arial" w:hAnsi="Arial" w:cs="Arial"/>
        <w:b w:val="0"/>
        <w:bCs w:val="0"/>
        <w:i w:val="0"/>
        <w:iCs w:val="0"/>
        <w:smallCaps w:val="0"/>
        <w:strike w:val="0"/>
        <w:color w:val="444444"/>
        <w:spacing w:val="0"/>
        <w:w w:val="100"/>
        <w:position w:val="0"/>
        <w:sz w:val="10"/>
        <w:szCs w:val="1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F145B4"/>
    <w:multiLevelType w:val="multilevel"/>
    <w:tmpl w:val="7F4AD150"/>
    <w:lvl w:ilvl="0">
      <w:start w:val="1"/>
      <w:numFmt w:val="lowerRoman"/>
      <w:lvlText w:val="(%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684E91"/>
    <w:multiLevelType w:val="multilevel"/>
    <w:tmpl w:val="BDDC4B5A"/>
    <w:lvl w:ilvl="0">
      <w:start w:val="1"/>
      <w:numFmt w:val="decimal"/>
      <w:lvlText w:val="1.%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D76C52"/>
    <w:multiLevelType w:val="multilevel"/>
    <w:tmpl w:val="C33A104A"/>
    <w:lvl w:ilvl="0">
      <w:start w:val="100"/>
      <w:numFmt w:val="lowerRoman"/>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28048E"/>
    <w:multiLevelType w:val="multilevel"/>
    <w:tmpl w:val="DD7A0A1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990523"/>
    <w:multiLevelType w:val="multilevel"/>
    <w:tmpl w:val="A20E888A"/>
    <w:lvl w:ilvl="0">
      <w:start w:val="1"/>
      <w:numFmt w:val="bullet"/>
      <w:lvlText w:val="■"/>
      <w:lvlJc w:val="left"/>
      <w:rPr>
        <w:rFonts w:ascii="Arial" w:eastAsia="Arial" w:hAnsi="Arial" w:cs="Arial"/>
        <w:b w:val="0"/>
        <w:bCs w:val="0"/>
        <w:i w:val="0"/>
        <w:iCs w:val="0"/>
        <w:smallCaps w:val="0"/>
        <w:strike w:val="0"/>
        <w:color w:val="EC018B"/>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5EB0590"/>
    <w:multiLevelType w:val="multilevel"/>
    <w:tmpl w:val="14CAF62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7A0B42"/>
    <w:multiLevelType w:val="multilevel"/>
    <w:tmpl w:val="04BE5E06"/>
    <w:lvl w:ilvl="0">
      <w:start w:val="1"/>
      <w:numFmt w:val="decimal"/>
      <w:lvlText w:val="%1."/>
      <w:lvlJc w:val="left"/>
      <w:rPr>
        <w:rFonts w:ascii="Arial" w:eastAsia="Arial" w:hAnsi="Arial" w:cs="Arial"/>
        <w:b/>
        <w:bCs/>
        <w:i w:val="0"/>
        <w:iCs w:val="0"/>
        <w:smallCaps w:val="0"/>
        <w:strike w:val="0"/>
        <w:color w:val="EC018B"/>
        <w:spacing w:val="0"/>
        <w:w w:val="100"/>
        <w:position w:val="0"/>
        <w:sz w:val="15"/>
        <w:szCs w:val="15"/>
        <w:u w:val="none"/>
        <w:shd w:val="clear" w:color="auto" w:fill="auto"/>
        <w:lang w:val="en-US" w:eastAsia="en-US" w:bidi="en-US"/>
      </w:rPr>
    </w:lvl>
    <w:lvl w:ilvl="1">
      <w:start w:val="1"/>
      <w:numFmt w:val="decimal"/>
      <w:lvlText w:val="%1.%2"/>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C53F2F"/>
    <w:multiLevelType w:val="multilevel"/>
    <w:tmpl w:val="4C26D16E"/>
    <w:lvl w:ilvl="0">
      <w:start w:val="1"/>
      <w:numFmt w:val="decimal"/>
      <w:lvlText w:val="2.%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3149B4"/>
    <w:multiLevelType w:val="multilevel"/>
    <w:tmpl w:val="83AE169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8B50074"/>
    <w:multiLevelType w:val="multilevel"/>
    <w:tmpl w:val="3708B604"/>
    <w:lvl w:ilvl="0">
      <w:start w:val="1"/>
      <w:numFmt w:val="decimal"/>
      <w:lvlText w:val="%1"/>
      <w:lvlJc w:val="left"/>
      <w:rPr>
        <w:rFonts w:ascii="Arial" w:eastAsia="Arial" w:hAnsi="Arial" w:cs="Arial"/>
        <w:b/>
        <w:bCs/>
        <w:i w:val="0"/>
        <w:iCs w:val="0"/>
        <w:smallCaps w:val="0"/>
        <w:strike w:val="0"/>
        <w:color w:val="DE1273"/>
        <w:spacing w:val="0"/>
        <w:w w:val="100"/>
        <w:position w:val="0"/>
        <w:sz w:val="16"/>
        <w:szCs w:val="16"/>
        <w:u w:val="none"/>
        <w:shd w:val="clear" w:color="auto" w:fill="auto"/>
        <w:lang w:val="cs-CZ" w:eastAsia="cs-CZ" w:bidi="cs-CZ"/>
      </w:rPr>
    </w:lvl>
    <w:lvl w:ilvl="1">
      <w:start w:val="1"/>
      <w:numFmt w:val="decimal"/>
      <w:lvlText w:val="%1.%2"/>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2">
      <w:start w:val="1"/>
      <w:numFmt w:val="decimal"/>
      <w:lvlText w:val="%1.%2.%3"/>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5F0E71"/>
    <w:multiLevelType w:val="multilevel"/>
    <w:tmpl w:val="54ACACF8"/>
    <w:lvl w:ilvl="0">
      <w:start w:val="1"/>
      <w:numFmt w:val="lowerRoman"/>
      <w:lvlText w:val="(%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A12C2A"/>
    <w:multiLevelType w:val="multilevel"/>
    <w:tmpl w:val="050E6C72"/>
    <w:lvl w:ilvl="0">
      <w:start w:val="3"/>
      <w:numFmt w:val="decimal"/>
      <w:lvlText w:val="%1."/>
      <w:lvlJc w:val="left"/>
      <w:rPr>
        <w:rFonts w:ascii="Arial" w:eastAsia="Arial" w:hAnsi="Arial" w:cs="Arial"/>
        <w:b/>
        <w:bCs/>
        <w:i w:val="0"/>
        <w:iCs w:val="0"/>
        <w:smallCaps w:val="0"/>
        <w:strike w:val="0"/>
        <w:color w:val="E4087E"/>
        <w:spacing w:val="0"/>
        <w:w w:val="100"/>
        <w:position w:val="0"/>
        <w:sz w:val="15"/>
        <w:szCs w:val="15"/>
        <w:u w:val="none"/>
        <w:shd w:val="clear" w:color="auto" w:fill="auto"/>
        <w:lang w:val="cs-CZ" w:eastAsia="cs-CZ" w:bidi="cs-CZ"/>
      </w:rPr>
    </w:lvl>
    <w:lvl w:ilvl="1">
      <w:start w:val="1"/>
      <w:numFmt w:val="decimal"/>
      <w:lvlText w:val="%1.%2"/>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2">
      <w:start w:val="1"/>
      <w:numFmt w:val="decimal"/>
      <w:lvlText w:val="%1.%2.%3"/>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7A527E"/>
    <w:multiLevelType w:val="multilevel"/>
    <w:tmpl w:val="E8C8FE72"/>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15272B4"/>
    <w:multiLevelType w:val="multilevel"/>
    <w:tmpl w:val="7408D0D0"/>
    <w:lvl w:ilvl="0">
      <w:start w:val="1"/>
      <w:numFmt w:val="bullet"/>
      <w:lvlText w:val="•"/>
      <w:lvlJc w:val="left"/>
      <w:rPr>
        <w:rFonts w:ascii="Arial" w:eastAsia="Arial" w:hAnsi="Arial" w:cs="Arial"/>
        <w:b w:val="0"/>
        <w:bCs w:val="0"/>
        <w:i w:val="0"/>
        <w:iCs w:val="0"/>
        <w:smallCaps w:val="0"/>
        <w:strike w:val="0"/>
        <w:color w:val="444444"/>
        <w:spacing w:val="0"/>
        <w:w w:val="100"/>
        <w:position w:val="0"/>
        <w:sz w:val="10"/>
        <w:szCs w:val="1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F605B7"/>
    <w:multiLevelType w:val="multilevel"/>
    <w:tmpl w:val="B48276E0"/>
    <w:lvl w:ilvl="0">
      <w:start w:val="1"/>
      <w:numFmt w:val="decimal"/>
      <w:lvlText w:val="2.6.%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4B60E9D"/>
    <w:multiLevelType w:val="multilevel"/>
    <w:tmpl w:val="7DB4F83C"/>
    <w:lvl w:ilvl="0">
      <w:start w:val="1"/>
      <w:numFmt w:val="lowerRoman"/>
      <w:lvlText w:val="(%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594555C"/>
    <w:multiLevelType w:val="multilevel"/>
    <w:tmpl w:val="E19003A8"/>
    <w:lvl w:ilvl="0">
      <w:start w:val="1"/>
      <w:numFmt w:val="lowerRoman"/>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D9085F"/>
    <w:multiLevelType w:val="multilevel"/>
    <w:tmpl w:val="842AB670"/>
    <w:lvl w:ilvl="0">
      <w:start w:val="11"/>
      <w:numFmt w:val="decimal"/>
      <w:lvlText w:val="%1."/>
      <w:lvlJc w:val="left"/>
      <w:rPr>
        <w:rFonts w:ascii="Arial" w:eastAsia="Arial" w:hAnsi="Arial" w:cs="Arial"/>
        <w:b/>
        <w:bCs/>
        <w:i w:val="0"/>
        <w:iCs w:val="0"/>
        <w:smallCaps w:val="0"/>
        <w:strike w:val="0"/>
        <w:color w:val="EC018B"/>
        <w:spacing w:val="0"/>
        <w:w w:val="100"/>
        <w:position w:val="0"/>
        <w:sz w:val="15"/>
        <w:szCs w:val="15"/>
        <w:u w:val="none"/>
        <w:shd w:val="clear" w:color="auto" w:fill="auto"/>
        <w:lang w:val="cs-CZ" w:eastAsia="cs-CZ" w:bidi="cs-CZ"/>
      </w:rPr>
    </w:lvl>
    <w:lvl w:ilvl="1">
      <w:start w:val="1"/>
      <w:numFmt w:val="decimal"/>
      <w:lvlText w:val="%1.%2"/>
      <w:lvlJc w:val="left"/>
      <w:rPr>
        <w:rFonts w:ascii="Arial" w:eastAsia="Arial" w:hAnsi="Arial" w:cs="Arial"/>
        <w:b/>
        <w:bCs/>
        <w:i w:val="0"/>
        <w:iCs w:val="0"/>
        <w:smallCaps w:val="0"/>
        <w:strike w:val="0"/>
        <w:color w:val="231F20"/>
        <w:spacing w:val="0"/>
        <w:w w:val="100"/>
        <w:position w:val="0"/>
        <w:sz w:val="15"/>
        <w:szCs w:val="15"/>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C091DF4"/>
    <w:multiLevelType w:val="multilevel"/>
    <w:tmpl w:val="A962B78E"/>
    <w:lvl w:ilvl="0">
      <w:start w:val="1"/>
      <w:numFmt w:val="decimal"/>
      <w:lvlText w:val="%1."/>
      <w:lvlJc w:val="left"/>
      <w:rPr>
        <w:rFonts w:ascii="Arial" w:eastAsia="Arial" w:hAnsi="Arial" w:cs="Arial"/>
        <w:b/>
        <w:bCs/>
        <w:i w:val="0"/>
        <w:iCs w:val="0"/>
        <w:smallCaps w:val="0"/>
        <w:strike w:val="0"/>
        <w:color w:val="E4087E"/>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04D35B9"/>
    <w:multiLevelType w:val="multilevel"/>
    <w:tmpl w:val="644C1092"/>
    <w:lvl w:ilvl="0">
      <w:start w:val="1"/>
      <w:numFmt w:val="decimal"/>
      <w:lvlText w:val="%1."/>
      <w:lvlJc w:val="left"/>
      <w:rPr>
        <w:rFonts w:ascii="Arial" w:eastAsia="Arial" w:hAnsi="Arial" w:cs="Arial"/>
        <w:b w:val="0"/>
        <w:bCs w:val="0"/>
        <w:i w:val="0"/>
        <w:iCs w:val="0"/>
        <w:smallCaps w:val="0"/>
        <w:strike w:val="0"/>
        <w:color w:val="231F2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0806306"/>
    <w:multiLevelType w:val="multilevel"/>
    <w:tmpl w:val="74569990"/>
    <w:lvl w:ilvl="0">
      <w:start w:val="2"/>
      <w:numFmt w:val="lowerRoman"/>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0DC1C3A"/>
    <w:multiLevelType w:val="multilevel"/>
    <w:tmpl w:val="2864D64A"/>
    <w:lvl w:ilvl="0">
      <w:start w:val="1"/>
      <w:numFmt w:val="bullet"/>
      <w:lvlText w:val="V"/>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1065F0E"/>
    <w:multiLevelType w:val="multilevel"/>
    <w:tmpl w:val="F0383F82"/>
    <w:lvl w:ilvl="0">
      <w:start w:val="1"/>
      <w:numFmt w:val="lowerRoman"/>
      <w:lvlText w:val="(%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1C8734A"/>
    <w:multiLevelType w:val="multilevel"/>
    <w:tmpl w:val="5A3C34C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6173B9D"/>
    <w:multiLevelType w:val="multilevel"/>
    <w:tmpl w:val="4EE6225E"/>
    <w:lvl w:ilvl="0">
      <w:start w:val="1"/>
      <w:numFmt w:val="lowerRoman"/>
      <w:lvlText w:val="(%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814A53"/>
    <w:multiLevelType w:val="multilevel"/>
    <w:tmpl w:val="08A4F7C6"/>
    <w:lvl w:ilvl="0">
      <w:start w:val="1"/>
      <w:numFmt w:val="decimal"/>
      <w:lvlText w:val="2.3.%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07E6E09"/>
    <w:multiLevelType w:val="multilevel"/>
    <w:tmpl w:val="31B08026"/>
    <w:lvl w:ilvl="0">
      <w:start w:val="1"/>
      <w:numFmt w:val="lowerRoman"/>
      <w:lvlText w:val="(%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8523FD7"/>
    <w:multiLevelType w:val="multilevel"/>
    <w:tmpl w:val="A458602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83639A"/>
    <w:multiLevelType w:val="multilevel"/>
    <w:tmpl w:val="C428B994"/>
    <w:lvl w:ilvl="0">
      <w:start w:val="1"/>
      <w:numFmt w:val="decimal"/>
      <w:lvlText w:val="%1"/>
      <w:lvlJc w:val="left"/>
      <w:rPr>
        <w:rFonts w:ascii="Arial" w:eastAsia="Arial" w:hAnsi="Arial" w:cs="Arial"/>
        <w:b/>
        <w:bCs/>
        <w:i/>
        <w:iCs/>
        <w:smallCaps w:val="0"/>
        <w:strike w:val="0"/>
        <w:color w:val="DE1273"/>
        <w:spacing w:val="0"/>
        <w:w w:val="100"/>
        <w:position w:val="0"/>
        <w:sz w:val="15"/>
        <w:szCs w:val="15"/>
        <w:u w:val="none"/>
        <w:shd w:val="clear" w:color="auto" w:fill="auto"/>
        <w:lang w:val="cs-CZ" w:eastAsia="cs-CZ" w:bidi="cs-CZ"/>
      </w:rPr>
    </w:lvl>
    <w:lvl w:ilvl="1">
      <w:start w:val="1"/>
      <w:numFmt w:val="decimal"/>
      <w:lvlText w:val="%1.%2"/>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A666AE0"/>
    <w:multiLevelType w:val="multilevel"/>
    <w:tmpl w:val="AD6237F8"/>
    <w:lvl w:ilvl="0">
      <w:start w:val="11"/>
      <w:numFmt w:val="decimal"/>
      <w:lvlText w:val="10.%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B5B207E"/>
    <w:multiLevelType w:val="multilevel"/>
    <w:tmpl w:val="7200F4B8"/>
    <w:lvl w:ilvl="0">
      <w:start w:val="1"/>
      <w:numFmt w:val="lowerLetter"/>
      <w:lvlText w:val="%1)"/>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D4210E6"/>
    <w:multiLevelType w:val="multilevel"/>
    <w:tmpl w:val="D6FE6438"/>
    <w:lvl w:ilvl="0">
      <w:start w:val="1"/>
      <w:numFmt w:val="decimal"/>
      <w:lvlText w:val="%1"/>
      <w:lvlJc w:val="left"/>
      <w:rPr>
        <w:rFonts w:ascii="Arial" w:eastAsia="Arial" w:hAnsi="Arial" w:cs="Arial"/>
        <w:b/>
        <w:bCs/>
        <w:i w:val="0"/>
        <w:iCs w:val="0"/>
        <w:smallCaps w:val="0"/>
        <w:strike w:val="0"/>
        <w:color w:val="DE1273"/>
        <w:spacing w:val="0"/>
        <w:w w:val="100"/>
        <w:position w:val="0"/>
        <w:sz w:val="15"/>
        <w:szCs w:val="15"/>
        <w:u w:val="none"/>
        <w:shd w:val="clear" w:color="auto" w:fill="auto"/>
        <w:lang w:val="cs-CZ" w:eastAsia="cs-CZ" w:bidi="cs-CZ"/>
      </w:rPr>
    </w:lvl>
    <w:lvl w:ilvl="1">
      <w:start w:val="1"/>
      <w:numFmt w:val="decimal"/>
      <w:lvlText w:val="%1.%2"/>
      <w:lvlJc w:val="left"/>
      <w:rPr>
        <w:rFonts w:ascii="Arial" w:eastAsia="Arial" w:hAnsi="Arial" w:cs="Arial"/>
        <w:b/>
        <w:bCs/>
        <w:i w:val="0"/>
        <w:iCs w:val="0"/>
        <w:smallCaps w:val="0"/>
        <w:strike w:val="0"/>
        <w:color w:val="DE1273"/>
        <w:spacing w:val="0"/>
        <w:w w:val="100"/>
        <w:position w:val="0"/>
        <w:sz w:val="15"/>
        <w:szCs w:val="15"/>
        <w:u w:val="none"/>
        <w:shd w:val="clear" w:color="auto" w:fill="auto"/>
        <w:lang w:val="cs-CZ" w:eastAsia="cs-CZ" w:bidi="cs-CZ"/>
      </w:rPr>
    </w:lvl>
    <w:lvl w:ilvl="2">
      <w:start w:val="1"/>
      <w:numFmt w:val="decimal"/>
      <w:lvlText w:val="%1.%2.%3"/>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ECD6047"/>
    <w:multiLevelType w:val="multilevel"/>
    <w:tmpl w:val="A04C31EC"/>
    <w:lvl w:ilvl="0">
      <w:start w:val="5"/>
      <w:numFmt w:val="decimal"/>
      <w:lvlText w:val="%1"/>
      <w:lvlJc w:val="left"/>
      <w:rPr>
        <w:rFonts w:ascii="Arial" w:eastAsia="Arial" w:hAnsi="Arial" w:cs="Arial"/>
        <w:b/>
        <w:bCs/>
        <w:i w:val="0"/>
        <w:iCs w:val="0"/>
        <w:smallCaps w:val="0"/>
        <w:strike w:val="0"/>
        <w:color w:val="DE1273"/>
        <w:spacing w:val="0"/>
        <w:w w:val="100"/>
        <w:position w:val="0"/>
        <w:sz w:val="15"/>
        <w:szCs w:val="15"/>
        <w:u w:val="none"/>
        <w:shd w:val="clear" w:color="auto" w:fill="auto"/>
        <w:lang w:val="cs-CZ" w:eastAsia="cs-CZ" w:bidi="cs-CZ"/>
      </w:rPr>
    </w:lvl>
    <w:lvl w:ilvl="1">
      <w:start w:val="1"/>
      <w:numFmt w:val="decimal"/>
      <w:lvlText w:val="%1.%2"/>
      <w:lvlJc w:val="left"/>
      <w:rPr>
        <w:rFonts w:ascii="Arial" w:eastAsia="Arial" w:hAnsi="Arial" w:cs="Arial"/>
        <w:b/>
        <w:bCs/>
        <w:i w:val="0"/>
        <w:iCs w:val="0"/>
        <w:smallCaps w:val="0"/>
        <w:strike w:val="0"/>
        <w:color w:val="231F20"/>
        <w:spacing w:val="0"/>
        <w:w w:val="100"/>
        <w:position w:val="0"/>
        <w:sz w:val="15"/>
        <w:szCs w:val="15"/>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407CE1"/>
    <w:multiLevelType w:val="multilevel"/>
    <w:tmpl w:val="3CB415D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9"/>
  </w:num>
  <w:num w:numId="3">
    <w:abstractNumId w:val="10"/>
  </w:num>
  <w:num w:numId="4">
    <w:abstractNumId w:val="43"/>
  </w:num>
  <w:num w:numId="5">
    <w:abstractNumId w:val="8"/>
  </w:num>
  <w:num w:numId="6">
    <w:abstractNumId w:val="40"/>
  </w:num>
  <w:num w:numId="7">
    <w:abstractNumId w:val="37"/>
  </w:num>
  <w:num w:numId="8">
    <w:abstractNumId w:val="3"/>
  </w:num>
  <w:num w:numId="9">
    <w:abstractNumId w:val="25"/>
  </w:num>
  <w:num w:numId="10">
    <w:abstractNumId w:val="11"/>
  </w:num>
  <w:num w:numId="11">
    <w:abstractNumId w:val="31"/>
  </w:num>
  <w:num w:numId="12">
    <w:abstractNumId w:val="2"/>
  </w:num>
  <w:num w:numId="13">
    <w:abstractNumId w:val="44"/>
  </w:num>
  <w:num w:numId="14">
    <w:abstractNumId w:val="16"/>
  </w:num>
  <w:num w:numId="15">
    <w:abstractNumId w:val="18"/>
  </w:num>
  <w:num w:numId="16">
    <w:abstractNumId w:val="19"/>
  </w:num>
  <w:num w:numId="17">
    <w:abstractNumId w:val="42"/>
  </w:num>
  <w:num w:numId="18">
    <w:abstractNumId w:val="33"/>
  </w:num>
  <w:num w:numId="19">
    <w:abstractNumId w:val="12"/>
  </w:num>
  <w:num w:numId="20">
    <w:abstractNumId w:val="22"/>
  </w:num>
  <w:num w:numId="21">
    <w:abstractNumId w:val="7"/>
  </w:num>
  <w:num w:numId="22">
    <w:abstractNumId w:val="0"/>
  </w:num>
  <w:num w:numId="23">
    <w:abstractNumId w:val="26"/>
  </w:num>
  <w:num w:numId="24">
    <w:abstractNumId w:val="36"/>
  </w:num>
  <w:num w:numId="25">
    <w:abstractNumId w:val="32"/>
  </w:num>
  <w:num w:numId="26">
    <w:abstractNumId w:val="28"/>
  </w:num>
  <w:num w:numId="27">
    <w:abstractNumId w:val="23"/>
  </w:num>
  <w:num w:numId="28">
    <w:abstractNumId w:val="34"/>
  </w:num>
  <w:num w:numId="29">
    <w:abstractNumId w:val="38"/>
  </w:num>
  <w:num w:numId="30">
    <w:abstractNumId w:val="27"/>
  </w:num>
  <w:num w:numId="31">
    <w:abstractNumId w:val="30"/>
  </w:num>
  <w:num w:numId="32">
    <w:abstractNumId w:val="13"/>
  </w:num>
  <w:num w:numId="33">
    <w:abstractNumId w:val="6"/>
  </w:num>
  <w:num w:numId="34">
    <w:abstractNumId w:val="15"/>
  </w:num>
  <w:num w:numId="35">
    <w:abstractNumId w:val="45"/>
  </w:num>
  <w:num w:numId="36">
    <w:abstractNumId w:val="17"/>
  </w:num>
  <w:num w:numId="37">
    <w:abstractNumId w:val="4"/>
  </w:num>
  <w:num w:numId="38">
    <w:abstractNumId w:val="24"/>
  </w:num>
  <w:num w:numId="39">
    <w:abstractNumId w:val="1"/>
  </w:num>
  <w:num w:numId="40">
    <w:abstractNumId w:val="14"/>
  </w:num>
  <w:num w:numId="41">
    <w:abstractNumId w:val="5"/>
  </w:num>
  <w:num w:numId="42">
    <w:abstractNumId w:val="41"/>
  </w:num>
  <w:num w:numId="43">
    <w:abstractNumId w:val="29"/>
  </w:num>
  <w:num w:numId="44">
    <w:abstractNumId w:val="20"/>
  </w:num>
  <w:num w:numId="45">
    <w:abstractNumId w:val="35"/>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B20"/>
    <w:rsid w:val="00215B20"/>
    <w:rsid w:val="00920265"/>
    <w:rsid w:val="00FD0A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AF035"/>
  <w15:docId w15:val="{11FEC55A-84A2-489A-8919-98B0BED4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color w:val="444444"/>
      <w:sz w:val="10"/>
      <w:szCs w:val="10"/>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3">
    <w:name w:val="Základní text (3)_"/>
    <w:basedOn w:val="Standardnpsmoodstavce"/>
    <w:link w:val="Zkladntext30"/>
    <w:rPr>
      <w:rFonts w:ascii="Calibri" w:eastAsia="Calibri" w:hAnsi="Calibri" w:cs="Calibri"/>
      <w:b w:val="0"/>
      <w:bCs w:val="0"/>
      <w:i w:val="0"/>
      <w:iCs w:val="0"/>
      <w:smallCaps w:val="0"/>
      <w:strike w:val="0"/>
      <w:color w:val="231F20"/>
      <w:sz w:val="22"/>
      <w:szCs w:val="22"/>
      <w:u w:val="none"/>
    </w:rPr>
  </w:style>
  <w:style w:type="character" w:customStyle="1" w:styleId="Zkladntext5">
    <w:name w:val="Základní text (5)_"/>
    <w:basedOn w:val="Standardnpsmoodstavce"/>
    <w:link w:val="Zkladntext50"/>
    <w:rPr>
      <w:rFonts w:ascii="Arial" w:eastAsia="Arial" w:hAnsi="Arial" w:cs="Arial"/>
      <w:b w:val="0"/>
      <w:bCs w:val="0"/>
      <w:i/>
      <w:iCs/>
      <w:smallCaps w:val="0"/>
      <w:strike w:val="0"/>
      <w:color w:val="231F20"/>
      <w:sz w:val="20"/>
      <w:szCs w:val="20"/>
      <w:u w:val="none"/>
    </w:rPr>
  </w:style>
  <w:style w:type="character" w:customStyle="1" w:styleId="Jin">
    <w:name w:val="Jiné_"/>
    <w:basedOn w:val="Standardnpsmoodstavce"/>
    <w:link w:val="Jin0"/>
    <w:rPr>
      <w:rFonts w:ascii="Arial" w:eastAsia="Arial" w:hAnsi="Arial" w:cs="Arial"/>
      <w:b w:val="0"/>
      <w:bCs w:val="0"/>
      <w:i w:val="0"/>
      <w:iCs w:val="0"/>
      <w:smallCaps w:val="0"/>
      <w:strike w:val="0"/>
      <w:color w:val="231F20"/>
      <w:sz w:val="15"/>
      <w:szCs w:val="15"/>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color w:val="231F20"/>
      <w:sz w:val="15"/>
      <w:szCs w:val="15"/>
      <w:u w:val="none"/>
    </w:rPr>
  </w:style>
  <w:style w:type="character" w:customStyle="1" w:styleId="Zkladntext">
    <w:name w:val="Základní text_"/>
    <w:basedOn w:val="Standardnpsmoodstavce"/>
    <w:link w:val="Zkladntext1"/>
    <w:rPr>
      <w:rFonts w:ascii="Arial" w:eastAsia="Arial" w:hAnsi="Arial" w:cs="Arial"/>
      <w:b w:val="0"/>
      <w:bCs w:val="0"/>
      <w:i w:val="0"/>
      <w:iCs w:val="0"/>
      <w:smallCaps w:val="0"/>
      <w:strike w:val="0"/>
      <w:color w:val="231F20"/>
      <w:sz w:val="15"/>
      <w:szCs w:val="15"/>
      <w:u w:val="none"/>
    </w:rPr>
  </w:style>
  <w:style w:type="character" w:customStyle="1" w:styleId="Nadpis6">
    <w:name w:val="Nadpis #6_"/>
    <w:basedOn w:val="Standardnpsmoodstavce"/>
    <w:link w:val="Nadpis60"/>
    <w:rPr>
      <w:rFonts w:ascii="Arial" w:eastAsia="Arial" w:hAnsi="Arial" w:cs="Arial"/>
      <w:b/>
      <w:bCs/>
      <w:i w:val="0"/>
      <w:iCs w:val="0"/>
      <w:smallCaps w:val="0"/>
      <w:strike w:val="0"/>
      <w:color w:val="DE1273"/>
      <w:sz w:val="15"/>
      <w:szCs w:val="15"/>
      <w:u w:val="none"/>
    </w:rPr>
  </w:style>
  <w:style w:type="character" w:customStyle="1" w:styleId="Zkladntext4">
    <w:name w:val="Základní text (4)_"/>
    <w:basedOn w:val="Standardnpsmoodstavce"/>
    <w:link w:val="Zkladntext40"/>
    <w:rPr>
      <w:rFonts w:ascii="Arial" w:eastAsia="Arial" w:hAnsi="Arial" w:cs="Arial"/>
      <w:b w:val="0"/>
      <w:bCs w:val="0"/>
      <w:i w:val="0"/>
      <w:iCs w:val="0"/>
      <w:smallCaps w:val="0"/>
      <w:strike w:val="0"/>
      <w:color w:val="231F20"/>
      <w:sz w:val="10"/>
      <w:szCs w:val="10"/>
      <w:u w:val="none"/>
      <w:lang w:val="en-US" w:eastAsia="en-US" w:bidi="en-US"/>
    </w:rPr>
  </w:style>
  <w:style w:type="character" w:customStyle="1" w:styleId="Nadpis2">
    <w:name w:val="Nadpis #2_"/>
    <w:basedOn w:val="Standardnpsmoodstavce"/>
    <w:link w:val="Nadpis20"/>
    <w:rPr>
      <w:rFonts w:ascii="Verdana" w:eastAsia="Verdana" w:hAnsi="Verdana" w:cs="Verdana"/>
      <w:b/>
      <w:bCs/>
      <w:i w:val="0"/>
      <w:iCs w:val="0"/>
      <w:smallCaps w:val="0"/>
      <w:strike w:val="0"/>
      <w:color w:val="DE1273"/>
      <w:sz w:val="36"/>
      <w:szCs w:val="36"/>
      <w:u w:val="none"/>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color w:val="231F20"/>
      <w:sz w:val="13"/>
      <w:szCs w:val="13"/>
      <w:u w:val="none"/>
    </w:rPr>
  </w:style>
  <w:style w:type="character" w:customStyle="1" w:styleId="Nadpis3">
    <w:name w:val="Nadpis #3_"/>
    <w:basedOn w:val="Standardnpsmoodstavce"/>
    <w:link w:val="Nadpis30"/>
    <w:rPr>
      <w:rFonts w:ascii="Arial" w:eastAsia="Arial" w:hAnsi="Arial" w:cs="Arial"/>
      <w:b/>
      <w:bCs/>
      <w:i w:val="0"/>
      <w:iCs w:val="0"/>
      <w:smallCaps w:val="0"/>
      <w:strike w:val="0"/>
      <w:color w:val="DE1273"/>
      <w:sz w:val="36"/>
      <w:szCs w:val="36"/>
      <w:u w:val="none"/>
    </w:rPr>
  </w:style>
  <w:style w:type="character" w:customStyle="1" w:styleId="Nadpis5">
    <w:name w:val="Nadpis #5_"/>
    <w:basedOn w:val="Standardnpsmoodstavce"/>
    <w:link w:val="Nadpis50"/>
    <w:rPr>
      <w:rFonts w:ascii="Calibri" w:eastAsia="Calibri" w:hAnsi="Calibri" w:cs="Calibri"/>
      <w:b w:val="0"/>
      <w:bCs w:val="0"/>
      <w:i w:val="0"/>
      <w:iCs w:val="0"/>
      <w:smallCaps w:val="0"/>
      <w:strike w:val="0"/>
      <w:color w:val="231F20"/>
      <w:sz w:val="17"/>
      <w:szCs w:val="17"/>
      <w:u w:val="none"/>
    </w:rPr>
  </w:style>
  <w:style w:type="character" w:customStyle="1" w:styleId="Zkladntext9">
    <w:name w:val="Základní text (9)_"/>
    <w:basedOn w:val="Standardnpsmoodstavce"/>
    <w:link w:val="Zkladntext90"/>
    <w:rPr>
      <w:rFonts w:ascii="Arial" w:eastAsia="Arial" w:hAnsi="Arial" w:cs="Arial"/>
      <w:b/>
      <w:bCs/>
      <w:i w:val="0"/>
      <w:iCs w:val="0"/>
      <w:smallCaps w:val="0"/>
      <w:strike w:val="0"/>
      <w:color w:val="EBEBEB"/>
      <w:sz w:val="9"/>
      <w:szCs w:val="9"/>
      <w:u w:val="none"/>
      <w:lang w:val="en-US" w:eastAsia="en-US" w:bidi="en-US"/>
    </w:rPr>
  </w:style>
  <w:style w:type="character" w:customStyle="1" w:styleId="Zkladntext8">
    <w:name w:val="Základní text (8)_"/>
    <w:basedOn w:val="Standardnpsmoodstavce"/>
    <w:link w:val="Zkladntext80"/>
    <w:rPr>
      <w:rFonts w:ascii="Arial" w:eastAsia="Arial" w:hAnsi="Arial" w:cs="Arial"/>
      <w:b w:val="0"/>
      <w:bCs w:val="0"/>
      <w:i w:val="0"/>
      <w:iCs w:val="0"/>
      <w:smallCaps w:val="0"/>
      <w:strike w:val="0"/>
      <w:color w:val="231F20"/>
      <w:sz w:val="8"/>
      <w:szCs w:val="8"/>
      <w:u w:val="none"/>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color w:val="231F20"/>
      <w:sz w:val="13"/>
      <w:szCs w:val="13"/>
      <w:u w:val="none"/>
    </w:rPr>
  </w:style>
  <w:style w:type="character" w:customStyle="1" w:styleId="Nadpis4">
    <w:name w:val="Nadpis #4_"/>
    <w:basedOn w:val="Standardnpsmoodstavce"/>
    <w:link w:val="Nadpis40"/>
    <w:rPr>
      <w:rFonts w:ascii="Arial" w:eastAsia="Arial" w:hAnsi="Arial" w:cs="Arial"/>
      <w:b/>
      <w:bCs/>
      <w:i w:val="0"/>
      <w:iCs w:val="0"/>
      <w:smallCaps w:val="0"/>
      <w:strike w:val="0"/>
      <w:color w:val="E4087E"/>
      <w:sz w:val="28"/>
      <w:szCs w:val="28"/>
      <w:u w:val="none"/>
    </w:rPr>
  </w:style>
  <w:style w:type="character" w:customStyle="1" w:styleId="Nadpis1">
    <w:name w:val="Nadpis #1_"/>
    <w:basedOn w:val="Standardnpsmoodstavce"/>
    <w:link w:val="Nadpis10"/>
    <w:rPr>
      <w:rFonts w:ascii="Times New Roman" w:eastAsia="Times New Roman" w:hAnsi="Times New Roman" w:cs="Times New Roman"/>
      <w:b w:val="0"/>
      <w:bCs w:val="0"/>
      <w:i w:val="0"/>
      <w:iCs w:val="0"/>
      <w:smallCaps w:val="0"/>
      <w:strike w:val="0"/>
      <w:color w:val="D24564"/>
      <w:sz w:val="100"/>
      <w:szCs w:val="100"/>
      <w:u w:val="none"/>
    </w:rPr>
  </w:style>
  <w:style w:type="paragraph" w:customStyle="1" w:styleId="Titulekobrzku0">
    <w:name w:val="Titulek obrázku"/>
    <w:basedOn w:val="Normln"/>
    <w:link w:val="Titulekobrzku"/>
    <w:pPr>
      <w:shd w:val="clear" w:color="auto" w:fill="FFFFFF"/>
      <w:spacing w:line="288" w:lineRule="auto"/>
      <w:ind w:firstLine="40"/>
    </w:pPr>
    <w:rPr>
      <w:rFonts w:ascii="Arial" w:eastAsia="Arial" w:hAnsi="Arial" w:cs="Arial"/>
      <w:color w:val="444444"/>
      <w:sz w:val="10"/>
      <w:szCs w:val="10"/>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Zkladntext30">
    <w:name w:val="Základní text (3)"/>
    <w:basedOn w:val="Normln"/>
    <w:link w:val="Zkladntext3"/>
    <w:pPr>
      <w:shd w:val="clear" w:color="auto" w:fill="FFFFFF"/>
    </w:pPr>
    <w:rPr>
      <w:rFonts w:ascii="Calibri" w:eastAsia="Calibri" w:hAnsi="Calibri" w:cs="Calibri"/>
      <w:color w:val="231F20"/>
      <w:sz w:val="22"/>
      <w:szCs w:val="22"/>
    </w:rPr>
  </w:style>
  <w:style w:type="paragraph" w:customStyle="1" w:styleId="Zkladntext50">
    <w:name w:val="Základní text (5)"/>
    <w:basedOn w:val="Normln"/>
    <w:link w:val="Zkladntext5"/>
    <w:pPr>
      <w:shd w:val="clear" w:color="auto" w:fill="FFFFFF"/>
      <w:spacing w:after="280"/>
      <w:ind w:left="3410" w:firstLine="240"/>
    </w:pPr>
    <w:rPr>
      <w:rFonts w:ascii="Arial" w:eastAsia="Arial" w:hAnsi="Arial" w:cs="Arial"/>
      <w:i/>
      <w:iCs/>
      <w:color w:val="231F20"/>
      <w:sz w:val="20"/>
      <w:szCs w:val="20"/>
    </w:rPr>
  </w:style>
  <w:style w:type="paragraph" w:customStyle="1" w:styleId="Jin0">
    <w:name w:val="Jiné"/>
    <w:basedOn w:val="Normln"/>
    <w:link w:val="Jin"/>
    <w:pPr>
      <w:shd w:val="clear" w:color="auto" w:fill="FFFFFF"/>
      <w:spacing w:after="60" w:line="257" w:lineRule="auto"/>
    </w:pPr>
    <w:rPr>
      <w:rFonts w:ascii="Arial" w:eastAsia="Arial" w:hAnsi="Arial" w:cs="Arial"/>
      <w:color w:val="231F20"/>
      <w:sz w:val="15"/>
      <w:szCs w:val="15"/>
    </w:rPr>
  </w:style>
  <w:style w:type="paragraph" w:customStyle="1" w:styleId="Titulektabulky0">
    <w:name w:val="Titulek tabulky"/>
    <w:basedOn w:val="Normln"/>
    <w:link w:val="Titulektabulky"/>
    <w:pPr>
      <w:shd w:val="clear" w:color="auto" w:fill="FFFFFF"/>
    </w:pPr>
    <w:rPr>
      <w:rFonts w:ascii="Arial" w:eastAsia="Arial" w:hAnsi="Arial" w:cs="Arial"/>
      <w:color w:val="231F20"/>
      <w:sz w:val="15"/>
      <w:szCs w:val="15"/>
    </w:rPr>
  </w:style>
  <w:style w:type="paragraph" w:customStyle="1" w:styleId="Zkladntext1">
    <w:name w:val="Základní text1"/>
    <w:basedOn w:val="Normln"/>
    <w:link w:val="Zkladntext"/>
    <w:pPr>
      <w:shd w:val="clear" w:color="auto" w:fill="FFFFFF"/>
      <w:spacing w:after="60" w:line="257" w:lineRule="auto"/>
    </w:pPr>
    <w:rPr>
      <w:rFonts w:ascii="Arial" w:eastAsia="Arial" w:hAnsi="Arial" w:cs="Arial"/>
      <w:color w:val="231F20"/>
      <w:sz w:val="15"/>
      <w:szCs w:val="15"/>
    </w:rPr>
  </w:style>
  <w:style w:type="paragraph" w:customStyle="1" w:styleId="Nadpis60">
    <w:name w:val="Nadpis #6"/>
    <w:basedOn w:val="Normln"/>
    <w:link w:val="Nadpis6"/>
    <w:pPr>
      <w:shd w:val="clear" w:color="auto" w:fill="FFFFFF"/>
      <w:spacing w:after="60" w:line="254" w:lineRule="auto"/>
      <w:outlineLvl w:val="5"/>
    </w:pPr>
    <w:rPr>
      <w:rFonts w:ascii="Arial" w:eastAsia="Arial" w:hAnsi="Arial" w:cs="Arial"/>
      <w:b/>
      <w:bCs/>
      <w:color w:val="DE1273"/>
      <w:sz w:val="15"/>
      <w:szCs w:val="15"/>
    </w:rPr>
  </w:style>
  <w:style w:type="paragraph" w:customStyle="1" w:styleId="Zkladntext40">
    <w:name w:val="Základní text (4)"/>
    <w:basedOn w:val="Normln"/>
    <w:link w:val="Zkladntext4"/>
    <w:pPr>
      <w:shd w:val="clear" w:color="auto" w:fill="FFFFFF"/>
      <w:spacing w:after="50"/>
      <w:ind w:left="2800"/>
    </w:pPr>
    <w:rPr>
      <w:rFonts w:ascii="Arial" w:eastAsia="Arial" w:hAnsi="Arial" w:cs="Arial"/>
      <w:color w:val="231F20"/>
      <w:sz w:val="10"/>
      <w:szCs w:val="10"/>
      <w:lang w:val="en-US" w:eastAsia="en-US" w:bidi="en-US"/>
    </w:rPr>
  </w:style>
  <w:style w:type="paragraph" w:customStyle="1" w:styleId="Nadpis20">
    <w:name w:val="Nadpis #2"/>
    <w:basedOn w:val="Normln"/>
    <w:link w:val="Nadpis2"/>
    <w:pPr>
      <w:shd w:val="clear" w:color="auto" w:fill="FFFFFF"/>
      <w:spacing w:after="60"/>
      <w:outlineLvl w:val="1"/>
    </w:pPr>
    <w:rPr>
      <w:rFonts w:ascii="Verdana" w:eastAsia="Verdana" w:hAnsi="Verdana" w:cs="Verdana"/>
      <w:b/>
      <w:bCs/>
      <w:color w:val="DE1273"/>
      <w:sz w:val="36"/>
      <w:szCs w:val="36"/>
    </w:rPr>
  </w:style>
  <w:style w:type="paragraph" w:customStyle="1" w:styleId="Zkladntext20">
    <w:name w:val="Základní text (2)"/>
    <w:basedOn w:val="Normln"/>
    <w:link w:val="Zkladntext2"/>
    <w:pPr>
      <w:shd w:val="clear" w:color="auto" w:fill="FFFFFF"/>
      <w:spacing w:after="150" w:line="386" w:lineRule="auto"/>
    </w:pPr>
    <w:rPr>
      <w:rFonts w:ascii="Arial" w:eastAsia="Arial" w:hAnsi="Arial" w:cs="Arial"/>
      <w:color w:val="231F20"/>
      <w:sz w:val="13"/>
      <w:szCs w:val="13"/>
    </w:rPr>
  </w:style>
  <w:style w:type="paragraph" w:customStyle="1" w:styleId="Nadpis30">
    <w:name w:val="Nadpis #3"/>
    <w:basedOn w:val="Normln"/>
    <w:link w:val="Nadpis3"/>
    <w:pPr>
      <w:shd w:val="clear" w:color="auto" w:fill="FFFFFF"/>
      <w:spacing w:after="80"/>
      <w:outlineLvl w:val="2"/>
    </w:pPr>
    <w:rPr>
      <w:rFonts w:ascii="Arial" w:eastAsia="Arial" w:hAnsi="Arial" w:cs="Arial"/>
      <w:b/>
      <w:bCs/>
      <w:color w:val="DE1273"/>
      <w:sz w:val="36"/>
      <w:szCs w:val="36"/>
    </w:rPr>
  </w:style>
  <w:style w:type="paragraph" w:customStyle="1" w:styleId="Nadpis50">
    <w:name w:val="Nadpis #5"/>
    <w:basedOn w:val="Normln"/>
    <w:link w:val="Nadpis5"/>
    <w:pPr>
      <w:shd w:val="clear" w:color="auto" w:fill="FFFFFF"/>
      <w:spacing w:after="80"/>
      <w:outlineLvl w:val="4"/>
    </w:pPr>
    <w:rPr>
      <w:rFonts w:ascii="Calibri" w:eastAsia="Calibri" w:hAnsi="Calibri" w:cs="Calibri"/>
      <w:color w:val="231F20"/>
      <w:sz w:val="17"/>
      <w:szCs w:val="17"/>
    </w:rPr>
  </w:style>
  <w:style w:type="paragraph" w:customStyle="1" w:styleId="Zkladntext90">
    <w:name w:val="Základní text (9)"/>
    <w:basedOn w:val="Normln"/>
    <w:link w:val="Zkladntext9"/>
    <w:pPr>
      <w:shd w:val="clear" w:color="auto" w:fill="FFFFFF"/>
    </w:pPr>
    <w:rPr>
      <w:rFonts w:ascii="Arial" w:eastAsia="Arial" w:hAnsi="Arial" w:cs="Arial"/>
      <w:b/>
      <w:bCs/>
      <w:color w:val="EBEBEB"/>
      <w:sz w:val="9"/>
      <w:szCs w:val="9"/>
      <w:lang w:val="en-US" w:eastAsia="en-US" w:bidi="en-US"/>
    </w:rPr>
  </w:style>
  <w:style w:type="paragraph" w:customStyle="1" w:styleId="Zkladntext80">
    <w:name w:val="Základní text (8)"/>
    <w:basedOn w:val="Normln"/>
    <w:link w:val="Zkladntext8"/>
    <w:pPr>
      <w:shd w:val="clear" w:color="auto" w:fill="FFFFFF"/>
    </w:pPr>
    <w:rPr>
      <w:rFonts w:ascii="Arial" w:eastAsia="Arial" w:hAnsi="Arial" w:cs="Arial"/>
      <w:color w:val="231F20"/>
      <w:sz w:val="8"/>
      <w:szCs w:val="8"/>
    </w:rPr>
  </w:style>
  <w:style w:type="paragraph" w:customStyle="1" w:styleId="Zhlavnebozpat0">
    <w:name w:val="Záhlaví nebo zápatí"/>
    <w:basedOn w:val="Normln"/>
    <w:link w:val="Zhlavnebozpat"/>
    <w:pPr>
      <w:shd w:val="clear" w:color="auto" w:fill="FFFFFF"/>
    </w:pPr>
    <w:rPr>
      <w:rFonts w:ascii="Arial" w:eastAsia="Arial" w:hAnsi="Arial" w:cs="Arial"/>
      <w:color w:val="231F20"/>
      <w:sz w:val="13"/>
      <w:szCs w:val="13"/>
    </w:rPr>
  </w:style>
  <w:style w:type="paragraph" w:customStyle="1" w:styleId="Nadpis40">
    <w:name w:val="Nadpis #4"/>
    <w:basedOn w:val="Normln"/>
    <w:link w:val="Nadpis4"/>
    <w:pPr>
      <w:shd w:val="clear" w:color="auto" w:fill="FFFFFF"/>
      <w:spacing w:after="50"/>
      <w:outlineLvl w:val="3"/>
    </w:pPr>
    <w:rPr>
      <w:rFonts w:ascii="Arial" w:eastAsia="Arial" w:hAnsi="Arial" w:cs="Arial"/>
      <w:b/>
      <w:bCs/>
      <w:color w:val="E4087E"/>
      <w:sz w:val="28"/>
      <w:szCs w:val="28"/>
    </w:rPr>
  </w:style>
  <w:style w:type="paragraph" w:customStyle="1" w:styleId="Nadpis10">
    <w:name w:val="Nadpis #1"/>
    <w:basedOn w:val="Normln"/>
    <w:link w:val="Nadpis1"/>
    <w:pPr>
      <w:shd w:val="clear" w:color="auto" w:fill="FFFFFF"/>
      <w:spacing w:after="300"/>
      <w:ind w:left="1680"/>
      <w:outlineLvl w:val="0"/>
    </w:pPr>
    <w:rPr>
      <w:rFonts w:ascii="Times New Roman" w:eastAsia="Times New Roman" w:hAnsi="Times New Roman" w:cs="Times New Roman"/>
      <w:color w:val="D24564"/>
      <w:sz w:val="100"/>
      <w:szCs w:val="100"/>
    </w:rPr>
  </w:style>
  <w:style w:type="character" w:styleId="Hypertextovodkaz">
    <w:name w:val="Hyperlink"/>
    <w:basedOn w:val="Standardnpsmoodstavce"/>
    <w:uiPriority w:val="99"/>
    <w:unhideWhenUsed/>
    <w:rsid w:val="009202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t-mobile.cz" TargetMode="External"/><Relationship Id="rId117" Type="http://schemas.openxmlformats.org/officeDocument/2006/relationships/hyperlink" Target="http://www.t-mobile.cz" TargetMode="External"/><Relationship Id="rId21" Type="http://schemas.openxmlformats.org/officeDocument/2006/relationships/hyperlink" Target="mailto:business@t-mobile.cz" TargetMode="External"/><Relationship Id="rId42" Type="http://schemas.openxmlformats.org/officeDocument/2006/relationships/image" Target="media/image8.jpeg"/><Relationship Id="rId47" Type="http://schemas.openxmlformats.org/officeDocument/2006/relationships/header" Target="header16.xml"/><Relationship Id="rId63" Type="http://schemas.openxmlformats.org/officeDocument/2006/relationships/image" Target="media/image9.jpeg"/><Relationship Id="rId68" Type="http://schemas.openxmlformats.org/officeDocument/2006/relationships/image" Target="media/image10.jpeg"/><Relationship Id="rId84" Type="http://schemas.openxmlformats.org/officeDocument/2006/relationships/image" Target="media/image15.jpeg"/><Relationship Id="rId89" Type="http://schemas.openxmlformats.org/officeDocument/2006/relationships/image" Target="media/image21.jpeg"/><Relationship Id="rId112" Type="http://schemas.openxmlformats.org/officeDocument/2006/relationships/footer" Target="footer29.xml"/><Relationship Id="rId133" Type="http://schemas.openxmlformats.org/officeDocument/2006/relationships/hyperlink" Target="http://www.solus.cz" TargetMode="External"/><Relationship Id="rId138" Type="http://schemas.openxmlformats.org/officeDocument/2006/relationships/footer" Target="footer35.xml"/><Relationship Id="rId154" Type="http://schemas.openxmlformats.org/officeDocument/2006/relationships/footer" Target="footer40.xml"/><Relationship Id="rId159" Type="http://schemas.openxmlformats.org/officeDocument/2006/relationships/footer" Target="footer43.xml"/><Relationship Id="rId16" Type="http://schemas.openxmlformats.org/officeDocument/2006/relationships/hyperlink" Target="http://www.t-mobile.cz" TargetMode="External"/><Relationship Id="rId107" Type="http://schemas.openxmlformats.org/officeDocument/2006/relationships/image" Target="media/image37.jpeg"/><Relationship Id="rId11" Type="http://schemas.openxmlformats.org/officeDocument/2006/relationships/header" Target="header4.xml"/><Relationship Id="rId32" Type="http://schemas.openxmlformats.org/officeDocument/2006/relationships/header" Target="header9.xml"/><Relationship Id="rId37" Type="http://schemas.openxmlformats.org/officeDocument/2006/relationships/footer" Target="footer5.xml"/><Relationship Id="rId53" Type="http://schemas.openxmlformats.org/officeDocument/2006/relationships/footer" Target="footer12.xml"/><Relationship Id="rId58" Type="http://schemas.openxmlformats.org/officeDocument/2006/relationships/footer" Target="footer15.xml"/><Relationship Id="rId74" Type="http://schemas.openxmlformats.org/officeDocument/2006/relationships/image" Target="media/image13.jpeg"/><Relationship Id="rId79" Type="http://schemas.openxmlformats.org/officeDocument/2006/relationships/header" Target="header30.xml"/><Relationship Id="rId102" Type="http://schemas.openxmlformats.org/officeDocument/2006/relationships/image" Target="media/image32.jpeg"/><Relationship Id="rId123" Type="http://schemas.openxmlformats.org/officeDocument/2006/relationships/header" Target="header38.xml"/><Relationship Id="rId128" Type="http://schemas.openxmlformats.org/officeDocument/2006/relationships/hyperlink" Target="http://www.t-mobile.cz" TargetMode="External"/><Relationship Id="rId144" Type="http://schemas.openxmlformats.org/officeDocument/2006/relationships/footer" Target="footer36.xml"/><Relationship Id="rId149" Type="http://schemas.openxmlformats.org/officeDocument/2006/relationships/footer" Target="footer38.xml"/><Relationship Id="rId5" Type="http://schemas.openxmlformats.org/officeDocument/2006/relationships/footnotes" Target="footnotes.xml"/><Relationship Id="rId90" Type="http://schemas.openxmlformats.org/officeDocument/2006/relationships/image" Target="media/image22.jpeg"/><Relationship Id="rId95" Type="http://schemas.openxmlformats.org/officeDocument/2006/relationships/footer" Target="footer26.xml"/><Relationship Id="rId160" Type="http://schemas.openxmlformats.org/officeDocument/2006/relationships/fontTable" Target="fontTable.xml"/><Relationship Id="rId22" Type="http://schemas.openxmlformats.org/officeDocument/2006/relationships/hyperlink" Target="http://www.ctu.cz" TargetMode="External"/><Relationship Id="rId27" Type="http://schemas.openxmlformats.org/officeDocument/2006/relationships/hyperlink" Target="http://www.t-mobile.cz/podpora" TargetMode="External"/><Relationship Id="rId43" Type="http://schemas.openxmlformats.org/officeDocument/2006/relationships/header" Target="header14.xml"/><Relationship Id="rId48" Type="http://schemas.openxmlformats.org/officeDocument/2006/relationships/header" Target="header17.xml"/><Relationship Id="rId64" Type="http://schemas.openxmlformats.org/officeDocument/2006/relationships/header" Target="header24.xml"/><Relationship Id="rId69" Type="http://schemas.openxmlformats.org/officeDocument/2006/relationships/image" Target="media/image11.jpeg"/><Relationship Id="rId113" Type="http://schemas.openxmlformats.org/officeDocument/2006/relationships/header" Target="header36.xml"/><Relationship Id="rId118" Type="http://schemas.openxmlformats.org/officeDocument/2006/relationships/hyperlink" Target="http://www.t-mobile.cz" TargetMode="External"/><Relationship Id="rId134" Type="http://schemas.openxmlformats.org/officeDocument/2006/relationships/hyperlink" Target="https://www.t-mobile.cz/ochrana-udaju/zasady-ochrany-osobnich-udaju" TargetMode="External"/><Relationship Id="rId139" Type="http://schemas.openxmlformats.org/officeDocument/2006/relationships/hyperlink" Target="http://www.t-mobile.cz" TargetMode="External"/><Relationship Id="rId80" Type="http://schemas.openxmlformats.org/officeDocument/2006/relationships/header" Target="header31.xml"/><Relationship Id="rId85" Type="http://schemas.openxmlformats.org/officeDocument/2006/relationships/image" Target="media/image16.jpeg"/><Relationship Id="rId150" Type="http://schemas.openxmlformats.org/officeDocument/2006/relationships/footer" Target="footer39.xml"/><Relationship Id="rId155" Type="http://schemas.openxmlformats.org/officeDocument/2006/relationships/footer" Target="footer41.xml"/><Relationship Id="rId12" Type="http://schemas.openxmlformats.org/officeDocument/2006/relationships/image" Target="media/image2.jpeg"/><Relationship Id="rId17" Type="http://schemas.openxmlformats.org/officeDocument/2006/relationships/hyperlink" Target="https://www.t-mobile.cz/primylink" TargetMode="External"/><Relationship Id="rId33" Type="http://schemas.openxmlformats.org/officeDocument/2006/relationships/footer" Target="footer3.xml"/><Relationship Id="rId38" Type="http://schemas.openxmlformats.org/officeDocument/2006/relationships/header" Target="header12.xml"/><Relationship Id="rId59" Type="http://schemas.openxmlformats.org/officeDocument/2006/relationships/header" Target="header22.xml"/><Relationship Id="rId103" Type="http://schemas.openxmlformats.org/officeDocument/2006/relationships/image" Target="media/image33.jpeg"/><Relationship Id="rId108" Type="http://schemas.openxmlformats.org/officeDocument/2006/relationships/image" Target="media/image38.jpeg"/><Relationship Id="rId124" Type="http://schemas.openxmlformats.org/officeDocument/2006/relationships/header" Target="header39.xml"/><Relationship Id="rId129" Type="http://schemas.openxmlformats.org/officeDocument/2006/relationships/hyperlink" Target="http://www.t-mobile.cz/kontakty" TargetMode="External"/><Relationship Id="rId20" Type="http://schemas.openxmlformats.org/officeDocument/2006/relationships/image" Target="media/image6.jpeg"/><Relationship Id="rId41" Type="http://schemas.openxmlformats.org/officeDocument/2006/relationships/footer" Target="footer7.xml"/><Relationship Id="rId54" Type="http://schemas.openxmlformats.org/officeDocument/2006/relationships/footer" Target="footer13.xml"/><Relationship Id="rId62" Type="http://schemas.openxmlformats.org/officeDocument/2006/relationships/footer" Target="footer17.xml"/><Relationship Id="rId70" Type="http://schemas.openxmlformats.org/officeDocument/2006/relationships/header" Target="header26.xml"/><Relationship Id="rId75" Type="http://schemas.openxmlformats.org/officeDocument/2006/relationships/header" Target="header28.xml"/><Relationship Id="rId83" Type="http://schemas.openxmlformats.org/officeDocument/2006/relationships/image" Target="media/image14.jpeg"/><Relationship Id="rId88" Type="http://schemas.openxmlformats.org/officeDocument/2006/relationships/image" Target="media/image20.jpeg"/><Relationship Id="rId91" Type="http://schemas.openxmlformats.org/officeDocument/2006/relationships/image" Target="media/image23.jpeg"/><Relationship Id="rId96" Type="http://schemas.openxmlformats.org/officeDocument/2006/relationships/footer" Target="footer27.xml"/><Relationship Id="rId111" Type="http://schemas.openxmlformats.org/officeDocument/2006/relationships/footer" Target="footer28.xml"/><Relationship Id="rId132" Type="http://schemas.openxmlformats.org/officeDocument/2006/relationships/hyperlink" Target="https://www.t-mobile.cz/ochrana-udaju/zasa-dy-ochrany-osobnich-udaju" TargetMode="External"/><Relationship Id="rId140" Type="http://schemas.openxmlformats.org/officeDocument/2006/relationships/hyperlink" Target="http://www.t-mobile.cz" TargetMode="External"/><Relationship Id="rId145" Type="http://schemas.openxmlformats.org/officeDocument/2006/relationships/footer" Target="footer37.xml"/><Relationship Id="rId153" Type="http://schemas.openxmlformats.org/officeDocument/2006/relationships/header" Target="header47.xm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www.t-mobile.cz/ochrana-udaju/zasady-ochrany-osobnich-udaju" TargetMode="External"/><Relationship Id="rId28" Type="http://schemas.openxmlformats.org/officeDocument/2006/relationships/header" Target="header7.xml"/><Relationship Id="rId36" Type="http://schemas.openxmlformats.org/officeDocument/2006/relationships/footer" Target="footer4.xml"/><Relationship Id="rId49" Type="http://schemas.openxmlformats.org/officeDocument/2006/relationships/footer" Target="footer10.xml"/><Relationship Id="rId57" Type="http://schemas.openxmlformats.org/officeDocument/2006/relationships/footer" Target="footer14.xml"/><Relationship Id="rId106" Type="http://schemas.openxmlformats.org/officeDocument/2006/relationships/image" Target="media/image36.jpeg"/><Relationship Id="rId114" Type="http://schemas.openxmlformats.org/officeDocument/2006/relationships/header" Target="header37.xml"/><Relationship Id="rId119" Type="http://schemas.openxmlformats.org/officeDocument/2006/relationships/hyperlink" Target="https://www.ctu.cz/" TargetMode="External"/><Relationship Id="rId127" Type="http://schemas.openxmlformats.org/officeDocument/2006/relationships/hyperlink" Target="http://www.t-mobile.cz" TargetMode="External"/><Relationship Id="rId10" Type="http://schemas.openxmlformats.org/officeDocument/2006/relationships/header" Target="header3.xml"/><Relationship Id="rId31" Type="http://schemas.openxmlformats.org/officeDocument/2006/relationships/footer" Target="footer2.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header" Target="header25.xml"/><Relationship Id="rId73" Type="http://schemas.openxmlformats.org/officeDocument/2006/relationships/footer" Target="footer21.xml"/><Relationship Id="rId78" Type="http://schemas.openxmlformats.org/officeDocument/2006/relationships/footer" Target="footer23.xml"/><Relationship Id="rId81" Type="http://schemas.openxmlformats.org/officeDocument/2006/relationships/footer" Target="footer24.xml"/><Relationship Id="rId86" Type="http://schemas.openxmlformats.org/officeDocument/2006/relationships/image" Target="media/image18.jpeg"/><Relationship Id="rId94" Type="http://schemas.openxmlformats.org/officeDocument/2006/relationships/header" Target="header33.xml"/><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hyperlink" Target="http://www.t-mobile.cz" TargetMode="External"/><Relationship Id="rId130" Type="http://schemas.openxmlformats.org/officeDocument/2006/relationships/hyperlink" Target="mailto:business@t-mobile.cz" TargetMode="External"/><Relationship Id="rId135" Type="http://schemas.openxmlformats.org/officeDocument/2006/relationships/header" Target="header40.xml"/><Relationship Id="rId143" Type="http://schemas.openxmlformats.org/officeDocument/2006/relationships/header" Target="header43.xml"/><Relationship Id="rId148" Type="http://schemas.openxmlformats.org/officeDocument/2006/relationships/header" Target="header45.xml"/><Relationship Id="rId151" Type="http://schemas.openxmlformats.org/officeDocument/2006/relationships/image" Target="media/image40.jpeg"/><Relationship Id="rId156" Type="http://schemas.openxmlformats.org/officeDocument/2006/relationships/header" Target="header4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jpeg"/><Relationship Id="rId39" Type="http://schemas.openxmlformats.org/officeDocument/2006/relationships/header" Target="header13.xml"/><Relationship Id="rId109" Type="http://schemas.openxmlformats.org/officeDocument/2006/relationships/header" Target="header34.xml"/><Relationship Id="rId34"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header" Target="header20.xml"/><Relationship Id="rId76" Type="http://schemas.openxmlformats.org/officeDocument/2006/relationships/header" Target="header29.xml"/><Relationship Id="rId97" Type="http://schemas.openxmlformats.org/officeDocument/2006/relationships/image" Target="media/image26.jpeg"/><Relationship Id="rId104" Type="http://schemas.openxmlformats.org/officeDocument/2006/relationships/image" Target="media/image34.jpeg"/><Relationship Id="rId120" Type="http://schemas.openxmlformats.org/officeDocument/2006/relationships/hyperlink" Target="http://www.platmobilem.cz/pro-verejnost/zprostred-kovatele-mobilnich-plateb" TargetMode="External"/><Relationship Id="rId125" Type="http://schemas.openxmlformats.org/officeDocument/2006/relationships/footer" Target="footer32.xml"/><Relationship Id="rId141" Type="http://schemas.openxmlformats.org/officeDocument/2006/relationships/hyperlink" Target="http://www.t-mobile.cz" TargetMode="External"/><Relationship Id="rId146" Type="http://schemas.openxmlformats.org/officeDocument/2006/relationships/hyperlink" Target="http://www.t-mobile.cz" TargetMode="External"/><Relationship Id="rId7" Type="http://schemas.openxmlformats.org/officeDocument/2006/relationships/image" Target="media/image1.jpeg"/><Relationship Id="rId71" Type="http://schemas.openxmlformats.org/officeDocument/2006/relationships/header" Target="header27.xml"/><Relationship Id="rId92" Type="http://schemas.openxmlformats.org/officeDocument/2006/relationships/image" Target="media/image25.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yperlink" Target="https://www.t-mobile.cz/infolinka-pro-neslysici" TargetMode="External"/><Relationship Id="rId40" Type="http://schemas.openxmlformats.org/officeDocument/2006/relationships/footer" Target="footer6.xml"/><Relationship Id="rId45" Type="http://schemas.openxmlformats.org/officeDocument/2006/relationships/footer" Target="footer8.xml"/><Relationship Id="rId66" Type="http://schemas.openxmlformats.org/officeDocument/2006/relationships/footer" Target="footer18.xml"/><Relationship Id="rId87" Type="http://schemas.openxmlformats.org/officeDocument/2006/relationships/image" Target="media/image19.jpeg"/><Relationship Id="rId110" Type="http://schemas.openxmlformats.org/officeDocument/2006/relationships/header" Target="header35.xml"/><Relationship Id="rId115" Type="http://schemas.openxmlformats.org/officeDocument/2006/relationships/footer" Target="footer30.xml"/><Relationship Id="rId131" Type="http://schemas.openxmlformats.org/officeDocument/2006/relationships/hyperlink" Target="http://www.t-mobile.cz" TargetMode="External"/><Relationship Id="rId136" Type="http://schemas.openxmlformats.org/officeDocument/2006/relationships/header" Target="header41.xml"/><Relationship Id="rId157" Type="http://schemas.openxmlformats.org/officeDocument/2006/relationships/header" Target="header49.xml"/><Relationship Id="rId61" Type="http://schemas.openxmlformats.org/officeDocument/2006/relationships/footer" Target="footer16.xml"/><Relationship Id="rId82" Type="http://schemas.openxmlformats.org/officeDocument/2006/relationships/footer" Target="footer25.xml"/><Relationship Id="rId152" Type="http://schemas.openxmlformats.org/officeDocument/2006/relationships/header" Target="header46.xml"/><Relationship Id="rId19" Type="http://schemas.openxmlformats.org/officeDocument/2006/relationships/image" Target="media/image5.jpeg"/><Relationship Id="rId14" Type="http://schemas.openxmlformats.org/officeDocument/2006/relationships/header" Target="header6.xml"/><Relationship Id="rId30" Type="http://schemas.openxmlformats.org/officeDocument/2006/relationships/footer" Target="footer1.xml"/><Relationship Id="rId35" Type="http://schemas.openxmlformats.org/officeDocument/2006/relationships/header" Target="header11.xml"/><Relationship Id="rId56" Type="http://schemas.openxmlformats.org/officeDocument/2006/relationships/header" Target="header21.xml"/><Relationship Id="rId77" Type="http://schemas.openxmlformats.org/officeDocument/2006/relationships/footer" Target="footer22.xml"/><Relationship Id="rId100" Type="http://schemas.openxmlformats.org/officeDocument/2006/relationships/image" Target="media/image30.jpeg"/><Relationship Id="rId105" Type="http://schemas.openxmlformats.org/officeDocument/2006/relationships/image" Target="media/image35.jpeg"/><Relationship Id="rId126" Type="http://schemas.openxmlformats.org/officeDocument/2006/relationships/footer" Target="footer33.xml"/><Relationship Id="rId147" Type="http://schemas.openxmlformats.org/officeDocument/2006/relationships/header" Target="header44.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footer" Target="footer20.xml"/><Relationship Id="rId93" Type="http://schemas.openxmlformats.org/officeDocument/2006/relationships/header" Target="header32.xml"/><Relationship Id="rId98" Type="http://schemas.openxmlformats.org/officeDocument/2006/relationships/image" Target="media/image27.jpeg"/><Relationship Id="rId121" Type="http://schemas.openxmlformats.org/officeDocument/2006/relationships/hyperlink" Target="http://www.platmobilem.cz/kodexy-sluzeb" TargetMode="External"/><Relationship Id="rId142" Type="http://schemas.openxmlformats.org/officeDocument/2006/relationships/header" Target="header42.xm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footer" Target="footer9.xml"/><Relationship Id="rId67" Type="http://schemas.openxmlformats.org/officeDocument/2006/relationships/footer" Target="footer19.xml"/><Relationship Id="rId116" Type="http://schemas.openxmlformats.org/officeDocument/2006/relationships/footer" Target="footer31.xml"/><Relationship Id="rId137" Type="http://schemas.openxmlformats.org/officeDocument/2006/relationships/footer" Target="footer34.xml"/><Relationship Id="rId158" Type="http://schemas.openxmlformats.org/officeDocument/2006/relationships/footer" Target="footer42.xml"/></Relationships>
</file>

<file path=word/_rels/header10.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8.jpeg"/></Relationships>
</file>

<file path=word/_rels/header20.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8.jpeg"/></Relationships>
</file>

<file path=word/_rels/header2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8.jpeg"/></Relationships>
</file>

<file path=word/_rels/header26.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9.jpeg"/></Relationships>
</file>

<file path=word/_rels/header27.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9.jpeg"/></Relationships>
</file>

<file path=word/_rels/header30.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9.jpeg"/></Relationships>
</file>

<file path=word/_rels/header32.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9.jpeg"/></Relationships>
</file>

<file path=word/_rels/header33.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9.jpeg"/></Relationships>
</file>

<file path=word/_rels/header36.xml.rels><?xml version="1.0" encoding="UTF-8" standalone="yes"?>
<Relationships xmlns="http://schemas.openxmlformats.org/package/2006/relationships"><Relationship Id="rId2" Type="http://schemas.openxmlformats.org/officeDocument/2006/relationships/image" Target="media/image52.jpeg"/><Relationship Id="rId1" Type="http://schemas.openxmlformats.org/officeDocument/2006/relationships/image" Target="media/image39.jpeg"/></Relationships>
</file>

<file path=word/_rels/header37.xml.rels><?xml version="1.0" encoding="UTF-8" standalone="yes"?>
<Relationships xmlns="http://schemas.openxmlformats.org/package/2006/relationships"><Relationship Id="rId2" Type="http://schemas.openxmlformats.org/officeDocument/2006/relationships/image" Target="media/image52.jpeg"/><Relationship Id="rId1" Type="http://schemas.openxmlformats.org/officeDocument/2006/relationships/image" Target="media/image3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68</Pages>
  <Words>32321</Words>
  <Characters>190699</Characters>
  <Application>Microsoft Office Word</Application>
  <DocSecurity>0</DocSecurity>
  <Lines>1589</Lines>
  <Paragraphs>445</Paragraphs>
  <ScaleCrop>false</ScaleCrop>
  <Company>HP Inc.</Company>
  <LinksUpToDate>false</LinksUpToDate>
  <CharactersWithSpaces>222575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Ondráčková Jana</dc:creator>
  <cp:keywords/>
  <cp:lastModifiedBy>Janouchová Miroslava</cp:lastModifiedBy>
  <cp:revision>2</cp:revision>
  <dcterms:created xsi:type="dcterms:W3CDTF">2023-08-08T09:25:00Z</dcterms:created>
  <dcterms:modified xsi:type="dcterms:W3CDTF">2023-08-08T09:36:00Z</dcterms:modified>
</cp:coreProperties>
</file>