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7CB65" w14:textId="77777777" w:rsidR="00572EE0" w:rsidRDefault="000A21C7">
      <w:pPr>
        <w:rPr>
          <w:rFonts w:ascii="Calibri" w:eastAsia="Calibri" w:hAnsi="Calibri" w:cs="Calibri"/>
          <w:w w:val="99"/>
          <w:sz w:val="18"/>
          <w:szCs w:val="18"/>
        </w:rPr>
      </w:pPr>
      <w:r w:rsidRPr="000A21C7">
        <w:rPr>
          <w:b/>
          <w:noProof/>
          <w:lang w:eastAsia="cs-CZ"/>
        </w:rPr>
        <w:drawing>
          <wp:anchor distT="0" distB="0" distL="114300" distR="114300" simplePos="0" relativeHeight="251659264" behindDoc="1" locked="0" layoutInCell="1" allowOverlap="1" wp14:anchorId="15B51F43" wp14:editId="607CF859">
            <wp:simplePos x="0" y="0"/>
            <wp:positionH relativeFrom="margin">
              <wp:posOffset>4890</wp:posOffset>
            </wp:positionH>
            <wp:positionV relativeFrom="paragraph">
              <wp:posOffset>0</wp:posOffset>
            </wp:positionV>
            <wp:extent cx="1781175" cy="474345"/>
            <wp:effectExtent l="0" t="0" r="9525" b="1905"/>
            <wp:wrapNone/>
            <wp:docPr id="4" name="Obrázek 4"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r w:rsidR="000643EC">
        <w:rPr>
          <w:b/>
        </w:rPr>
        <w:t xml:space="preserve">                                                                                                                                                 </w:t>
      </w:r>
      <w:proofErr w:type="spellStart"/>
      <w:r w:rsidR="000643EC">
        <w:rPr>
          <w:rFonts w:ascii="Calibri" w:eastAsia="Calibri" w:hAnsi="Calibri" w:cs="Calibri"/>
          <w:sz w:val="18"/>
          <w:szCs w:val="18"/>
        </w:rPr>
        <w:t>ev</w:t>
      </w:r>
      <w:r w:rsidR="000643EC">
        <w:rPr>
          <w:rFonts w:ascii="Calibri" w:eastAsia="Calibri" w:hAnsi="Calibri" w:cs="Calibri"/>
          <w:spacing w:val="1"/>
          <w:sz w:val="18"/>
          <w:szCs w:val="18"/>
        </w:rPr>
        <w:t>.</w:t>
      </w:r>
      <w:r w:rsidR="000643EC">
        <w:rPr>
          <w:rFonts w:ascii="Calibri" w:eastAsia="Calibri" w:hAnsi="Calibri" w:cs="Calibri"/>
          <w:spacing w:val="-1"/>
          <w:sz w:val="18"/>
          <w:szCs w:val="18"/>
        </w:rPr>
        <w:t>č</w:t>
      </w:r>
      <w:proofErr w:type="spellEnd"/>
      <w:r w:rsidR="000643EC">
        <w:rPr>
          <w:rFonts w:ascii="Calibri" w:eastAsia="Calibri" w:hAnsi="Calibri" w:cs="Calibri"/>
          <w:sz w:val="18"/>
          <w:szCs w:val="18"/>
        </w:rPr>
        <w:t>.:</w:t>
      </w:r>
      <w:r w:rsidR="000643EC">
        <w:rPr>
          <w:rFonts w:ascii="Calibri" w:eastAsia="Calibri" w:hAnsi="Calibri" w:cs="Calibri"/>
          <w:spacing w:val="-2"/>
          <w:sz w:val="18"/>
          <w:szCs w:val="18"/>
        </w:rPr>
        <w:t xml:space="preserve"> 1</w:t>
      </w:r>
      <w:r w:rsidR="00B500BE">
        <w:rPr>
          <w:rFonts w:ascii="Calibri" w:eastAsia="Calibri" w:hAnsi="Calibri" w:cs="Calibri"/>
          <w:spacing w:val="-2"/>
          <w:sz w:val="18"/>
          <w:szCs w:val="18"/>
        </w:rPr>
        <w:t>44</w:t>
      </w:r>
      <w:r w:rsidR="000643EC">
        <w:rPr>
          <w:rFonts w:ascii="Calibri" w:eastAsia="Calibri" w:hAnsi="Calibri" w:cs="Calibri"/>
          <w:w w:val="99"/>
          <w:sz w:val="18"/>
          <w:szCs w:val="18"/>
        </w:rPr>
        <w:t>/310/2023</w:t>
      </w:r>
    </w:p>
    <w:p w14:paraId="3BA2BF0D" w14:textId="77777777" w:rsidR="000643EC" w:rsidRPr="000A21C7" w:rsidRDefault="000643EC">
      <w:pPr>
        <w:rPr>
          <w:b/>
        </w:rPr>
      </w:pPr>
      <w:r>
        <w:rPr>
          <w:rFonts w:ascii="Calibri" w:eastAsia="Calibri" w:hAnsi="Calibri" w:cs="Calibri"/>
          <w:w w:val="99"/>
          <w:sz w:val="18"/>
          <w:szCs w:val="18"/>
        </w:rPr>
        <w:t xml:space="preserve">                                                                                                                                                                                   </w:t>
      </w:r>
      <w:r>
        <w:rPr>
          <w:rFonts w:ascii="Calibri" w:eastAsia="Calibri" w:hAnsi="Calibri" w:cs="Calibri"/>
          <w:sz w:val="18"/>
          <w:szCs w:val="18"/>
        </w:rPr>
        <w:t>č.j.:</w:t>
      </w:r>
      <w:r>
        <w:rPr>
          <w:rFonts w:ascii="Calibri" w:eastAsia="Calibri" w:hAnsi="Calibri" w:cs="Calibri"/>
          <w:spacing w:val="40"/>
          <w:sz w:val="18"/>
          <w:szCs w:val="18"/>
        </w:rPr>
        <w:t xml:space="preserve"> </w:t>
      </w:r>
      <w:r>
        <w:rPr>
          <w:rFonts w:ascii="Calibri" w:eastAsia="Calibri" w:hAnsi="Calibri" w:cs="Calibri"/>
          <w:w w:val="99"/>
          <w:sz w:val="18"/>
          <w:szCs w:val="18"/>
        </w:rPr>
        <w:t>310/</w:t>
      </w:r>
      <w:r w:rsidRPr="000643EC">
        <w:rPr>
          <w:rFonts w:ascii="Calibri" w:eastAsia="Calibri" w:hAnsi="Calibri" w:cs="Calibri"/>
          <w:w w:val="99"/>
          <w:sz w:val="18"/>
          <w:szCs w:val="18"/>
        </w:rPr>
        <w:t>66057</w:t>
      </w:r>
      <w:r>
        <w:rPr>
          <w:rFonts w:ascii="Calibri" w:eastAsia="Calibri" w:hAnsi="Calibri" w:cs="Calibri"/>
          <w:w w:val="99"/>
          <w:sz w:val="18"/>
          <w:szCs w:val="18"/>
        </w:rPr>
        <w:t>/2023</w:t>
      </w:r>
    </w:p>
    <w:p w14:paraId="6D883BFF" w14:textId="77777777" w:rsidR="000A21C7" w:rsidRPr="000A21C7" w:rsidRDefault="000A21C7">
      <w:pPr>
        <w:rPr>
          <w:b/>
        </w:rPr>
      </w:pPr>
    </w:p>
    <w:p w14:paraId="1E72A385" w14:textId="77777777" w:rsidR="000A21C7" w:rsidRPr="000A21C7" w:rsidRDefault="000A21C7">
      <w:pPr>
        <w:rPr>
          <w:b/>
        </w:rPr>
      </w:pPr>
    </w:p>
    <w:p w14:paraId="2EF7DECA" w14:textId="77777777" w:rsidR="000A21C7" w:rsidRPr="00256319" w:rsidRDefault="000A21C7" w:rsidP="000A21C7">
      <w:pPr>
        <w:pStyle w:val="Nadpis1"/>
        <w:spacing w:after="0"/>
        <w:rPr>
          <w:rFonts w:asciiTheme="minorHAnsi" w:hAnsiTheme="minorHAnsi" w:cstheme="minorHAnsi"/>
          <w:b/>
          <w:sz w:val="26"/>
          <w:szCs w:val="26"/>
        </w:rPr>
      </w:pPr>
      <w:r w:rsidRPr="00256319">
        <w:rPr>
          <w:rFonts w:asciiTheme="minorHAnsi" w:hAnsiTheme="minorHAnsi" w:cstheme="minorHAnsi"/>
          <w:b/>
          <w:sz w:val="26"/>
          <w:szCs w:val="26"/>
        </w:rPr>
        <w:t>SMLOUVA</w:t>
      </w:r>
    </w:p>
    <w:p w14:paraId="762AAB12" w14:textId="77777777" w:rsidR="000A21C7" w:rsidRPr="000A21C7" w:rsidRDefault="000A21C7" w:rsidP="000A21C7">
      <w:pPr>
        <w:pStyle w:val="Nadpis1"/>
        <w:spacing w:before="0" w:after="0"/>
        <w:rPr>
          <w:rFonts w:asciiTheme="minorHAnsi" w:hAnsiTheme="minorHAnsi" w:cstheme="minorHAnsi"/>
          <w:b/>
          <w:sz w:val="22"/>
          <w:szCs w:val="22"/>
        </w:rPr>
      </w:pPr>
      <w:r w:rsidRPr="00256319">
        <w:rPr>
          <w:rFonts w:asciiTheme="minorHAnsi" w:hAnsiTheme="minorHAnsi" w:cstheme="minorHAnsi"/>
          <w:b/>
          <w:sz w:val="26"/>
          <w:szCs w:val="26"/>
        </w:rPr>
        <w:t xml:space="preserve">O POSKYTOVÁNÍ SLUŽEB </w:t>
      </w:r>
      <w:r w:rsidR="002E20C1" w:rsidRPr="00256319">
        <w:rPr>
          <w:rFonts w:asciiTheme="minorHAnsi" w:hAnsiTheme="minorHAnsi" w:cstheme="minorHAnsi"/>
          <w:b/>
          <w:sz w:val="26"/>
          <w:szCs w:val="26"/>
        </w:rPr>
        <w:t xml:space="preserve">ELEKTRONICKÝCH KOMUNIKACÍ </w:t>
      </w:r>
    </w:p>
    <w:p w14:paraId="5DF1BA83" w14:textId="77777777" w:rsidR="000A21C7" w:rsidRPr="000A21C7" w:rsidRDefault="000A21C7" w:rsidP="000A21C7">
      <w:pPr>
        <w:jc w:val="center"/>
        <w:rPr>
          <w:b/>
        </w:rPr>
      </w:pPr>
    </w:p>
    <w:p w14:paraId="1D8D1FDD" w14:textId="77777777" w:rsidR="000A21C7" w:rsidRPr="00760179" w:rsidRDefault="000A21C7" w:rsidP="000A21C7">
      <w:pPr>
        <w:jc w:val="center"/>
      </w:pPr>
      <w:r w:rsidRPr="00760179">
        <w:t xml:space="preserve">uzavřená v souladu s </w:t>
      </w:r>
      <w:proofErr w:type="spellStart"/>
      <w:r w:rsidRPr="00760179">
        <w:t>ust</w:t>
      </w:r>
      <w:proofErr w:type="spellEnd"/>
      <w:r w:rsidRPr="00760179">
        <w:t xml:space="preserve">. § 1746 odst. 2 zákona č. 89/2012 Sb., občanský zákoník, ve znění pozdějších předpisů (dále jen „Občanský zákoník“), </w:t>
      </w:r>
      <w:r w:rsidR="00E95B78">
        <w:t xml:space="preserve">a dále </w:t>
      </w:r>
      <w:r w:rsidR="00E95B78" w:rsidRPr="00516FF6">
        <w:t>v souladu se zákonem č. 127/2005 Sb., o</w:t>
      </w:r>
      <w:r w:rsidR="00E95B78">
        <w:t> </w:t>
      </w:r>
      <w:r w:rsidR="00E95B78" w:rsidRPr="00516FF6">
        <w:t>elektronických komunikacích a o</w:t>
      </w:r>
      <w:r w:rsidR="00E95B78">
        <w:t> </w:t>
      </w:r>
      <w:r w:rsidR="00E95B78" w:rsidRPr="00516FF6">
        <w:t>změně některých souvisejících zákonů, ve znění pozdějších předpisů (dále jen „</w:t>
      </w:r>
      <w:r w:rsidR="00E95B78" w:rsidRPr="00CD60AE">
        <w:rPr>
          <w:i/>
        </w:rPr>
        <w:t>Zákon o</w:t>
      </w:r>
      <w:r w:rsidR="00E95B78">
        <w:rPr>
          <w:i/>
        </w:rPr>
        <w:t> </w:t>
      </w:r>
      <w:r w:rsidR="00E95B78" w:rsidRPr="00CD60AE">
        <w:rPr>
          <w:i/>
        </w:rPr>
        <w:t>elektronických komunikacích</w:t>
      </w:r>
      <w:r w:rsidR="00E95B78">
        <w:t xml:space="preserve">“), </w:t>
      </w:r>
      <w:r w:rsidRPr="00760179">
        <w:t>jejímž předmětem je plnění veřejné zakázky s názvem „</w:t>
      </w:r>
      <w:r w:rsidR="00F50720" w:rsidRPr="00D639AD">
        <w:rPr>
          <w:b/>
          <w:i/>
        </w:rPr>
        <w:t>P</w:t>
      </w:r>
      <w:r w:rsidR="00887957" w:rsidRPr="00D639AD">
        <w:rPr>
          <w:b/>
          <w:i/>
        </w:rPr>
        <w:t xml:space="preserve">řipojení </w:t>
      </w:r>
      <w:r w:rsidR="00F50720" w:rsidRPr="00D639AD">
        <w:rPr>
          <w:b/>
          <w:i/>
        </w:rPr>
        <w:t>k</w:t>
      </w:r>
      <w:r w:rsidR="00887957" w:rsidRPr="00D639AD">
        <w:rPr>
          <w:b/>
          <w:i/>
        </w:rPr>
        <w:t xml:space="preserve"> internetu pro </w:t>
      </w:r>
      <w:r w:rsidR="00F50720" w:rsidRPr="00D639AD">
        <w:rPr>
          <w:b/>
          <w:i/>
        </w:rPr>
        <w:t xml:space="preserve">vybrané lokality </w:t>
      </w:r>
      <w:r w:rsidR="00887957" w:rsidRPr="00D639AD">
        <w:rPr>
          <w:b/>
          <w:i/>
        </w:rPr>
        <w:t>NPÚ</w:t>
      </w:r>
      <w:r w:rsidRPr="00760179">
        <w:rPr>
          <w:i/>
        </w:rPr>
        <w:t>“</w:t>
      </w:r>
      <w:r w:rsidRPr="00760179">
        <w:t xml:space="preserve"> </w:t>
      </w:r>
    </w:p>
    <w:p w14:paraId="4A0C26D1" w14:textId="77777777" w:rsidR="000A21C7" w:rsidRPr="000A21C7" w:rsidRDefault="000A21C7" w:rsidP="000A21C7">
      <w:pPr>
        <w:jc w:val="center"/>
        <w:rPr>
          <w:b/>
        </w:rPr>
      </w:pPr>
      <w:r w:rsidRPr="000A21C7">
        <w:rPr>
          <w:b/>
        </w:rPr>
        <w:t>(dále jen „Smlouva“)</w:t>
      </w:r>
    </w:p>
    <w:p w14:paraId="4F3A0F58" w14:textId="77777777" w:rsidR="000A21C7" w:rsidRDefault="000A21C7">
      <w:pPr>
        <w:rPr>
          <w:b/>
        </w:rPr>
      </w:pPr>
    </w:p>
    <w:p w14:paraId="016B80A2" w14:textId="77777777" w:rsidR="00760179" w:rsidRPr="00760179" w:rsidRDefault="00760179" w:rsidP="00760179">
      <w:pPr>
        <w:spacing w:after="40" w:line="276" w:lineRule="auto"/>
        <w:jc w:val="both"/>
        <w:rPr>
          <w:b/>
          <w:snapToGrid w:val="0"/>
        </w:rPr>
      </w:pPr>
      <w:r w:rsidRPr="00760179">
        <w:rPr>
          <w:b/>
        </w:rPr>
        <w:t>Národní památkový ústav</w:t>
      </w:r>
    </w:p>
    <w:p w14:paraId="14327C47"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se sídlem: Valdštejnské nám. 162/3, 118 01 Praha 1</w:t>
      </w:r>
    </w:p>
    <w:p w14:paraId="6FD676D3"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zastoupená: Ing. arch. Naděždou Goryczkovou, generální ředitelkou</w:t>
      </w:r>
    </w:p>
    <w:p w14:paraId="1199697D"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IČO: 75032333</w:t>
      </w:r>
    </w:p>
    <w:p w14:paraId="4570A0C6"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DIČ: CZ75032333</w:t>
      </w:r>
    </w:p>
    <w:p w14:paraId="0CD4A6E5" w14:textId="77777777" w:rsidR="00760179" w:rsidRPr="00760179" w:rsidRDefault="00760179" w:rsidP="00760179">
      <w:r w:rsidRPr="00760179">
        <w:rPr>
          <w:rFonts w:eastAsiaTheme="minorEastAsia"/>
          <w:snapToGrid w:val="0"/>
        </w:rPr>
        <w:t xml:space="preserve">bankovní spojení: </w:t>
      </w:r>
      <w:r w:rsidRPr="00760179">
        <w:rPr>
          <w:bCs/>
        </w:rPr>
        <w:t xml:space="preserve">Česká národní banka, č. </w:t>
      </w:r>
      <w:proofErr w:type="spellStart"/>
      <w:r w:rsidRPr="00760179">
        <w:rPr>
          <w:bCs/>
        </w:rPr>
        <w:t>ú.</w:t>
      </w:r>
      <w:proofErr w:type="spellEnd"/>
      <w:r w:rsidRPr="00760179">
        <w:rPr>
          <w:bCs/>
        </w:rPr>
        <w:t xml:space="preserve"> 60039011/0710</w:t>
      </w:r>
    </w:p>
    <w:p w14:paraId="5513664C" w14:textId="77777777" w:rsidR="00760179" w:rsidRDefault="00760179" w:rsidP="00760179">
      <w:pPr>
        <w:spacing w:after="40" w:line="276" w:lineRule="auto"/>
        <w:jc w:val="both"/>
      </w:pPr>
      <w:r w:rsidRPr="00760179">
        <w:rPr>
          <w:rFonts w:eastAsiaTheme="minorEastAsia"/>
          <w:snapToGrid w:val="0"/>
        </w:rPr>
        <w:t xml:space="preserve">ID datové schránky: </w:t>
      </w:r>
      <w:r w:rsidRPr="00760179">
        <w:t>2cy8h6t​</w:t>
      </w:r>
    </w:p>
    <w:p w14:paraId="644859E8" w14:textId="355A8273" w:rsidR="002B052B" w:rsidRPr="00760179" w:rsidRDefault="002B052B" w:rsidP="00270CAB">
      <w:pPr>
        <w:spacing w:after="40" w:line="276" w:lineRule="auto"/>
        <w:jc w:val="both"/>
        <w:rPr>
          <w:rFonts w:eastAsiaTheme="minorEastAsia"/>
          <w:snapToGrid w:val="0"/>
        </w:rPr>
      </w:pPr>
      <w:r w:rsidRPr="004649FB">
        <w:t xml:space="preserve">Kontaktní osoba Účastníka: </w:t>
      </w:r>
      <w:proofErr w:type="spellStart"/>
      <w:r w:rsidR="00034F9B">
        <w:t>xxx</w:t>
      </w:r>
      <w:proofErr w:type="spellEnd"/>
      <w:r w:rsidR="00270CAB" w:rsidRPr="004649FB">
        <w:t xml:space="preserve">, systémový inženýr, tel.: </w:t>
      </w:r>
      <w:proofErr w:type="spellStart"/>
      <w:r w:rsidR="00034F9B">
        <w:t>xxx</w:t>
      </w:r>
      <w:proofErr w:type="spellEnd"/>
      <w:r w:rsidR="00270CAB" w:rsidRPr="004649FB">
        <w:t xml:space="preserve">, e-mail: </w:t>
      </w:r>
      <w:proofErr w:type="spellStart"/>
      <w:r w:rsidR="00034F9B">
        <w:t>xxx</w:t>
      </w:r>
      <w:proofErr w:type="spellEnd"/>
    </w:p>
    <w:p w14:paraId="46AE137D"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(dále jen „</w:t>
      </w:r>
      <w:r w:rsidRPr="00760179">
        <w:rPr>
          <w:rFonts w:eastAsiaTheme="minorEastAsia"/>
          <w:b/>
          <w:snapToGrid w:val="0"/>
        </w:rPr>
        <w:t>Účastník</w:t>
      </w:r>
      <w:r w:rsidRPr="00760179">
        <w:rPr>
          <w:rFonts w:eastAsiaTheme="minorEastAsia"/>
          <w:snapToGrid w:val="0"/>
        </w:rPr>
        <w:t>“)</w:t>
      </w:r>
    </w:p>
    <w:p w14:paraId="1F2E8611" w14:textId="77777777" w:rsidR="00760179" w:rsidRPr="00760179" w:rsidRDefault="00760179" w:rsidP="00760179">
      <w:pPr>
        <w:spacing w:after="40" w:line="276" w:lineRule="auto"/>
        <w:jc w:val="both"/>
        <w:rPr>
          <w:rFonts w:eastAsiaTheme="minorEastAsia"/>
          <w:snapToGrid w:val="0"/>
        </w:rPr>
      </w:pPr>
    </w:p>
    <w:p w14:paraId="56DA03FB"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a</w:t>
      </w:r>
    </w:p>
    <w:p w14:paraId="04D78ACE" w14:textId="77777777" w:rsidR="00760179" w:rsidRPr="00760179" w:rsidRDefault="00760179" w:rsidP="00760179">
      <w:pPr>
        <w:spacing w:after="40" w:line="276" w:lineRule="auto"/>
        <w:jc w:val="both"/>
        <w:rPr>
          <w:rFonts w:eastAsiaTheme="minorEastAsia"/>
          <w:snapToGrid w:val="0"/>
        </w:rPr>
      </w:pPr>
    </w:p>
    <w:p w14:paraId="5BF4B369" w14:textId="77777777" w:rsidR="00760179" w:rsidRPr="00760179" w:rsidRDefault="00AB5B9B" w:rsidP="00760179">
      <w:pPr>
        <w:spacing w:after="40" w:line="276" w:lineRule="auto"/>
        <w:jc w:val="both"/>
        <w:rPr>
          <w:snapToGrid w:val="0"/>
          <w:highlight w:val="yellow"/>
        </w:rPr>
      </w:pPr>
      <w:r w:rsidRPr="00AB5B9B">
        <w:rPr>
          <w:b/>
          <w:snapToGrid w:val="0"/>
        </w:rPr>
        <w:t>T-Mobile Czech Republic a.s.</w:t>
      </w:r>
    </w:p>
    <w:p w14:paraId="5593B449"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 xml:space="preserve">se sídlem: </w:t>
      </w:r>
      <w:r w:rsidR="00AB5B9B" w:rsidRPr="00AB5B9B">
        <w:rPr>
          <w:rFonts w:eastAsiaTheme="minorEastAsia"/>
          <w:snapToGrid w:val="0"/>
        </w:rPr>
        <w:t>Tomíčkova 2144/1, 148 00  Praha 4</w:t>
      </w:r>
    </w:p>
    <w:p w14:paraId="1E783900"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 xml:space="preserve">zapsaná v Obchodním rejstříku vedeném </w:t>
      </w:r>
      <w:r w:rsidR="00AB5B9B" w:rsidRPr="00AB5B9B">
        <w:rPr>
          <w:rFonts w:eastAsiaTheme="minorEastAsia"/>
          <w:snapToGrid w:val="0"/>
        </w:rPr>
        <w:t>Městský</w:t>
      </w:r>
      <w:r w:rsidR="00AB5B9B">
        <w:rPr>
          <w:rFonts w:eastAsiaTheme="minorEastAsia"/>
          <w:snapToGrid w:val="0"/>
        </w:rPr>
        <w:t>m</w:t>
      </w:r>
      <w:r w:rsidR="00AB5B9B" w:rsidRPr="00AB5B9B">
        <w:rPr>
          <w:rFonts w:eastAsiaTheme="minorEastAsia"/>
          <w:snapToGrid w:val="0"/>
        </w:rPr>
        <w:t xml:space="preserve"> soud</w:t>
      </w:r>
      <w:r w:rsidR="00AB5B9B">
        <w:rPr>
          <w:rFonts w:eastAsiaTheme="minorEastAsia"/>
          <w:snapToGrid w:val="0"/>
        </w:rPr>
        <w:t>em</w:t>
      </w:r>
      <w:r w:rsidR="00AB5B9B" w:rsidRPr="00AB5B9B">
        <w:rPr>
          <w:rFonts w:eastAsiaTheme="minorEastAsia"/>
          <w:snapToGrid w:val="0"/>
        </w:rPr>
        <w:t xml:space="preserve"> v Praze</w:t>
      </w:r>
      <w:r w:rsidRPr="00760179">
        <w:rPr>
          <w:rFonts w:eastAsiaTheme="minorEastAsia"/>
          <w:snapToGrid w:val="0"/>
        </w:rPr>
        <w:t xml:space="preserve">, oddíl </w:t>
      </w:r>
      <w:r w:rsidR="00AB5B9B">
        <w:rPr>
          <w:rFonts w:eastAsiaTheme="minorEastAsia"/>
          <w:snapToGrid w:val="0"/>
        </w:rPr>
        <w:t>B</w:t>
      </w:r>
      <w:r w:rsidRPr="00760179">
        <w:rPr>
          <w:rFonts w:eastAsiaTheme="minorEastAsia"/>
          <w:snapToGrid w:val="0"/>
        </w:rPr>
        <w:t xml:space="preserve">, vložka </w:t>
      </w:r>
      <w:r w:rsidR="00AB5B9B" w:rsidRPr="00AB5B9B">
        <w:rPr>
          <w:rFonts w:eastAsiaTheme="minorEastAsia"/>
          <w:snapToGrid w:val="0"/>
        </w:rPr>
        <w:t>3787</w:t>
      </w:r>
    </w:p>
    <w:p w14:paraId="052F7EBC"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zastoupená:</w:t>
      </w:r>
      <w:r w:rsidRPr="00760179">
        <w:rPr>
          <w:rFonts w:eastAsiaTheme="minorEastAsia"/>
          <w:b/>
          <w:snapToGrid w:val="0"/>
        </w:rPr>
        <w:t xml:space="preserve"> </w:t>
      </w:r>
      <w:r w:rsidR="00AB5B9B" w:rsidRPr="00AB5B9B">
        <w:rPr>
          <w:rFonts w:eastAsiaTheme="minorEastAsia"/>
          <w:snapToGrid w:val="0"/>
        </w:rPr>
        <w:t>Štěpánem Čekalem, na  základě pověření</w:t>
      </w:r>
    </w:p>
    <w:p w14:paraId="0A1D9B96"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 xml:space="preserve">IČO: </w:t>
      </w:r>
      <w:r w:rsidR="00AB5B9B" w:rsidRPr="00AB5B9B">
        <w:rPr>
          <w:rFonts w:eastAsiaTheme="minorEastAsia"/>
          <w:snapToGrid w:val="0"/>
        </w:rPr>
        <w:t>64949681</w:t>
      </w:r>
      <w:r w:rsidRPr="00760179">
        <w:rPr>
          <w:rFonts w:eastAsiaTheme="minorEastAsia"/>
          <w:snapToGrid w:val="0"/>
        </w:rPr>
        <w:t xml:space="preserve"> </w:t>
      </w:r>
    </w:p>
    <w:p w14:paraId="2CE68031"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 xml:space="preserve">DIČ: </w:t>
      </w:r>
      <w:r w:rsidR="00AB5B9B" w:rsidRPr="00AB5B9B">
        <w:rPr>
          <w:rFonts w:eastAsiaTheme="minorEastAsia"/>
          <w:snapToGrid w:val="0"/>
        </w:rPr>
        <w:t>CZ64949681</w:t>
      </w:r>
    </w:p>
    <w:p w14:paraId="21D0A235" w14:textId="1C53F630" w:rsidR="00760179" w:rsidRDefault="00760179" w:rsidP="00760179">
      <w:pPr>
        <w:spacing w:after="40" w:line="276" w:lineRule="auto"/>
        <w:jc w:val="both"/>
        <w:rPr>
          <w:rFonts w:eastAsiaTheme="minorEastAsia"/>
          <w:snapToGrid w:val="0"/>
        </w:rPr>
      </w:pPr>
      <w:r w:rsidRPr="00760179">
        <w:rPr>
          <w:rFonts w:eastAsiaTheme="minorEastAsia"/>
          <w:snapToGrid w:val="0"/>
        </w:rPr>
        <w:t xml:space="preserve">bankovní spojení: </w:t>
      </w:r>
      <w:r w:rsidR="00AB5B9B" w:rsidRPr="00AB5B9B">
        <w:rPr>
          <w:rFonts w:eastAsiaTheme="minorEastAsia"/>
          <w:snapToGrid w:val="0"/>
        </w:rPr>
        <w:t>Česká spořitelna, a.s.</w:t>
      </w:r>
      <w:r w:rsidRPr="00760179">
        <w:rPr>
          <w:rFonts w:eastAsiaTheme="minorEastAsia"/>
          <w:snapToGrid w:val="0"/>
        </w:rPr>
        <w:t xml:space="preserve">, číslo účtu: </w:t>
      </w:r>
      <w:proofErr w:type="spellStart"/>
      <w:r w:rsidR="00034F9B">
        <w:rPr>
          <w:rFonts w:eastAsiaTheme="minorEastAsia"/>
          <w:snapToGrid w:val="0"/>
        </w:rPr>
        <w:t>xxx</w:t>
      </w:r>
      <w:proofErr w:type="spellEnd"/>
    </w:p>
    <w:p w14:paraId="5BEB8CE4" w14:textId="4B5B10EC" w:rsidR="002B052B" w:rsidRPr="00760179" w:rsidRDefault="002B052B" w:rsidP="002B052B">
      <w:pPr>
        <w:spacing w:after="40" w:line="276" w:lineRule="auto"/>
        <w:jc w:val="both"/>
        <w:rPr>
          <w:rFonts w:eastAsiaTheme="minorEastAsia"/>
          <w:snapToGrid w:val="0"/>
        </w:rPr>
      </w:pPr>
      <w:r w:rsidRPr="002B052B">
        <w:t xml:space="preserve">Kontaktní osoba Poskytovatele: </w:t>
      </w:r>
      <w:proofErr w:type="spellStart"/>
      <w:r w:rsidR="00034F9B">
        <w:rPr>
          <w:rFonts w:eastAsiaTheme="minorEastAsia"/>
          <w:snapToGrid w:val="0"/>
        </w:rPr>
        <w:t>xxx</w:t>
      </w:r>
      <w:proofErr w:type="spellEnd"/>
      <w:r w:rsidR="00AB5B9B">
        <w:rPr>
          <w:rFonts w:eastAsiaTheme="minorEastAsia"/>
          <w:snapToGrid w:val="0"/>
        </w:rPr>
        <w:t xml:space="preserve">, </w:t>
      </w:r>
      <w:r w:rsidR="00AB5B9B" w:rsidRPr="002B052B">
        <w:t>email</w:t>
      </w:r>
      <w:r w:rsidR="00AB5B9B">
        <w:t xml:space="preserve">: </w:t>
      </w:r>
      <w:proofErr w:type="spellStart"/>
      <w:r w:rsidR="00034F9B">
        <w:t>xxx</w:t>
      </w:r>
      <w:proofErr w:type="spellEnd"/>
      <w:r w:rsidR="00AB5B9B" w:rsidRPr="002B052B">
        <w:t>, tel.</w:t>
      </w:r>
      <w:r w:rsidR="00AB5B9B">
        <w:t>:</w:t>
      </w:r>
      <w:r w:rsidR="00AB5B9B" w:rsidRPr="00AB5B9B">
        <w:rPr>
          <w:rFonts w:eastAsiaTheme="minorEastAsia"/>
          <w:snapToGrid w:val="0"/>
        </w:rPr>
        <w:t xml:space="preserve"> </w:t>
      </w:r>
      <w:hyperlink r:id="rId7" w:history="1">
        <w:proofErr w:type="spellStart"/>
        <w:r w:rsidR="00034F9B">
          <w:rPr>
            <w:rFonts w:eastAsiaTheme="minorEastAsia"/>
            <w:snapToGrid w:val="0"/>
          </w:rPr>
          <w:t>xxx</w:t>
        </w:r>
        <w:proofErr w:type="spellEnd"/>
      </w:hyperlink>
    </w:p>
    <w:p w14:paraId="7688E529" w14:textId="77777777" w:rsidR="00760179" w:rsidRPr="00760179" w:rsidRDefault="00760179" w:rsidP="00760179">
      <w:pPr>
        <w:spacing w:after="40" w:line="276" w:lineRule="auto"/>
        <w:jc w:val="both"/>
        <w:rPr>
          <w:rFonts w:eastAsiaTheme="minorEastAsia"/>
          <w:snapToGrid w:val="0"/>
        </w:rPr>
      </w:pPr>
      <w:r w:rsidRPr="00760179">
        <w:rPr>
          <w:rFonts w:eastAsiaTheme="minorEastAsia"/>
          <w:snapToGrid w:val="0"/>
        </w:rPr>
        <w:t>na straně druhé (dále jen „</w:t>
      </w:r>
      <w:r w:rsidRPr="00760179">
        <w:rPr>
          <w:rFonts w:eastAsiaTheme="minorEastAsia"/>
          <w:b/>
          <w:snapToGrid w:val="0"/>
        </w:rPr>
        <w:t>Poskytovatel</w:t>
      </w:r>
      <w:r w:rsidRPr="00760179">
        <w:rPr>
          <w:rFonts w:eastAsiaTheme="minorEastAsia"/>
          <w:snapToGrid w:val="0"/>
        </w:rPr>
        <w:t>“)</w:t>
      </w:r>
    </w:p>
    <w:p w14:paraId="7CCC4A08" w14:textId="77777777" w:rsidR="00760179" w:rsidRPr="00760179" w:rsidRDefault="00760179" w:rsidP="00760179">
      <w:pPr>
        <w:pStyle w:val="Default"/>
        <w:rPr>
          <w:rFonts w:asciiTheme="minorHAnsi" w:hAnsiTheme="minorHAnsi" w:cstheme="minorHAnsi"/>
          <w:sz w:val="22"/>
          <w:szCs w:val="22"/>
        </w:rPr>
      </w:pPr>
    </w:p>
    <w:p w14:paraId="444103BA" w14:textId="77777777" w:rsidR="00760179" w:rsidRDefault="00760179" w:rsidP="00760179">
      <w:pPr>
        <w:pStyle w:val="Default"/>
        <w:jc w:val="both"/>
        <w:rPr>
          <w:rFonts w:asciiTheme="minorHAnsi" w:hAnsiTheme="minorHAnsi" w:cstheme="minorHAnsi"/>
          <w:sz w:val="22"/>
          <w:szCs w:val="22"/>
        </w:rPr>
      </w:pPr>
      <w:r w:rsidRPr="00760179">
        <w:rPr>
          <w:rFonts w:asciiTheme="minorHAnsi" w:hAnsiTheme="minorHAnsi" w:cstheme="minorHAnsi"/>
          <w:sz w:val="22"/>
          <w:szCs w:val="22"/>
        </w:rPr>
        <w:t>(Účastník a Poskytovatel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0D38C2ED" w14:textId="77777777" w:rsidR="00652432" w:rsidRDefault="00652432" w:rsidP="00760179">
      <w:pPr>
        <w:pStyle w:val="Default"/>
        <w:jc w:val="both"/>
        <w:rPr>
          <w:rFonts w:asciiTheme="minorHAnsi" w:hAnsiTheme="minorHAnsi" w:cstheme="minorHAnsi"/>
          <w:sz w:val="22"/>
          <w:szCs w:val="22"/>
        </w:rPr>
      </w:pPr>
    </w:p>
    <w:p w14:paraId="559AB518" w14:textId="77777777" w:rsidR="00652432" w:rsidRDefault="00652432" w:rsidP="00760179">
      <w:pPr>
        <w:pStyle w:val="Default"/>
        <w:jc w:val="both"/>
        <w:rPr>
          <w:rFonts w:asciiTheme="minorHAnsi" w:hAnsiTheme="minorHAnsi" w:cstheme="minorHAnsi"/>
          <w:sz w:val="22"/>
          <w:szCs w:val="22"/>
        </w:rPr>
      </w:pPr>
    </w:p>
    <w:p w14:paraId="2B223FFF" w14:textId="77777777" w:rsidR="00652432" w:rsidRDefault="00652432" w:rsidP="00760179">
      <w:pPr>
        <w:pStyle w:val="Default"/>
        <w:jc w:val="both"/>
        <w:rPr>
          <w:rFonts w:asciiTheme="minorHAnsi" w:hAnsiTheme="minorHAnsi" w:cstheme="minorHAnsi"/>
          <w:sz w:val="22"/>
          <w:szCs w:val="22"/>
        </w:rPr>
      </w:pPr>
    </w:p>
    <w:p w14:paraId="5BFDF127" w14:textId="77777777" w:rsidR="00652432" w:rsidRPr="00B72E40" w:rsidRDefault="00652432" w:rsidP="00760179">
      <w:pPr>
        <w:pStyle w:val="Default"/>
        <w:jc w:val="both"/>
        <w:rPr>
          <w:rFonts w:asciiTheme="minorHAnsi" w:hAnsiTheme="minorHAnsi" w:cstheme="minorHAnsi"/>
          <w:b/>
          <w:caps/>
          <w:sz w:val="22"/>
          <w:szCs w:val="22"/>
        </w:rPr>
      </w:pPr>
      <w:r w:rsidRPr="00B72E40">
        <w:rPr>
          <w:rFonts w:asciiTheme="minorHAnsi" w:hAnsiTheme="minorHAnsi" w:cstheme="minorHAnsi"/>
          <w:b/>
          <w:caps/>
          <w:sz w:val="22"/>
          <w:szCs w:val="22"/>
        </w:rPr>
        <w:t>Preambule</w:t>
      </w:r>
    </w:p>
    <w:p w14:paraId="38194501" w14:textId="77777777" w:rsidR="00652432" w:rsidRDefault="00652432" w:rsidP="00652432">
      <w:pPr>
        <w:jc w:val="both"/>
      </w:pPr>
      <w:r>
        <w:t>S</w:t>
      </w:r>
      <w:r w:rsidRPr="00890337">
        <w:t xml:space="preserve">mlouva je uzavírána </w:t>
      </w:r>
      <w:r>
        <w:t>na základě výsledku zadávacího</w:t>
      </w:r>
      <w:r w:rsidRPr="00890337">
        <w:t xml:space="preserve"> řízení </w:t>
      </w:r>
      <w:r>
        <w:t xml:space="preserve">veřejné zakázky </w:t>
      </w:r>
      <w:r w:rsidRPr="001C015B">
        <w:t>s názvem „</w:t>
      </w:r>
      <w:r w:rsidR="00983651" w:rsidRPr="00B44978">
        <w:rPr>
          <w:i/>
        </w:rPr>
        <w:t>Připojení k internetu pro vybrané lokality NPÚ</w:t>
      </w:r>
      <w:r w:rsidRPr="001C015B">
        <w:rPr>
          <w:i/>
        </w:rPr>
        <w:t xml:space="preserve">“ </w:t>
      </w:r>
      <w:r w:rsidR="009967DF" w:rsidRPr="001C015B">
        <w:t>(dále jen „</w:t>
      </w:r>
      <w:r w:rsidR="009967DF" w:rsidRPr="00F56454">
        <w:rPr>
          <w:b/>
          <w:i/>
        </w:rPr>
        <w:t>Veřejná zakázka</w:t>
      </w:r>
      <w:r w:rsidR="009967DF" w:rsidRPr="001C015B">
        <w:t xml:space="preserve">“) </w:t>
      </w:r>
      <w:r w:rsidR="009967DF" w:rsidRPr="009967DF">
        <w:t>zadávané v</w:t>
      </w:r>
      <w:r w:rsidR="00EC2462">
        <w:t>e</w:t>
      </w:r>
      <w:r w:rsidR="009967DF" w:rsidRPr="009967DF">
        <w:t> </w:t>
      </w:r>
      <w:r w:rsidR="00EC2462" w:rsidRPr="00536611">
        <w:t xml:space="preserve">zjednodušeném podlimitním řízení dle </w:t>
      </w:r>
      <w:proofErr w:type="spellStart"/>
      <w:r w:rsidR="00EC2462" w:rsidRPr="00536611">
        <w:t>ust</w:t>
      </w:r>
      <w:proofErr w:type="spellEnd"/>
      <w:r w:rsidR="00EC2462" w:rsidRPr="00536611">
        <w:t xml:space="preserve">. § 53 </w:t>
      </w:r>
      <w:r w:rsidR="009967DF" w:rsidRPr="009967DF">
        <w:t>zákona č.</w:t>
      </w:r>
      <w:r w:rsidR="009967DF">
        <w:t> </w:t>
      </w:r>
      <w:r w:rsidR="009967DF" w:rsidRPr="009967DF">
        <w:t>134/2016 Sb., o zadávání veřejných zakázek</w:t>
      </w:r>
      <w:r w:rsidR="009967DF">
        <w:t>, v platném a účinném znění</w:t>
      </w:r>
      <w:r w:rsidR="009967DF" w:rsidRPr="009967DF">
        <w:t xml:space="preserve"> </w:t>
      </w:r>
      <w:r w:rsidRPr="001C015B">
        <w:t>(to vše dále jen jako „</w:t>
      </w:r>
      <w:r w:rsidRPr="00F56454">
        <w:rPr>
          <w:b/>
          <w:i/>
        </w:rPr>
        <w:t>Zadávací řízení</w:t>
      </w:r>
      <w:r w:rsidR="0086346E">
        <w:t>“)</w:t>
      </w:r>
      <w:r>
        <w:t>.</w:t>
      </w:r>
      <w:r w:rsidR="00C61871">
        <w:t xml:space="preserve"> Součástí této Smlouvy je rovněž zadávací dokumentace a nabídka Poskytovatele jako</w:t>
      </w:r>
      <w:r w:rsidR="009E2642">
        <w:t xml:space="preserve"> vybraného dodavatele v Zadávacím </w:t>
      </w:r>
      <w:r w:rsidR="0068058F">
        <w:t>řízení</w:t>
      </w:r>
      <w:r w:rsidR="009E2642">
        <w:t xml:space="preserve"> </w:t>
      </w:r>
      <w:r w:rsidR="0068058F">
        <w:t xml:space="preserve">(dále jen „Dokumenty Zadávacího řízení“). </w:t>
      </w:r>
    </w:p>
    <w:p w14:paraId="3C78F70E" w14:textId="77777777" w:rsidR="004D1632" w:rsidRPr="00FC5AF0" w:rsidRDefault="00B60DD1" w:rsidP="00B60DD1">
      <w:pPr>
        <w:pStyle w:val="Odstavecseseznamem"/>
        <w:numPr>
          <w:ilvl w:val="0"/>
          <w:numId w:val="1"/>
        </w:numPr>
        <w:jc w:val="both"/>
        <w:rPr>
          <w:b/>
        </w:rPr>
      </w:pPr>
      <w:r w:rsidRPr="00FC5AF0">
        <w:rPr>
          <w:b/>
        </w:rPr>
        <w:t>PŘEDMĚT SMLOUVY</w:t>
      </w:r>
    </w:p>
    <w:p w14:paraId="07AA96B3" w14:textId="77777777" w:rsidR="00B60DD1" w:rsidRDefault="00B60DD1" w:rsidP="00B60DD1">
      <w:pPr>
        <w:pStyle w:val="Odstavecseseznamem"/>
        <w:numPr>
          <w:ilvl w:val="1"/>
          <w:numId w:val="1"/>
        </w:numPr>
        <w:ind w:left="567" w:hanging="567"/>
        <w:jc w:val="both"/>
      </w:pPr>
      <w:r>
        <w:t xml:space="preserve">Předmětem Smlouvy je stanovení práv a povinností Smluvních stran při poskytování </w:t>
      </w:r>
      <w:r w:rsidR="00290D8F">
        <w:t xml:space="preserve">vybraných </w:t>
      </w:r>
      <w:r>
        <w:t xml:space="preserve">služeb </w:t>
      </w:r>
      <w:r w:rsidR="00D0470C">
        <w:t>elektronických komunikací</w:t>
      </w:r>
      <w:r w:rsidR="00290D8F">
        <w:t>.</w:t>
      </w:r>
    </w:p>
    <w:p w14:paraId="366416DD" w14:textId="77777777" w:rsidR="00151475" w:rsidRDefault="00B60DD1" w:rsidP="00766B88">
      <w:pPr>
        <w:pStyle w:val="Odstavecseseznamem"/>
        <w:numPr>
          <w:ilvl w:val="1"/>
          <w:numId w:val="1"/>
        </w:numPr>
        <w:ind w:left="567" w:hanging="567"/>
        <w:jc w:val="both"/>
      </w:pPr>
      <w:r>
        <w:t xml:space="preserve">Předmětem Smlouvy je </w:t>
      </w:r>
      <w:r w:rsidR="00D41496">
        <w:t xml:space="preserve">závazek Poskytovatele </w:t>
      </w:r>
      <w:r>
        <w:t xml:space="preserve">poskytovat pro Účastníka požadované </w:t>
      </w:r>
      <w:r w:rsidR="006117E9">
        <w:t>vybrané</w:t>
      </w:r>
      <w:r>
        <w:t xml:space="preserve"> </w:t>
      </w:r>
      <w:r w:rsidR="00D840C5">
        <w:t>s</w:t>
      </w:r>
      <w:r>
        <w:t>lužby</w:t>
      </w:r>
      <w:r w:rsidR="00D840C5" w:rsidRPr="00D840C5">
        <w:t xml:space="preserve"> </w:t>
      </w:r>
      <w:r w:rsidR="00D840C5">
        <w:t>elektronických komunikací</w:t>
      </w:r>
      <w:r>
        <w:t xml:space="preserve">, </w:t>
      </w:r>
      <w:r w:rsidR="003B22F6">
        <w:t>a to</w:t>
      </w:r>
      <w:r w:rsidR="00D840C5">
        <w:t xml:space="preserve"> </w:t>
      </w:r>
      <w:r w:rsidR="00105FF6">
        <w:t>službu přístupu k internetu (</w:t>
      </w:r>
      <w:r w:rsidR="00D840C5" w:rsidRPr="00CE488D">
        <w:rPr>
          <w:rFonts w:eastAsiaTheme="minorEastAsia" w:cs="Times New Roman"/>
          <w:color w:val="000000"/>
          <w:lang w:eastAsia="cs-CZ"/>
        </w:rPr>
        <w:t xml:space="preserve">symetrické vysokorychlostní </w:t>
      </w:r>
      <w:r w:rsidR="0039130B" w:rsidRPr="00CE488D">
        <w:rPr>
          <w:color w:val="000000"/>
        </w:rPr>
        <w:t>propojení lokálních počítačových sítí</w:t>
      </w:r>
      <w:r w:rsidR="0039130B" w:rsidRPr="00CE488D">
        <w:rPr>
          <w:rFonts w:eastAsiaTheme="minorEastAsia" w:cs="Times New Roman"/>
          <w:color w:val="000000"/>
          <w:lang w:eastAsia="cs-CZ"/>
        </w:rPr>
        <w:t xml:space="preserve"> do sítě </w:t>
      </w:r>
      <w:r w:rsidR="00105FF6" w:rsidRPr="00CE488D">
        <w:rPr>
          <w:rFonts w:eastAsiaTheme="minorEastAsia" w:cs="Times New Roman"/>
          <w:color w:val="000000"/>
          <w:lang w:eastAsia="cs-CZ"/>
        </w:rPr>
        <w:t>i</w:t>
      </w:r>
      <w:r w:rsidR="0039130B" w:rsidRPr="00CE488D">
        <w:rPr>
          <w:rFonts w:eastAsiaTheme="minorEastAsia" w:cs="Times New Roman"/>
          <w:color w:val="000000"/>
          <w:lang w:eastAsia="cs-CZ"/>
        </w:rPr>
        <w:t>nternet</w:t>
      </w:r>
      <w:r w:rsidR="00105FF6" w:rsidRPr="00CE488D">
        <w:rPr>
          <w:rFonts w:eastAsiaTheme="minorEastAsia" w:cs="Times New Roman"/>
          <w:color w:val="000000"/>
          <w:lang w:eastAsia="cs-CZ"/>
        </w:rPr>
        <w:t>) pro vybrané lokality Účastníka</w:t>
      </w:r>
      <w:r w:rsidR="001A5B33">
        <w:rPr>
          <w:rFonts w:eastAsiaTheme="minorEastAsia" w:cs="Times New Roman"/>
          <w:color w:val="000000"/>
          <w:lang w:eastAsia="cs-CZ"/>
        </w:rPr>
        <w:t xml:space="preserve"> </w:t>
      </w:r>
      <w:r w:rsidR="001A5B33">
        <w:t>(dále jen „</w:t>
      </w:r>
      <w:r w:rsidR="001A5B33" w:rsidRPr="00CE488D">
        <w:rPr>
          <w:b/>
          <w:i/>
        </w:rPr>
        <w:t>Služby</w:t>
      </w:r>
      <w:r w:rsidR="001A5B33">
        <w:t>“)</w:t>
      </w:r>
      <w:r w:rsidR="00D015CE">
        <w:t xml:space="preserve">, přičemž </w:t>
      </w:r>
      <w:r w:rsidR="00687AC0" w:rsidRPr="00EB5E68">
        <w:rPr>
          <w:lang w:bidi="fa-IR"/>
        </w:rPr>
        <w:t>Seznam lokalit, specifikace a ceny Služeb</w:t>
      </w:r>
      <w:r w:rsidR="003528EF">
        <w:rPr>
          <w:rFonts w:eastAsiaTheme="minorEastAsia" w:cs="Times New Roman"/>
          <w:color w:val="000000"/>
          <w:lang w:eastAsia="cs-CZ"/>
        </w:rPr>
        <w:t xml:space="preserve"> </w:t>
      </w:r>
      <w:r w:rsidR="007E60B7" w:rsidRPr="00CE488D">
        <w:rPr>
          <w:rFonts w:eastAsiaTheme="minorEastAsia" w:cs="Times New Roman"/>
          <w:color w:val="000000"/>
          <w:lang w:eastAsia="cs-CZ"/>
        </w:rPr>
        <w:t>jsou</w:t>
      </w:r>
      <w:r w:rsidR="00D015CE">
        <w:t xml:space="preserve"> uveden</w:t>
      </w:r>
      <w:r w:rsidR="00CE488D">
        <w:t>y</w:t>
      </w:r>
      <w:r w:rsidR="00D015CE">
        <w:t xml:space="preserve"> v Příloze č. 1 Smlouvy</w:t>
      </w:r>
      <w:r w:rsidR="00105FF6">
        <w:t xml:space="preserve"> </w:t>
      </w:r>
      <w:r w:rsidR="00FA126E">
        <w:t xml:space="preserve">a bližší parametry Služeb jsou uvedeny </w:t>
      </w:r>
      <w:r w:rsidR="00FA126E" w:rsidRPr="00DA1C32">
        <w:t xml:space="preserve">v příloze č. 3 </w:t>
      </w:r>
      <w:r w:rsidR="001A5B33">
        <w:t>Technický popis řešení</w:t>
      </w:r>
      <w:r w:rsidR="00000248">
        <w:t>.</w:t>
      </w:r>
      <w:r w:rsidR="00065430">
        <w:t xml:space="preserve"> </w:t>
      </w:r>
      <w:r w:rsidR="00000248" w:rsidRPr="00DA1C32">
        <w:t xml:space="preserve">Objem Služeb uvedených v příloze č. </w:t>
      </w:r>
      <w:r w:rsidR="00F34CAE" w:rsidRPr="00DA1C32">
        <w:t>1</w:t>
      </w:r>
      <w:r w:rsidR="00000248" w:rsidRPr="00DA1C32">
        <w:t xml:space="preserve"> Smlouvy nezavazuje Účastníka k povinnému čerpání těchto Služeb, skutečný objem bude vycházet z aktuálních potřeb Účastníka v průběhu trvání Smlouvy.</w:t>
      </w:r>
      <w:r w:rsidR="00000248">
        <w:t xml:space="preserve"> </w:t>
      </w:r>
    </w:p>
    <w:p w14:paraId="38CDDADA" w14:textId="77777777" w:rsidR="00D70CBB" w:rsidRDefault="00D70CBB" w:rsidP="00D70CBB">
      <w:pPr>
        <w:pStyle w:val="Odstavecseseznamem"/>
        <w:numPr>
          <w:ilvl w:val="1"/>
          <w:numId w:val="1"/>
        </w:numPr>
        <w:ind w:left="567" w:hanging="567"/>
        <w:jc w:val="both"/>
      </w:pPr>
      <w:r>
        <w:t xml:space="preserve">Předmětem Smlouvy je rovněž závazek Účastníka zaplatit za řádně a včas poskytnuté Služby Cenu za Služby dle </w:t>
      </w:r>
      <w:r w:rsidRPr="009A3F39">
        <w:t>čl. 2 Smlouvy</w:t>
      </w:r>
      <w:r>
        <w:t>.</w:t>
      </w:r>
    </w:p>
    <w:p w14:paraId="4C51AA5F" w14:textId="77777777" w:rsidR="000A1478" w:rsidRDefault="000A1478" w:rsidP="000A1478">
      <w:pPr>
        <w:pStyle w:val="Odstavecseseznamem"/>
        <w:numPr>
          <w:ilvl w:val="1"/>
          <w:numId w:val="1"/>
        </w:numPr>
        <w:ind w:left="567" w:hanging="567"/>
        <w:jc w:val="both"/>
      </w:pPr>
      <w:r>
        <w:t>Součástí poskytování Služeb</w:t>
      </w:r>
      <w:r w:rsidR="00554D6E">
        <w:t xml:space="preserve"> uvedených v čl. 1.2 je rovněž </w:t>
      </w:r>
    </w:p>
    <w:p w14:paraId="7401DBCB" w14:textId="77777777" w:rsidR="00665E66" w:rsidRDefault="000A1478" w:rsidP="00094294">
      <w:pPr>
        <w:pStyle w:val="Odstavecseseznamem"/>
        <w:numPr>
          <w:ilvl w:val="2"/>
          <w:numId w:val="1"/>
        </w:numPr>
        <w:ind w:left="1418" w:hanging="851"/>
        <w:jc w:val="both"/>
      </w:pPr>
      <w:r>
        <w:t xml:space="preserve">zajištění </w:t>
      </w:r>
      <w:r w:rsidR="00554D6E">
        <w:t xml:space="preserve">kvality, </w:t>
      </w:r>
      <w:r w:rsidRPr="006737CC">
        <w:t>maximální dostupnosti a spolehlivosti Služeb</w:t>
      </w:r>
      <w:r w:rsidR="00665E66">
        <w:t>,</w:t>
      </w:r>
    </w:p>
    <w:p w14:paraId="065A006C" w14:textId="77777777" w:rsidR="00554D6E" w:rsidRPr="00554D6E" w:rsidRDefault="00665E66" w:rsidP="00094294">
      <w:pPr>
        <w:pStyle w:val="Odstavecseseznamem"/>
        <w:numPr>
          <w:ilvl w:val="2"/>
          <w:numId w:val="1"/>
        </w:numPr>
        <w:ind w:left="1418" w:hanging="851"/>
        <w:jc w:val="both"/>
      </w:pPr>
      <w:r>
        <w:rPr>
          <w:rFonts w:eastAsiaTheme="minorEastAsia" w:cs="Times New Roman"/>
          <w:color w:val="000000"/>
          <w:lang w:eastAsia="cs-CZ"/>
        </w:rPr>
        <w:t>poskytování služ</w:t>
      </w:r>
      <w:r w:rsidR="00554D6E">
        <w:rPr>
          <w:rFonts w:eastAsiaTheme="minorEastAsia" w:cs="Times New Roman"/>
          <w:color w:val="000000"/>
          <w:lang w:eastAsia="cs-CZ"/>
        </w:rPr>
        <w:t>e</w:t>
      </w:r>
      <w:r>
        <w:rPr>
          <w:rFonts w:eastAsiaTheme="minorEastAsia" w:cs="Times New Roman"/>
          <w:color w:val="000000"/>
          <w:lang w:eastAsia="cs-CZ"/>
        </w:rPr>
        <w:t xml:space="preserve">b technické podpory a servisních služeb, a to </w:t>
      </w:r>
      <w:r w:rsidRPr="00DD7BEF">
        <w:rPr>
          <w:rFonts w:eastAsiaTheme="minorEastAsia" w:cs="Times New Roman"/>
          <w:color w:val="000000"/>
          <w:lang w:eastAsia="cs-CZ"/>
        </w:rPr>
        <w:t xml:space="preserve">centrálně pro </w:t>
      </w:r>
      <w:r>
        <w:rPr>
          <w:rFonts w:eastAsiaTheme="minorEastAsia" w:cs="Times New Roman"/>
          <w:color w:val="000000"/>
          <w:lang w:eastAsia="cs-CZ"/>
        </w:rPr>
        <w:t xml:space="preserve">Účastníka </w:t>
      </w:r>
      <w:r w:rsidRPr="00DD7BEF">
        <w:rPr>
          <w:rFonts w:eastAsiaTheme="minorEastAsia" w:cs="Times New Roman"/>
          <w:color w:val="000000"/>
          <w:lang w:eastAsia="cs-CZ"/>
        </w:rPr>
        <w:t xml:space="preserve">a dále pak pro jednotlivé lokality </w:t>
      </w:r>
      <w:r>
        <w:rPr>
          <w:rFonts w:eastAsiaTheme="minorEastAsia" w:cs="Times New Roman"/>
          <w:color w:val="000000"/>
          <w:lang w:eastAsia="cs-CZ"/>
        </w:rPr>
        <w:t>Účastníka,</w:t>
      </w:r>
    </w:p>
    <w:p w14:paraId="45CEE482" w14:textId="77777777" w:rsidR="00554D6E" w:rsidRPr="00554D6E" w:rsidRDefault="00554D6E" w:rsidP="00094294">
      <w:pPr>
        <w:pStyle w:val="Odstavecseseznamem"/>
        <w:numPr>
          <w:ilvl w:val="2"/>
          <w:numId w:val="1"/>
        </w:numPr>
        <w:ind w:left="1418" w:hanging="851"/>
        <w:jc w:val="both"/>
      </w:pPr>
      <w:r>
        <w:rPr>
          <w:rFonts w:eastAsiaTheme="minorEastAsia" w:cs="Times New Roman"/>
          <w:color w:val="000000"/>
          <w:lang w:eastAsia="cs-CZ"/>
        </w:rPr>
        <w:t xml:space="preserve">poskytování </w:t>
      </w:r>
      <w:r w:rsidRPr="00DD7BEF">
        <w:rPr>
          <w:rFonts w:eastAsiaTheme="minorEastAsia" w:cs="Times New Roman"/>
          <w:color w:val="000000"/>
          <w:lang w:eastAsia="cs-CZ"/>
        </w:rPr>
        <w:t>služb</w:t>
      </w:r>
      <w:r>
        <w:rPr>
          <w:rFonts w:eastAsiaTheme="minorEastAsia" w:cs="Times New Roman"/>
          <w:color w:val="000000"/>
          <w:lang w:eastAsia="cs-CZ"/>
        </w:rPr>
        <w:t>y</w:t>
      </w:r>
      <w:r w:rsidRPr="00DD7BEF">
        <w:rPr>
          <w:rFonts w:eastAsiaTheme="minorEastAsia" w:cs="Times New Roman"/>
          <w:color w:val="000000"/>
          <w:lang w:eastAsia="cs-CZ"/>
        </w:rPr>
        <w:t xml:space="preserve"> umožňující kontrolu kvality připojení a zobrazení statistik připojení minimálně 2</w:t>
      </w:r>
      <w:r>
        <w:rPr>
          <w:rFonts w:eastAsiaTheme="minorEastAsia" w:cs="Times New Roman"/>
          <w:color w:val="000000"/>
          <w:lang w:eastAsia="cs-CZ"/>
        </w:rPr>
        <w:t> </w:t>
      </w:r>
      <w:r w:rsidRPr="00DD7BEF">
        <w:rPr>
          <w:rFonts w:eastAsiaTheme="minorEastAsia" w:cs="Times New Roman"/>
          <w:color w:val="000000"/>
          <w:lang w:eastAsia="cs-CZ"/>
        </w:rPr>
        <w:t>měsíce zpětně</w:t>
      </w:r>
      <w:r>
        <w:rPr>
          <w:rFonts w:eastAsiaTheme="minorEastAsia" w:cs="Times New Roman"/>
          <w:color w:val="000000"/>
          <w:lang w:eastAsia="cs-CZ"/>
        </w:rPr>
        <w:t>,</w:t>
      </w:r>
      <w:r w:rsidRPr="00DD7BEF">
        <w:rPr>
          <w:rFonts w:eastAsiaTheme="minorEastAsia" w:cs="Times New Roman"/>
          <w:color w:val="000000"/>
          <w:lang w:eastAsia="cs-CZ"/>
        </w:rPr>
        <w:t xml:space="preserve"> a to nejméně na úrovni evidence výpadků připojení a denního datového vytížení linky</w:t>
      </w:r>
      <w:r>
        <w:rPr>
          <w:rFonts w:eastAsiaTheme="minorEastAsia" w:cs="Times New Roman"/>
          <w:color w:val="000000"/>
          <w:lang w:eastAsia="cs-CZ"/>
        </w:rPr>
        <w:t>;</w:t>
      </w:r>
    </w:p>
    <w:p w14:paraId="2D212EB0" w14:textId="77777777" w:rsidR="004B33C8" w:rsidRDefault="00665E66" w:rsidP="00895CA5">
      <w:pPr>
        <w:pStyle w:val="Odstavecseseznamem"/>
        <w:ind w:left="1418"/>
        <w:jc w:val="both"/>
      </w:pPr>
      <w:r>
        <w:rPr>
          <w:rFonts w:eastAsiaTheme="minorEastAsia" w:cs="Times New Roman"/>
          <w:color w:val="000000"/>
          <w:lang w:eastAsia="cs-CZ"/>
        </w:rPr>
        <w:t>bližší popis těchto služeb je obsažen</w:t>
      </w:r>
      <w:r w:rsidR="00002FC2">
        <w:rPr>
          <w:rFonts w:eastAsiaTheme="minorEastAsia" w:cs="Times New Roman"/>
          <w:color w:val="000000"/>
          <w:lang w:eastAsia="cs-CZ"/>
        </w:rPr>
        <w:t xml:space="preserve"> v SLA podmínkách, kter</w:t>
      </w:r>
      <w:r w:rsidR="00FF36A0">
        <w:rPr>
          <w:rFonts w:eastAsiaTheme="minorEastAsia" w:cs="Times New Roman"/>
          <w:color w:val="000000"/>
          <w:lang w:eastAsia="cs-CZ"/>
        </w:rPr>
        <w:t>é</w:t>
      </w:r>
      <w:r w:rsidR="00002FC2">
        <w:rPr>
          <w:rFonts w:eastAsiaTheme="minorEastAsia" w:cs="Times New Roman"/>
          <w:color w:val="000000"/>
          <w:lang w:eastAsia="cs-CZ"/>
        </w:rPr>
        <w:t xml:space="preserve"> tvoří</w:t>
      </w:r>
      <w:r>
        <w:rPr>
          <w:rFonts w:eastAsiaTheme="minorEastAsia" w:cs="Times New Roman"/>
          <w:color w:val="000000"/>
          <w:lang w:eastAsia="cs-CZ"/>
        </w:rPr>
        <w:t xml:space="preserve"> </w:t>
      </w:r>
      <w:r w:rsidRPr="005011AE">
        <w:rPr>
          <w:rFonts w:eastAsiaTheme="minorEastAsia" w:cs="Times New Roman"/>
          <w:color w:val="000000"/>
          <w:lang w:eastAsia="cs-CZ"/>
        </w:rPr>
        <w:t>přílo</w:t>
      </w:r>
      <w:r w:rsidR="00002FC2" w:rsidRPr="005011AE">
        <w:rPr>
          <w:rFonts w:eastAsiaTheme="minorEastAsia" w:cs="Times New Roman"/>
          <w:color w:val="000000"/>
          <w:lang w:eastAsia="cs-CZ"/>
        </w:rPr>
        <w:t>hu</w:t>
      </w:r>
      <w:r w:rsidRPr="005011AE">
        <w:rPr>
          <w:rFonts w:eastAsiaTheme="minorEastAsia" w:cs="Times New Roman"/>
          <w:color w:val="000000"/>
          <w:lang w:eastAsia="cs-CZ"/>
        </w:rPr>
        <w:t xml:space="preserve"> č. </w:t>
      </w:r>
      <w:r w:rsidR="00A06670">
        <w:rPr>
          <w:rFonts w:eastAsiaTheme="minorEastAsia" w:cs="Times New Roman"/>
          <w:color w:val="000000"/>
          <w:lang w:eastAsia="cs-CZ"/>
        </w:rPr>
        <w:t>5</w:t>
      </w:r>
      <w:r w:rsidR="00242E14">
        <w:rPr>
          <w:rFonts w:eastAsiaTheme="minorEastAsia" w:cs="Times New Roman"/>
          <w:color w:val="000000"/>
          <w:lang w:eastAsia="cs-CZ"/>
        </w:rPr>
        <w:t xml:space="preserve"> </w:t>
      </w:r>
      <w:r>
        <w:rPr>
          <w:rFonts w:eastAsiaTheme="minorEastAsia" w:cs="Times New Roman"/>
          <w:color w:val="000000"/>
          <w:lang w:eastAsia="cs-CZ"/>
        </w:rPr>
        <w:t>této Smlouvy</w:t>
      </w:r>
      <w:r w:rsidR="004B33C8" w:rsidRPr="00665E66">
        <w:rPr>
          <w:rFonts w:eastAsiaTheme="minorEastAsia" w:cs="Times New Roman"/>
          <w:color w:val="000000"/>
          <w:lang w:eastAsia="cs-CZ"/>
        </w:rPr>
        <w:t>.</w:t>
      </w:r>
    </w:p>
    <w:p w14:paraId="6D08D925" w14:textId="77777777" w:rsidR="00B96BD7" w:rsidRDefault="00B96BD7" w:rsidP="00B96BD7">
      <w:pPr>
        <w:pStyle w:val="Odstavecseseznamem"/>
        <w:numPr>
          <w:ilvl w:val="1"/>
          <w:numId w:val="1"/>
        </w:numPr>
        <w:ind w:left="567" w:hanging="567"/>
        <w:jc w:val="both"/>
      </w:pPr>
      <w:r>
        <w:t>Součástí poskytování Služeb je rovněž závazek Poskytovatele zajistit na žádost Účastníka následující administrativní úkony</w:t>
      </w:r>
      <w:r w:rsidR="0081484E">
        <w:t xml:space="preserve"> či služby</w:t>
      </w:r>
      <w:r>
        <w:t xml:space="preserve">, </w:t>
      </w:r>
      <w:r w:rsidR="00451B10">
        <w:t>které budou poskytovány bezplatně</w:t>
      </w:r>
      <w:r>
        <w:t>, a to:</w:t>
      </w:r>
    </w:p>
    <w:p w14:paraId="077F5E06" w14:textId="77777777" w:rsidR="00B96BD7" w:rsidRPr="002B65F5" w:rsidRDefault="00B96BD7" w:rsidP="002B65F5">
      <w:pPr>
        <w:pStyle w:val="Odstavecseseznamem"/>
        <w:numPr>
          <w:ilvl w:val="2"/>
          <w:numId w:val="1"/>
        </w:numPr>
        <w:ind w:left="1418" w:hanging="851"/>
        <w:jc w:val="both"/>
      </w:pPr>
      <w:r>
        <w:t>změna fakturačních údajů (např. změna názvu, sídla účetní jednotky</w:t>
      </w:r>
      <w:r w:rsidR="00F1162C">
        <w:t xml:space="preserve"> Účastníka</w:t>
      </w:r>
      <w:r>
        <w:t>)</w:t>
      </w:r>
    </w:p>
    <w:p w14:paraId="3C46D024" w14:textId="77777777" w:rsidR="00B96BD7" w:rsidRDefault="00B96BD7" w:rsidP="00F1162C">
      <w:pPr>
        <w:pStyle w:val="Odstavecseseznamem"/>
        <w:numPr>
          <w:ilvl w:val="1"/>
          <w:numId w:val="1"/>
        </w:numPr>
        <w:ind w:left="567" w:hanging="567"/>
        <w:jc w:val="both"/>
      </w:pPr>
      <w:r>
        <w:t>Zřizovací poplatky, které představují jednorázové platby spojené se zřízením nové přípojky</w:t>
      </w:r>
      <w:r w:rsidR="008602D5">
        <w:t xml:space="preserve"> k internetu</w:t>
      </w:r>
      <w:r>
        <w:t>, nebo jakékoliv jednorázové poplatky</w:t>
      </w:r>
      <w:r w:rsidR="00451B10">
        <w:t xml:space="preserve"> nebudou Poskytovatelem Účastníkovi</w:t>
      </w:r>
      <w:r w:rsidR="00451B10" w:rsidRPr="00451B10">
        <w:t xml:space="preserve"> </w:t>
      </w:r>
      <w:r w:rsidR="00451B10">
        <w:t>účtovány</w:t>
      </w:r>
      <w:r w:rsidR="00A173FE">
        <w:t xml:space="preserve"> zvlášť;</w:t>
      </w:r>
      <w:r w:rsidR="00451B10">
        <w:t xml:space="preserve"> </w:t>
      </w:r>
      <w:r w:rsidR="00A173FE">
        <w:t>v</w:t>
      </w:r>
      <w:r w:rsidR="00451B10">
        <w:t>eškeré tyto náklady jsou již Poskytovatelem</w:t>
      </w:r>
      <w:r>
        <w:t xml:space="preserve"> zahrnut</w:t>
      </w:r>
      <w:r w:rsidR="00451B10">
        <w:t>y</w:t>
      </w:r>
      <w:r>
        <w:t xml:space="preserve"> jako součást měsíčních paušálních plateb </w:t>
      </w:r>
      <w:r w:rsidRPr="009A3F39">
        <w:t xml:space="preserve">uvedených </w:t>
      </w:r>
      <w:r w:rsidR="00A173FE" w:rsidRPr="00197E63">
        <w:t>v</w:t>
      </w:r>
      <w:r w:rsidRPr="00197E63">
        <w:t xml:space="preserve"> Přílo</w:t>
      </w:r>
      <w:r w:rsidR="00A173FE" w:rsidRPr="00197E63">
        <w:t>ze</w:t>
      </w:r>
      <w:r w:rsidRPr="00197E63">
        <w:t xml:space="preserve"> č. </w:t>
      </w:r>
      <w:r w:rsidR="00AF3DAC" w:rsidRPr="00197E63">
        <w:t>1</w:t>
      </w:r>
      <w:r w:rsidR="00A173FE">
        <w:t xml:space="preserve">. </w:t>
      </w:r>
    </w:p>
    <w:p w14:paraId="03ABC541" w14:textId="77777777" w:rsidR="008A0773" w:rsidRPr="00E95B78" w:rsidRDefault="008A0773" w:rsidP="008A0773">
      <w:pPr>
        <w:pStyle w:val="Odstavecseseznamem"/>
        <w:numPr>
          <w:ilvl w:val="1"/>
          <w:numId w:val="1"/>
        </w:numPr>
        <w:ind w:left="567" w:hanging="567"/>
        <w:jc w:val="both"/>
      </w:pPr>
      <w:r>
        <w:rPr>
          <w:rFonts w:eastAsia="Arial"/>
          <w:bCs/>
          <w:color w:val="000000"/>
          <w:lang w:eastAsia="cs-CZ" w:bidi="cs-CZ"/>
        </w:rPr>
        <w:t xml:space="preserve">Služby budou poskytovány </w:t>
      </w:r>
      <w:r w:rsidRPr="0048140D">
        <w:rPr>
          <w:rFonts w:eastAsia="Arial"/>
          <w:bCs/>
          <w:color w:val="000000"/>
          <w:lang w:eastAsia="cs-CZ" w:bidi="cs-CZ"/>
        </w:rPr>
        <w:t xml:space="preserve">v místě „koncových bodů sítě“ (kompletní seznam všech lokalit </w:t>
      </w:r>
      <w:r>
        <w:rPr>
          <w:rFonts w:eastAsia="Arial"/>
          <w:bCs/>
          <w:color w:val="000000"/>
          <w:lang w:eastAsia="cs-CZ" w:bidi="cs-CZ"/>
        </w:rPr>
        <w:t xml:space="preserve">Účastníka je uveden </w:t>
      </w:r>
      <w:r w:rsidRPr="0048140D">
        <w:rPr>
          <w:rFonts w:eastAsia="Arial"/>
          <w:bCs/>
          <w:color w:val="000000"/>
          <w:lang w:eastAsia="cs-CZ" w:bidi="cs-CZ"/>
        </w:rPr>
        <w:t xml:space="preserve">v </w:t>
      </w:r>
      <w:r w:rsidRPr="00126333">
        <w:rPr>
          <w:rFonts w:eastAsia="Arial"/>
          <w:bCs/>
          <w:color w:val="000000"/>
          <w:lang w:eastAsia="cs-CZ" w:bidi="cs-CZ"/>
        </w:rPr>
        <w:t xml:space="preserve">Příloze č. </w:t>
      </w:r>
      <w:r w:rsidR="00986AF6">
        <w:rPr>
          <w:rFonts w:eastAsia="Arial"/>
          <w:bCs/>
          <w:color w:val="000000"/>
          <w:lang w:eastAsia="cs-CZ" w:bidi="cs-CZ"/>
        </w:rPr>
        <w:t>1 Smlouvy</w:t>
      </w:r>
      <w:r w:rsidRPr="0048140D">
        <w:rPr>
          <w:rFonts w:eastAsia="Arial"/>
          <w:bCs/>
          <w:color w:val="000000"/>
          <w:lang w:eastAsia="cs-CZ" w:bidi="cs-CZ"/>
        </w:rPr>
        <w:t>).</w:t>
      </w:r>
      <w:r w:rsidRPr="00ED0356">
        <w:rPr>
          <w:rFonts w:eastAsia="Arial"/>
          <w:bCs/>
          <w:color w:val="000000"/>
          <w:lang w:eastAsia="cs-CZ" w:bidi="cs-CZ"/>
        </w:rPr>
        <w:t xml:space="preserve"> </w:t>
      </w:r>
      <w:r w:rsidRPr="008D0B07">
        <w:rPr>
          <w:rFonts w:eastAsia="Arial"/>
          <w:bCs/>
          <w:color w:val="000000"/>
          <w:lang w:eastAsia="cs-CZ" w:bidi="cs-CZ"/>
        </w:rPr>
        <w:t>V případě nutnosti dovedení připojení Poskytovatelem ke koncovým bodům nese veškeré náklady na toto dovedení Poskytovatel.</w:t>
      </w:r>
    </w:p>
    <w:p w14:paraId="6FBB0FB9" w14:textId="77777777" w:rsidR="00094294" w:rsidRDefault="00094294" w:rsidP="004B48A1">
      <w:pPr>
        <w:pStyle w:val="Odstavecseseznamem"/>
        <w:numPr>
          <w:ilvl w:val="1"/>
          <w:numId w:val="1"/>
        </w:numPr>
        <w:ind w:left="567" w:hanging="567"/>
        <w:jc w:val="both"/>
      </w:pPr>
      <w:r>
        <w:t>Součástí poskytování Služeb je rovněž závazek Poskytovatele zajistit</w:t>
      </w:r>
      <w:r w:rsidRPr="00094294">
        <w:t xml:space="preserve"> </w:t>
      </w:r>
      <w:r>
        <w:t xml:space="preserve">kontinuitu poskytovaných </w:t>
      </w:r>
      <w:r w:rsidR="006578D8">
        <w:t>S</w:t>
      </w:r>
      <w:r>
        <w:t>lužeb přístupu k</w:t>
      </w:r>
      <w:r w:rsidR="00D078EC">
        <w:t> </w:t>
      </w:r>
      <w:r>
        <w:t>internetu</w:t>
      </w:r>
      <w:r w:rsidR="00D078EC">
        <w:t xml:space="preserve"> v souladu se Zákonem o elektronických komunikacích</w:t>
      </w:r>
      <w:r w:rsidR="007F40A8">
        <w:t xml:space="preserve">.  </w:t>
      </w:r>
      <w:r w:rsidR="00D515B6">
        <w:t>Poskyt</w:t>
      </w:r>
      <w:r w:rsidR="006578D8">
        <w:t>ovatel zajistí, aby k aktivaci S</w:t>
      </w:r>
      <w:r w:rsidR="00D515B6">
        <w:t xml:space="preserve">lužeb přístupu k internetu </w:t>
      </w:r>
      <w:r w:rsidR="00F71D7B">
        <w:t xml:space="preserve">ve vztahu ke všem lokalitám uvedeným v příloze č. 1 této Smlouvy </w:t>
      </w:r>
      <w:r w:rsidR="00D515B6">
        <w:t xml:space="preserve">došlo </w:t>
      </w:r>
      <w:r w:rsidR="007A64C1">
        <w:t>nejpozději k</w:t>
      </w:r>
      <w:r w:rsidR="00FC42D5">
        <w:t> datu 2. 7.</w:t>
      </w:r>
      <w:r w:rsidR="00D515B6">
        <w:t xml:space="preserve"> 202</w:t>
      </w:r>
      <w:r w:rsidR="00FC42D5">
        <w:t>3</w:t>
      </w:r>
      <w:r w:rsidR="008B2DA0">
        <w:t xml:space="preserve">, </w:t>
      </w:r>
      <w:r w:rsidR="00815919">
        <w:t xml:space="preserve">anebo </w:t>
      </w:r>
      <w:r w:rsidR="00085615">
        <w:t>ve</w:t>
      </w:r>
      <w:r w:rsidR="00FC42D5">
        <w:t> </w:t>
      </w:r>
      <w:r w:rsidR="00085615">
        <w:t xml:space="preserve">lhůtě </w:t>
      </w:r>
      <w:r w:rsidR="00815919">
        <w:t xml:space="preserve">do </w:t>
      </w:r>
      <w:r w:rsidR="00B53CD1">
        <w:t>60</w:t>
      </w:r>
      <w:r w:rsidR="00B90BBF">
        <w:t>-ti</w:t>
      </w:r>
      <w:r w:rsidR="00815919">
        <w:t xml:space="preserve"> kalendářních dnů od nabytí účinnosti Smlouvy, bude-li doba mezi nabytím účinnosti Smlouvy a datem </w:t>
      </w:r>
      <w:r w:rsidR="00FC42D5">
        <w:t>2. 7. 20</w:t>
      </w:r>
      <w:r w:rsidR="00815919">
        <w:t>2</w:t>
      </w:r>
      <w:r w:rsidR="00FC42D5">
        <w:t>3</w:t>
      </w:r>
      <w:r w:rsidR="00815919">
        <w:t xml:space="preserve"> kratší </w:t>
      </w:r>
      <w:r w:rsidR="00B53CD1">
        <w:t>šedesáti</w:t>
      </w:r>
      <w:r w:rsidR="00815919">
        <w:t xml:space="preserve"> dnů</w:t>
      </w:r>
      <w:r w:rsidR="00116E9E">
        <w:t>; tato 60</w:t>
      </w:r>
      <w:r w:rsidR="0086477D">
        <w:t>-ti</w:t>
      </w:r>
      <w:r w:rsidR="00116E9E">
        <w:t xml:space="preserve"> denní lhůta se nepoužije, bude-li Poskytovatelem dle této Smlouvy stávající poskytovatel služeb dle dosavadní smlouvy </w:t>
      </w:r>
      <w:r w:rsidR="00116E9E">
        <w:lastRenderedPageBreak/>
        <w:t>s Účastníkem</w:t>
      </w:r>
      <w:r w:rsidR="00B87454">
        <w:t>,</w:t>
      </w:r>
      <w:r w:rsidR="00844E63">
        <w:t xml:space="preserve"> v takovém případě </w:t>
      </w:r>
      <w:r w:rsidR="00844E63" w:rsidRPr="002B6E3A">
        <w:t xml:space="preserve">Poskytovatel zajistí aktivaci Služeb nejpozději </w:t>
      </w:r>
      <w:proofErr w:type="spellStart"/>
      <w:r w:rsidR="00844E63" w:rsidRPr="002B6E3A">
        <w:t>čtyřicátýmpátým</w:t>
      </w:r>
      <w:proofErr w:type="spellEnd"/>
      <w:r w:rsidR="00844E63" w:rsidRPr="002B6E3A">
        <w:t xml:space="preserve"> dnem následujícím po nabytí účinnosti Smlouvy</w:t>
      </w:r>
      <w:r w:rsidR="00D515B6" w:rsidRPr="001776B0">
        <w:t>.</w:t>
      </w:r>
      <w:r w:rsidR="003B78BD" w:rsidRPr="003B78BD">
        <w:t xml:space="preserve"> </w:t>
      </w:r>
      <w:r w:rsidR="00F71D7B">
        <w:t>Kontinuitu poskytovaných Služeb přístupu k internetu</w:t>
      </w:r>
      <w:r w:rsidR="00F71D7B" w:rsidRPr="003307BE">
        <w:t xml:space="preserve"> </w:t>
      </w:r>
      <w:r w:rsidR="00F71D7B">
        <w:t>provede</w:t>
      </w:r>
      <w:r w:rsidR="00F71D7B" w:rsidRPr="003307BE">
        <w:t xml:space="preserve"> Poskytovatel dle návrhu postupu včetně termínovaného harmonogramu, který tvoří přílohu č. </w:t>
      </w:r>
      <w:r w:rsidR="00CB1A00">
        <w:t>6</w:t>
      </w:r>
      <w:r w:rsidR="00F71D7B" w:rsidRPr="003307BE">
        <w:t xml:space="preserve"> Smlouvy</w:t>
      </w:r>
      <w:r w:rsidR="00F71D7B">
        <w:t>; tímto postupem nesmí být zásadně omezen provoz Účastníka, méně zásadní omezení budou uvedena</w:t>
      </w:r>
      <w:r w:rsidR="000D4066">
        <w:t xml:space="preserve"> v návrhu postupu v příloze č. </w:t>
      </w:r>
      <w:r w:rsidR="00CB25E9">
        <w:t>6</w:t>
      </w:r>
      <w:r w:rsidR="00F71D7B">
        <w:t xml:space="preserve"> Smlouvy. </w:t>
      </w:r>
    </w:p>
    <w:p w14:paraId="7657267D" w14:textId="77777777" w:rsidR="00DC49D7" w:rsidRDefault="00DC49D7" w:rsidP="00DC49D7">
      <w:pPr>
        <w:pStyle w:val="Odstavecseseznamem"/>
        <w:ind w:left="567"/>
        <w:jc w:val="both"/>
      </w:pPr>
    </w:p>
    <w:p w14:paraId="086C7409" w14:textId="77777777" w:rsidR="004D2893" w:rsidRPr="00DC49D7" w:rsidRDefault="004D2893" w:rsidP="004D2893">
      <w:pPr>
        <w:pStyle w:val="Odstavecseseznamem"/>
        <w:numPr>
          <w:ilvl w:val="0"/>
          <w:numId w:val="1"/>
        </w:numPr>
        <w:jc w:val="both"/>
        <w:rPr>
          <w:b/>
        </w:rPr>
      </w:pPr>
      <w:r w:rsidRPr="00DC49D7">
        <w:rPr>
          <w:b/>
        </w:rPr>
        <w:t>CENA</w:t>
      </w:r>
      <w:r w:rsidR="00A62D66">
        <w:rPr>
          <w:b/>
        </w:rPr>
        <w:t xml:space="preserve"> A PLATEBNÍ PODMÍNKY</w:t>
      </w:r>
    </w:p>
    <w:p w14:paraId="43AC4307" w14:textId="77777777" w:rsidR="008942FD" w:rsidRDefault="004D2893" w:rsidP="008942FD">
      <w:pPr>
        <w:pStyle w:val="Odstavecseseznamem"/>
        <w:numPr>
          <w:ilvl w:val="1"/>
          <w:numId w:val="1"/>
        </w:numPr>
        <w:ind w:left="567" w:hanging="567"/>
        <w:jc w:val="both"/>
      </w:pPr>
      <w:r>
        <w:t xml:space="preserve">Cena za Služby (dále jen „Cena za Služby“) se stanoví dle Přílohy č. </w:t>
      </w:r>
      <w:r w:rsidR="00690024">
        <w:t>1</w:t>
      </w:r>
      <w:r w:rsidR="00272F3C">
        <w:t>:</w:t>
      </w:r>
      <w:r w:rsidR="00272F3C" w:rsidRPr="00272F3C">
        <w:t xml:space="preserve"> </w:t>
      </w:r>
      <w:r w:rsidR="00690024">
        <w:t xml:space="preserve">Specifikace Služeb, </w:t>
      </w:r>
      <w:r w:rsidR="00690024" w:rsidRPr="008942FD">
        <w:rPr>
          <w:rFonts w:eastAsiaTheme="minorEastAsia" w:cs="Times New Roman"/>
          <w:color w:val="000000"/>
          <w:lang w:eastAsia="cs-CZ"/>
        </w:rPr>
        <w:t>rychlost, seznam lokalit a ceny Služeb</w:t>
      </w:r>
      <w:r w:rsidR="00272F3C">
        <w:t>, případně dle</w:t>
      </w:r>
      <w:r>
        <w:t xml:space="preserve"> Přílohy č. </w:t>
      </w:r>
      <w:r w:rsidR="005336FF">
        <w:t>2</w:t>
      </w:r>
      <w:r w:rsidR="00272F3C">
        <w:t xml:space="preserve">: Ceník ostatních služeb (v Kč bez </w:t>
      </w:r>
      <w:r>
        <w:t>DPH</w:t>
      </w:r>
      <w:r w:rsidR="00272F3C">
        <w:t>)</w:t>
      </w:r>
      <w:r w:rsidR="008942FD">
        <w:t xml:space="preserve"> s tím, že</w:t>
      </w:r>
      <w:r w:rsidR="008942FD" w:rsidRPr="008942FD">
        <w:t xml:space="preserve"> </w:t>
      </w:r>
      <w:r w:rsidR="008942FD">
        <w:t>cena za jeden měsíc poskytování jednotlivé datové Služby pro příslušnou lokalitu dle této Smlouvy je uvedená v Příloze č. 1 této Smlouvy a je stanovena jako měsíční paušál a dále označována jako „Dílčí cena za Službu“.</w:t>
      </w:r>
    </w:p>
    <w:p w14:paraId="42944181" w14:textId="77777777" w:rsidR="005A3D61" w:rsidRDefault="004D2893" w:rsidP="00DC49D7">
      <w:pPr>
        <w:pStyle w:val="Odstavecseseznamem"/>
        <w:numPr>
          <w:ilvl w:val="1"/>
          <w:numId w:val="1"/>
        </w:numPr>
        <w:ind w:left="567" w:hanging="567"/>
        <w:jc w:val="both"/>
      </w:pPr>
      <w:r>
        <w:t xml:space="preserve">Nastane-li rozpor mezi Přílohou č. </w:t>
      </w:r>
      <w:r w:rsidR="005336FF">
        <w:t>1</w:t>
      </w:r>
      <w:r>
        <w:t xml:space="preserve"> a Přílohou č. </w:t>
      </w:r>
      <w:r w:rsidR="005336FF">
        <w:t>2</w:t>
      </w:r>
      <w:r>
        <w:t xml:space="preserve"> Smlouvy, rozhoduje nižší Cena za </w:t>
      </w:r>
      <w:r w:rsidR="00C96563">
        <w:t>S</w:t>
      </w:r>
      <w:r>
        <w:t>lužby stanovená porovnáním jednotlivých cen dle</w:t>
      </w:r>
      <w:r w:rsidR="005A3D61">
        <w:t xml:space="preserve"> těchto příloh. </w:t>
      </w:r>
    </w:p>
    <w:p w14:paraId="4CA1C329" w14:textId="77777777" w:rsidR="004D2893" w:rsidRDefault="004D2893" w:rsidP="00DC49D7">
      <w:pPr>
        <w:pStyle w:val="Odstavecseseznamem"/>
        <w:numPr>
          <w:ilvl w:val="1"/>
          <w:numId w:val="1"/>
        </w:numPr>
        <w:ind w:left="567" w:hanging="567"/>
        <w:jc w:val="both"/>
      </w:pPr>
      <w:r>
        <w:t xml:space="preserve">V případě poskytování Služeb, jejichž cena není specifikována v Příloze č. </w:t>
      </w:r>
      <w:r w:rsidR="0059353D">
        <w:t>1</w:t>
      </w:r>
      <w:r>
        <w:t xml:space="preserve"> </w:t>
      </w:r>
      <w:r w:rsidR="00881E28">
        <w:t>ani</w:t>
      </w:r>
      <w:r>
        <w:t xml:space="preserve"> v Příloze č. </w:t>
      </w:r>
      <w:r w:rsidR="0059353D">
        <w:t>2</w:t>
      </w:r>
      <w:r>
        <w:t xml:space="preserve"> Smlouvy, se použije aktuální ceník Poskytovatele, zveřejněný na jeho webových stránkách </w:t>
      </w:r>
      <w:hyperlink r:id="rId8" w:history="1">
        <w:r w:rsidR="006D6265" w:rsidRPr="00CA4D74">
          <w:rPr>
            <w:rStyle w:val="Hypertextovodkaz"/>
          </w:rPr>
          <w:t>https://www.t-mobile.cz/dcpublic/Cenik_sluzeb_T-Mobile_zakaznici_s_ramcovou_smlouvou-II.pdf</w:t>
        </w:r>
      </w:hyperlink>
      <w:r w:rsidR="006D6265">
        <w:t xml:space="preserve"> </w:t>
      </w:r>
      <w:r>
        <w:t>(dále jen „Aktuální ceník“).</w:t>
      </w:r>
    </w:p>
    <w:p w14:paraId="74C8D8CD" w14:textId="77777777" w:rsidR="004D2893" w:rsidRDefault="004D2893" w:rsidP="00DC49D7">
      <w:pPr>
        <w:pStyle w:val="Odstavecseseznamem"/>
        <w:numPr>
          <w:ilvl w:val="1"/>
          <w:numId w:val="1"/>
        </w:numPr>
        <w:ind w:left="567" w:hanging="567"/>
        <w:jc w:val="both"/>
      </w:pPr>
      <w:r>
        <w:t>Cena za Služby je sjednána dohodou Smluvních stran podle zákona č. 526/1990 Sb., o cenách, ve znění pozdějších předpisů</w:t>
      </w:r>
      <w:r w:rsidR="00FC44C1">
        <w:t xml:space="preserve">. Jednotkové ceny jsou </w:t>
      </w:r>
      <w:r>
        <w:t>cen</w:t>
      </w:r>
      <w:r w:rsidR="00FC44C1">
        <w:t>ami</w:t>
      </w:r>
      <w:r>
        <w:t xml:space="preserve"> maximální</w:t>
      </w:r>
      <w:r w:rsidR="00FC44C1">
        <w:t>mi</w:t>
      </w:r>
      <w:r>
        <w:t xml:space="preserve"> a nepřekročiteln</w:t>
      </w:r>
      <w:r w:rsidR="00FC44C1">
        <w:t>ými</w:t>
      </w:r>
      <w:r>
        <w:t>, kter</w:t>
      </w:r>
      <w:r w:rsidR="00FC44C1">
        <w:t>é</w:t>
      </w:r>
      <w:r w:rsidR="00363FFA">
        <w:t xml:space="preserve"> zahrnují</w:t>
      </w:r>
      <w:r>
        <w:t xml:space="preserve"> veškeré náklady spojené s realizací Služeb.</w:t>
      </w:r>
    </w:p>
    <w:p w14:paraId="583239AA" w14:textId="77777777" w:rsidR="004D2893" w:rsidRDefault="004D2893" w:rsidP="00DC49D7">
      <w:pPr>
        <w:pStyle w:val="Odstavecseseznamem"/>
        <w:numPr>
          <w:ilvl w:val="1"/>
          <w:numId w:val="1"/>
        </w:numPr>
        <w:ind w:left="567" w:hanging="567"/>
        <w:jc w:val="both"/>
      </w:pPr>
      <w:r>
        <w:t xml:space="preserve">Poskytovatel prohlašuje, že </w:t>
      </w:r>
      <w:r w:rsidRPr="006D6265">
        <w:t>je</w:t>
      </w:r>
      <w:r>
        <w:t xml:space="preserve"> plátcem DPH. K Ceně za Služby bude připočítána DPH v zákonem stanovené výši ke dni uskutečnění zdanitelného plnění.</w:t>
      </w:r>
      <w:r w:rsidR="00C37EE9">
        <w:t xml:space="preserve"> Cena za Služby včetně DPH může být měněna v souvislosti s legislativní změnou sazby DPH, a to o výši této legislativní změny sazby DPH. </w:t>
      </w:r>
    </w:p>
    <w:p w14:paraId="19DB1F14" w14:textId="77777777" w:rsidR="004D2893" w:rsidRDefault="004D2893" w:rsidP="00DC49D7">
      <w:pPr>
        <w:pStyle w:val="Odstavecseseznamem"/>
        <w:numPr>
          <w:ilvl w:val="1"/>
          <w:numId w:val="1"/>
        </w:numPr>
        <w:ind w:left="567" w:hanging="567"/>
        <w:jc w:val="both"/>
      </w:pPr>
      <w:r>
        <w:t xml:space="preserve">Platba Ceny za Služby bude prováděna </w:t>
      </w:r>
      <w:r w:rsidRPr="00445F29">
        <w:t>bezhotovostním platebním převodem na základě faktury, která bude Poskytovatelem doručena v elektronické anebo listinné podobě do 1</w:t>
      </w:r>
      <w:r w:rsidR="006F2AFF" w:rsidRPr="00445F29">
        <w:t>5</w:t>
      </w:r>
      <w:r w:rsidRPr="00445F29">
        <w:t xml:space="preserve"> (</w:t>
      </w:r>
      <w:r w:rsidR="006F2AFF" w:rsidRPr="00445F29">
        <w:t>pat</w:t>
      </w:r>
      <w:r w:rsidRPr="00445F29">
        <w:t>nácti) kalendářních dnů po uplynutí předmětného kalendářního měsíce, ve kterém byly Služby poskytovány.</w:t>
      </w:r>
      <w:r w:rsidR="007D4B12">
        <w:t xml:space="preserve"> </w:t>
      </w:r>
    </w:p>
    <w:p w14:paraId="06440076" w14:textId="77777777" w:rsidR="004D2893" w:rsidRDefault="004D2893" w:rsidP="00DC49D7">
      <w:pPr>
        <w:pStyle w:val="Odstavecseseznamem"/>
        <w:numPr>
          <w:ilvl w:val="1"/>
          <w:numId w:val="1"/>
        </w:numPr>
        <w:ind w:left="567" w:hanging="567"/>
        <w:jc w:val="both"/>
      </w:pPr>
      <w:r>
        <w:t>Faktura musí obsahovat zejména:</w:t>
      </w:r>
      <w:r w:rsidR="00AE41C0">
        <w:t xml:space="preserve"> </w:t>
      </w:r>
      <w:r w:rsidR="00197CF9">
        <w:t>číslo Smlouvy, lokalit</w:t>
      </w:r>
      <w:r w:rsidR="00F83B03">
        <w:t>y</w:t>
      </w:r>
      <w:r w:rsidR="00197CF9">
        <w:t>, resp. „koncov</w:t>
      </w:r>
      <w:r w:rsidR="00F83B03">
        <w:t>é</w:t>
      </w:r>
      <w:r w:rsidR="00197CF9">
        <w:t xml:space="preserve"> bod</w:t>
      </w:r>
      <w:r w:rsidR="00F83B03">
        <w:t>y</w:t>
      </w:r>
      <w:r w:rsidR="00197CF9">
        <w:t xml:space="preserve"> sítě“, k n</w:t>
      </w:r>
      <w:r w:rsidR="00F83B03">
        <w:t>im</w:t>
      </w:r>
      <w:r w:rsidR="00197CF9">
        <w:t xml:space="preserve">ž se faktura vztahuje, </w:t>
      </w:r>
      <w:r>
        <w:t>úplné bankovní spojení Poskytovatele, přičemž číslo účtu musí odpovídat číslu účtu uvedenému v záhlaví Smlouvy nebo číslu účtu v registru plátců DPH, popř. řádně oznámenému číslu účtu postupem dle Smlouvy, údaje uvedené v § 29 zákona č. 235/2004 Sb., údaje uvedené v § 435 Občanského zákoníku,</w:t>
      </w:r>
      <w:r w:rsidR="00AE41C0">
        <w:t xml:space="preserve"> </w:t>
      </w:r>
      <w:r>
        <w:t>obecný popis poskytnutých Služeb, Cenu za Služby bez DPH a s DPH.</w:t>
      </w:r>
    </w:p>
    <w:p w14:paraId="79D25933" w14:textId="77777777" w:rsidR="004D2893" w:rsidRPr="00F16F61" w:rsidRDefault="004D2893" w:rsidP="00DC49D7">
      <w:pPr>
        <w:pStyle w:val="Odstavecseseznamem"/>
        <w:numPr>
          <w:ilvl w:val="1"/>
          <w:numId w:val="1"/>
        </w:numPr>
        <w:ind w:left="567" w:hanging="567"/>
        <w:jc w:val="both"/>
      </w:pPr>
      <w:r w:rsidRPr="00F16F61">
        <w:t>Elektronické faktury se Poskytovatel zavazuje doručovat ve formátu PDF nebo ve formátu, který je v souladu s evropským standardem elektronické faktury nebo ve formátu popsaném vyhláškou č. 194/2009 Sb., o stanovení podrobností užívání a provozování informačního systému datových schránek. Všechny řádně vystavené faktury jsou splatné do 30 (třiceti) kalendářních dnů od jejich prokazatelného doručení Účastníkovi.</w:t>
      </w:r>
    </w:p>
    <w:p w14:paraId="15B4EB6C" w14:textId="77777777" w:rsidR="004D2893" w:rsidRPr="00F16F61" w:rsidRDefault="004D2893" w:rsidP="00134C8C">
      <w:pPr>
        <w:pStyle w:val="Odstavecseseznamem"/>
        <w:numPr>
          <w:ilvl w:val="1"/>
          <w:numId w:val="1"/>
        </w:numPr>
        <w:ind w:left="567" w:hanging="567"/>
        <w:jc w:val="both"/>
      </w:pPr>
      <w:r w:rsidRPr="00F16F61">
        <w:t xml:space="preserve">Poskytovatel bude doručovat faktury v listinné </w:t>
      </w:r>
      <w:r w:rsidR="00134C8C" w:rsidRPr="00F16F61">
        <w:t xml:space="preserve">podobě na adresu sídla Účastníka </w:t>
      </w:r>
      <w:r w:rsidRPr="00F16F61">
        <w:t>anebo elektronické podobě do datové schránky Účastníka</w:t>
      </w:r>
      <w:r w:rsidR="00134C8C" w:rsidRPr="00F16F61">
        <w:t xml:space="preserve"> ID datové schránky: 2cy8h6t nebo na e-mailovou adresu: </w:t>
      </w:r>
      <w:hyperlink r:id="rId9" w:history="1">
        <w:r w:rsidR="00134C8C" w:rsidRPr="00F16F61">
          <w:rPr>
            <w:rStyle w:val="Hypertextovodkaz"/>
          </w:rPr>
          <w:t>epodatelna@npu.cz</w:t>
        </w:r>
      </w:hyperlink>
      <w:r w:rsidR="00134C8C" w:rsidRPr="00F16F61">
        <w:t xml:space="preserve"> .</w:t>
      </w:r>
      <w:r w:rsidRPr="00F16F61">
        <w:t xml:space="preserve"> </w:t>
      </w:r>
    </w:p>
    <w:p w14:paraId="58B8454E" w14:textId="77777777" w:rsidR="004D2893" w:rsidRDefault="004D2893" w:rsidP="00DC49D7">
      <w:pPr>
        <w:pStyle w:val="Odstavecseseznamem"/>
        <w:numPr>
          <w:ilvl w:val="1"/>
          <w:numId w:val="1"/>
        </w:numPr>
        <w:ind w:left="567" w:hanging="567"/>
        <w:jc w:val="both"/>
      </w:pPr>
      <w:r>
        <w:t>Faktura je považována za uhrazenou odepsáním příslušné částky k úhradě z účtu Účastníka ve prospěch účtu Poskytovatele.</w:t>
      </w:r>
    </w:p>
    <w:p w14:paraId="3047AE95" w14:textId="77777777" w:rsidR="004D2893" w:rsidRDefault="004D2893" w:rsidP="00DC49D7">
      <w:pPr>
        <w:pStyle w:val="Odstavecseseznamem"/>
        <w:numPr>
          <w:ilvl w:val="1"/>
          <w:numId w:val="1"/>
        </w:numPr>
        <w:ind w:left="567" w:hanging="567"/>
        <w:jc w:val="both"/>
      </w:pPr>
      <w:r>
        <w:t xml:space="preserve">Účastník má právo fakturu Poskytovateli před uplynutím lhůty splatnosti vrátit, aniž by došlo k prodlení s její úhradou, obsahuje-li faktura </w:t>
      </w:r>
      <w:r w:rsidR="001F09D4">
        <w:t xml:space="preserve">po formální stránce </w:t>
      </w:r>
      <w:r>
        <w:t xml:space="preserve">nesprávné náležitosti nebo </w:t>
      </w:r>
      <w:r>
        <w:lastRenderedPageBreak/>
        <w:t>údaje, chybí-li na faktuře některá z náležitostí nebo údajů nebo chybí-li její příloha. Ode dne doručení opravené nebo nově vystavené faktury běží Účastníkovi nová lhůta splatnosti v délce 30 (třiceti) kalendářních dnů.</w:t>
      </w:r>
    </w:p>
    <w:p w14:paraId="49015D86" w14:textId="77777777" w:rsidR="004D2893" w:rsidRDefault="004D2893" w:rsidP="00DC49D7">
      <w:pPr>
        <w:pStyle w:val="Odstavecseseznamem"/>
        <w:numPr>
          <w:ilvl w:val="1"/>
          <w:numId w:val="1"/>
        </w:numPr>
        <w:ind w:left="567" w:hanging="567"/>
        <w:jc w:val="both"/>
      </w:pPr>
      <w:r>
        <w:t xml:space="preserve">Veškeré platby </w:t>
      </w:r>
      <w:r w:rsidR="006C7A31">
        <w:t xml:space="preserve">dle Smlouvy </w:t>
      </w:r>
      <w:r>
        <w:t>se hradí v korunách českých.</w:t>
      </w:r>
    </w:p>
    <w:p w14:paraId="546DBDE3" w14:textId="77777777" w:rsidR="004D2893" w:rsidRDefault="004D2893" w:rsidP="00DC49D7">
      <w:pPr>
        <w:pStyle w:val="Odstavecseseznamem"/>
        <w:numPr>
          <w:ilvl w:val="1"/>
          <w:numId w:val="1"/>
        </w:numPr>
        <w:ind w:left="567" w:hanging="567"/>
        <w:jc w:val="both"/>
      </w:pPr>
      <w:r>
        <w:t>Poskytovatel prohlašuje, že správce daně před uzavřením Smlouvy nerozhodl, že Poskytovatel je nespolehlivým plátcem ve smyslu § 106a zákona o DPH (dále jen „Nespolehlivý plátce“). V</w:t>
      </w:r>
      <w:r w:rsidR="00134C8C">
        <w:t> </w:t>
      </w:r>
      <w:r>
        <w:t>případě, že správce daně rozhodne o tom, že Poskytovatel je Nespolehlivým plátcem, zavazuje se Poskytovatel o tomto informovat Účastníka do 3 (tří)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111A9000" w14:textId="77777777" w:rsidR="004D2893" w:rsidRDefault="004D2893" w:rsidP="00DC49D7">
      <w:pPr>
        <w:pStyle w:val="Odstavecseseznamem"/>
        <w:numPr>
          <w:ilvl w:val="1"/>
          <w:numId w:val="1"/>
        </w:numPr>
        <w:ind w:left="567" w:hanging="567"/>
        <w:jc w:val="both"/>
      </w:pPr>
      <w:r>
        <w:t>Poskytovatel bere na vědomí, že na Služby se neposkytují zálohové platby.</w:t>
      </w:r>
    </w:p>
    <w:p w14:paraId="4312FE02" w14:textId="77777777" w:rsidR="004D2893" w:rsidRDefault="004D2893" w:rsidP="00DC49D7">
      <w:pPr>
        <w:pStyle w:val="Odstavecseseznamem"/>
        <w:numPr>
          <w:ilvl w:val="1"/>
          <w:numId w:val="1"/>
        </w:numPr>
        <w:ind w:left="567" w:hanging="567"/>
        <w:jc w:val="both"/>
      </w:pPr>
      <w:r>
        <w:t xml:space="preserve">Pro úplnost Smluvní strany sjednávají, že podmínky reklamace </w:t>
      </w:r>
      <w:r w:rsidR="00347784">
        <w:t xml:space="preserve">na vyúčtování </w:t>
      </w:r>
      <w:r w:rsidR="003A582E">
        <w:t>C</w:t>
      </w:r>
      <w:r w:rsidR="00347784">
        <w:t>eny</w:t>
      </w:r>
      <w:r>
        <w:t xml:space="preserve"> se řídí Zákonem o elektronických komunikacích.</w:t>
      </w:r>
    </w:p>
    <w:p w14:paraId="4AA75A6F" w14:textId="77777777" w:rsidR="00134C8C" w:rsidRDefault="00134C8C" w:rsidP="00134C8C">
      <w:pPr>
        <w:pStyle w:val="Odstavecseseznamem"/>
        <w:ind w:left="567"/>
        <w:jc w:val="both"/>
      </w:pPr>
    </w:p>
    <w:p w14:paraId="114527A6" w14:textId="77777777" w:rsidR="00A9097F" w:rsidRPr="00A9097F" w:rsidRDefault="00A9097F" w:rsidP="00A9097F">
      <w:pPr>
        <w:pStyle w:val="Odstavecseseznamem"/>
        <w:numPr>
          <w:ilvl w:val="0"/>
          <w:numId w:val="1"/>
        </w:numPr>
        <w:jc w:val="both"/>
        <w:rPr>
          <w:b/>
        </w:rPr>
      </w:pPr>
      <w:r w:rsidRPr="00A9097F">
        <w:rPr>
          <w:b/>
        </w:rPr>
        <w:t>PRÁVA A POVINNOSTI SMLUVNÍCH STRAN</w:t>
      </w:r>
    </w:p>
    <w:p w14:paraId="250EBE2F" w14:textId="77777777" w:rsidR="00B4107B" w:rsidRDefault="00B4107B" w:rsidP="00B4107B">
      <w:pPr>
        <w:pStyle w:val="Odstavecseseznamem"/>
        <w:numPr>
          <w:ilvl w:val="1"/>
          <w:numId w:val="1"/>
        </w:numPr>
        <w:ind w:left="567" w:hanging="567"/>
        <w:jc w:val="both"/>
      </w:pPr>
      <w:r>
        <w:t>Poskytovatel se zavazuje poskytovat Služby za podmínek uvedených</w:t>
      </w:r>
      <w:r w:rsidR="005331D4">
        <w:t xml:space="preserve"> ve Smlouvě a jejích přílohách</w:t>
      </w:r>
      <w:r w:rsidR="005331D4" w:rsidRPr="00F16F61">
        <w:t xml:space="preserve">, a to od </w:t>
      </w:r>
      <w:r w:rsidR="00CA44F6">
        <w:t>2. 7. 2023</w:t>
      </w:r>
      <w:r w:rsidR="00AC0334">
        <w:t>.</w:t>
      </w:r>
      <w:r w:rsidR="00ED1BEB">
        <w:t xml:space="preserve"> </w:t>
      </w:r>
      <w:r w:rsidR="00BE1D71">
        <w:t>Dojde-li k aktivaci Služeb ve shodě s čl. 1.</w:t>
      </w:r>
      <w:r w:rsidR="0026086F">
        <w:t>8</w:t>
      </w:r>
      <w:r w:rsidR="00BE1D71">
        <w:t xml:space="preserve">. Smlouvy po datu </w:t>
      </w:r>
      <w:r w:rsidR="001B65F7">
        <w:t>2. 7. 2023</w:t>
      </w:r>
      <w:r w:rsidR="00BE1D71">
        <w:t>, je Poskytovatel povinen poskytovat Služby ode dne</w:t>
      </w:r>
      <w:r w:rsidR="00DE36B9">
        <w:t>,</w:t>
      </w:r>
      <w:r w:rsidR="00BE1D71">
        <w:t xml:space="preserve"> </w:t>
      </w:r>
      <w:r w:rsidR="00DE36B9">
        <w:t>který je v čl.  1.</w:t>
      </w:r>
      <w:r w:rsidR="0026086F">
        <w:t>8</w:t>
      </w:r>
      <w:r w:rsidR="00DE36B9">
        <w:t xml:space="preserve">. Smlouvy stanoven pro </w:t>
      </w:r>
      <w:r w:rsidR="00BE1D71">
        <w:t>aktivac</w:t>
      </w:r>
      <w:r w:rsidR="00DE36B9">
        <w:t>i</w:t>
      </w:r>
      <w:r w:rsidR="00BE1D71">
        <w:t xml:space="preserve"> těchto Služeb. </w:t>
      </w:r>
    </w:p>
    <w:p w14:paraId="41A2D15D" w14:textId="77777777" w:rsidR="00B4107B" w:rsidRDefault="00B4107B" w:rsidP="00B4107B">
      <w:pPr>
        <w:pStyle w:val="Odstavecseseznamem"/>
        <w:numPr>
          <w:ilvl w:val="1"/>
          <w:numId w:val="1"/>
        </w:numPr>
        <w:ind w:left="567" w:hanging="567"/>
        <w:jc w:val="both"/>
      </w:pPr>
      <w:r w:rsidRPr="000B4E6D">
        <w:t>Účastník se zavazuje za řádně a včas poskytnuté Služby zaplatit Poskytovateli Cenu za Služby dle čl. 2 Smlouvy</w:t>
      </w:r>
      <w:r>
        <w:t>.</w:t>
      </w:r>
    </w:p>
    <w:p w14:paraId="1E46B0C8" w14:textId="77777777" w:rsidR="00A9097F" w:rsidRDefault="00A9097F" w:rsidP="00A9097F">
      <w:pPr>
        <w:pStyle w:val="Odstavecseseznamem"/>
        <w:numPr>
          <w:ilvl w:val="1"/>
          <w:numId w:val="1"/>
        </w:numPr>
        <w:ind w:left="567" w:hanging="567"/>
        <w:jc w:val="both"/>
      </w:pPr>
      <w:r>
        <w:t>Poskytovatel nemá právo bez souhlasu Účastníka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14:paraId="18F8B3E3" w14:textId="77777777" w:rsidR="00A9097F" w:rsidRDefault="00A9097F" w:rsidP="00A9097F">
      <w:pPr>
        <w:pStyle w:val="Odstavecseseznamem"/>
        <w:numPr>
          <w:ilvl w:val="1"/>
          <w:numId w:val="1"/>
        </w:numPr>
        <w:ind w:left="567" w:hanging="567"/>
        <w:jc w:val="both"/>
      </w:pPr>
      <w:r>
        <w:t xml:space="preserve">Poskytovatel je </w:t>
      </w:r>
      <w:r w:rsidRPr="00A240AE">
        <w:t xml:space="preserve">povinen mít po celou dobu trvání této Smlouvy uzavřené pojištění odpovědnosti za škodu způsobenou jeho činností v důsledku plnění Smlouvy Účastníkovi, případně třetím osobám, a to s výší pojistného plnění minimálně </w:t>
      </w:r>
      <w:r w:rsidR="00353519" w:rsidRPr="00A240AE">
        <w:t>1</w:t>
      </w:r>
      <w:r w:rsidRPr="00A240AE">
        <w:t>.000.000,-Kč</w:t>
      </w:r>
      <w:r>
        <w:t>.</w:t>
      </w:r>
    </w:p>
    <w:p w14:paraId="1819CD08" w14:textId="77777777" w:rsidR="00A9097F" w:rsidRDefault="00A9097F" w:rsidP="00A9097F">
      <w:pPr>
        <w:pStyle w:val="Odstavecseseznamem"/>
        <w:numPr>
          <w:ilvl w:val="1"/>
          <w:numId w:val="1"/>
        </w:numPr>
        <w:ind w:left="567" w:hanging="567"/>
        <w:jc w:val="both"/>
      </w:pPr>
      <w:r>
        <w:t>Smluvní strany jsou povinny si poskytovat součinnost a vzájemně se informovat o všech okolnostech důležitých pro řádné a včasné plnění Smlouvy.</w:t>
      </w:r>
    </w:p>
    <w:p w14:paraId="30DB5CE9" w14:textId="77777777" w:rsidR="00A9097F" w:rsidRDefault="00A9097F" w:rsidP="00A9097F">
      <w:pPr>
        <w:pStyle w:val="Odstavecseseznamem"/>
        <w:numPr>
          <w:ilvl w:val="1"/>
          <w:numId w:val="1"/>
        </w:numPr>
        <w:ind w:left="567" w:hanging="567"/>
        <w:jc w:val="both"/>
      </w:pPr>
      <w:r>
        <w:t>Poskytovatel je povinen zachovávat mlčenlivost o všech informacích neveřejné a důvěrné povahy (dále jen „Neveřejné informace“). Neveřejnými informacemi se rozumí veškeré informace poskytnuté Poskytovateli Účastníkem v souvislosti s plněním Smlouvy, informace, na které se vztahuje zákonem uložená povinnost mlčenlivosti a veškeré další informace, které budou Poskytovatelem označeny jako důvěrné ve smyslu ustanovení § 218 zákona č. 134/2016 Sb., o zadávání veřejných zakázek, v účinném znění. Za Neveřejnou informaci se nepovažují položkové ceny za jednotlivé Služby. Jako s Neveřejnými informacemi musí být nakládáno také s informacemi, které splňují podmínky uvedené v předchozí větě tohoto ustanovení, i když byly získané náhodně nebo bez vědomí Účastníka a dále s veškerými informacemi získanými od jakékoliv třetí strany, pokud se týkají Účastníka či plnění této Smlouvy. Neveřejné informace může Poskytovatel užít pouze za účelem plnění Smlouvy, k jinému použití je třeba písemné svolení Účastníka.</w:t>
      </w:r>
    </w:p>
    <w:p w14:paraId="6A88288A" w14:textId="77777777" w:rsidR="00A9097F" w:rsidRDefault="00A9097F" w:rsidP="00A9097F">
      <w:pPr>
        <w:pStyle w:val="Odstavecseseznamem"/>
        <w:numPr>
          <w:ilvl w:val="1"/>
          <w:numId w:val="1"/>
        </w:numPr>
        <w:ind w:left="567" w:hanging="567"/>
        <w:jc w:val="both"/>
      </w:pPr>
      <w:r>
        <w:t xml:space="preserve">Povinnost zachovávat mlčenlivost, uvedená v předchozím odstavci, se nevztahuje na informace, které je Účastník 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lastRenderedPageBreak/>
        <w:t>Poskytovatel schopen prokázat, že mu byly známy ještě před přijetím těchto informací od Účastníka, avšak pouze za podmínky, že se na tyto informace nevztahuje povinnost mlčenlivosti z jiných důvodů, a informace, které budou Poskytovateli po uzavření Smlouvy smluv sděleny bez závazku mlčenlivosti třetí stranou, jež rovněž není ve vztahu k těmto informacím nijak vázána.</w:t>
      </w:r>
    </w:p>
    <w:p w14:paraId="0488246E" w14:textId="77777777" w:rsidR="00A9097F" w:rsidRDefault="00A9097F" w:rsidP="00A9097F">
      <w:pPr>
        <w:pStyle w:val="Odstavecseseznamem"/>
        <w:numPr>
          <w:ilvl w:val="1"/>
          <w:numId w:val="1"/>
        </w:numPr>
        <w:ind w:left="567" w:hanging="567"/>
        <w:jc w:val="both"/>
      </w:pPr>
      <w:r>
        <w:t>Poskytovatel je povinen zavázat povinností mlčenlivosti a respektováním práv Účastníka všechny osoby, kterým umožní jakkoliv se s Neveřejnými informacemi seznámit, včetně svého případného poddodavatele, a to nejméně ve stejném rozsahu, v jakém je zavázán sám.</w:t>
      </w:r>
    </w:p>
    <w:p w14:paraId="75EA51D2" w14:textId="77777777" w:rsidR="00A9097F" w:rsidRDefault="00A9097F" w:rsidP="00A9097F">
      <w:pPr>
        <w:pStyle w:val="Odstavecseseznamem"/>
        <w:numPr>
          <w:ilvl w:val="1"/>
          <w:numId w:val="1"/>
        </w:numPr>
        <w:ind w:left="567" w:hanging="567"/>
        <w:jc w:val="both"/>
      </w:pPr>
      <w:r>
        <w:t xml:space="preserve">Povinnost zachování mlčenlivosti dle </w:t>
      </w:r>
      <w:r w:rsidR="000D421F">
        <w:t>čl.</w:t>
      </w:r>
      <w:r>
        <w:t xml:space="preserve"> </w:t>
      </w:r>
      <w:r w:rsidR="000D421F">
        <w:t>3.</w:t>
      </w:r>
      <w:r>
        <w:t>6</w:t>
      </w:r>
      <w:r w:rsidR="006E1675">
        <w:t>,</w:t>
      </w:r>
      <w:r>
        <w:t xml:space="preserve"> </w:t>
      </w:r>
      <w:r w:rsidR="000D421F">
        <w:t>3.</w:t>
      </w:r>
      <w:r>
        <w:t>7</w:t>
      </w:r>
      <w:r w:rsidR="006E1675">
        <w:t xml:space="preserve"> a </w:t>
      </w:r>
      <w:r w:rsidR="000D421F">
        <w:t>3.</w:t>
      </w:r>
      <w:r w:rsidR="006E1675">
        <w:t>8</w:t>
      </w:r>
      <w:r>
        <w:t xml:space="preserve"> trvá ještě po dobu 5 (pěti) let od skončení všech smluvních vztahů založených na základě této Smlouvy bez ohledu na zánik ostatních závazků ze Smlouvy.</w:t>
      </w:r>
    </w:p>
    <w:p w14:paraId="3951D888" w14:textId="77777777" w:rsidR="00A9097F" w:rsidRDefault="00A9097F" w:rsidP="00A9097F">
      <w:pPr>
        <w:pStyle w:val="Odstavecseseznamem"/>
        <w:numPr>
          <w:ilvl w:val="1"/>
          <w:numId w:val="1"/>
        </w:numPr>
        <w:ind w:left="567" w:hanging="567"/>
        <w:jc w:val="both"/>
      </w:pPr>
      <w:r>
        <w:t xml:space="preserve">Poskytovatel se zavazuje poskytovat Služby v souladu s touto Smlouvou (vč. všech příloh), jakož i </w:t>
      </w:r>
      <w:r w:rsidR="00CB342D">
        <w:t>D</w:t>
      </w:r>
      <w:r>
        <w:t xml:space="preserve">okumenty Zadávacího řízení. V případě rozporu vyjmenovaných podkladů mají přednost ustanovení Smlouvy (vč. příloh). V případě rozporu příloh Smlouvy a Smlouvy mají přednost ustanovení Smlouvy. </w:t>
      </w:r>
    </w:p>
    <w:p w14:paraId="13EC9AF9" w14:textId="77777777" w:rsidR="00A9097F" w:rsidRDefault="00A9097F" w:rsidP="00A9097F">
      <w:pPr>
        <w:pStyle w:val="Odstavecseseznamem"/>
        <w:numPr>
          <w:ilvl w:val="1"/>
          <w:numId w:val="1"/>
        </w:numPr>
        <w:ind w:left="567" w:hanging="567"/>
        <w:jc w:val="both"/>
      </w:pPr>
      <w:r>
        <w:t>Poskytovatel je povinen poskytovat Služby dle této Smlouvy na své náklady a na své nebezpečí.</w:t>
      </w:r>
    </w:p>
    <w:p w14:paraId="7701F375" w14:textId="77777777" w:rsidR="00A9097F" w:rsidRDefault="00A9097F" w:rsidP="00A9097F">
      <w:pPr>
        <w:pStyle w:val="Odstavecseseznamem"/>
        <w:numPr>
          <w:ilvl w:val="1"/>
          <w:numId w:val="1"/>
        </w:numPr>
        <w:ind w:left="567" w:hanging="567"/>
        <w:jc w:val="both"/>
      </w:pPr>
      <w:r>
        <w:t xml:space="preserve">Poskytovatel se zavazuje poskytovat Služby dle této Smlouvy svědomitě, řádně a včas, a to vždy s maximálně možným vynaložením odborné péče. </w:t>
      </w:r>
    </w:p>
    <w:p w14:paraId="20E5C7C4" w14:textId="77777777" w:rsidR="00A9097F" w:rsidRDefault="00A9097F" w:rsidP="00A9097F">
      <w:pPr>
        <w:pStyle w:val="Odstavecseseznamem"/>
        <w:numPr>
          <w:ilvl w:val="1"/>
          <w:numId w:val="1"/>
        </w:numPr>
        <w:ind w:left="567" w:hanging="567"/>
        <w:jc w:val="both"/>
      </w:pPr>
      <w:r>
        <w:t>Poskytovatel je ve smyslu ustanovení § 2 písm. e) zákona č. 320/2001 Sb., o finanční kontrole ve veřejné správě a o změně některých zákonů (zákon o finanční kontrole), ve znění pozdějších předpisů (dále „ZFK“), osobou povinnou spolupůsobit při výkonu finanční kontroly.</w:t>
      </w:r>
    </w:p>
    <w:p w14:paraId="2A2D7236" w14:textId="77777777" w:rsidR="00A9097F" w:rsidRDefault="00A9097F" w:rsidP="00A9097F">
      <w:pPr>
        <w:pStyle w:val="Odstavecseseznamem"/>
        <w:numPr>
          <w:ilvl w:val="1"/>
          <w:numId w:val="1"/>
        </w:numPr>
        <w:ind w:left="567" w:hanging="567"/>
        <w:jc w:val="both"/>
      </w:pPr>
      <w:r>
        <w:t>Poskytovatel se zavazuje nezměnit poddodavatele, prostřednictvím kterého prokazoval v Zadávacím řízení kvalifikaci, bez předchozího písemného souhlasu Kontaktní osoby Účastníka. Spolu se žádostí o vyslovení souhlasu Kontaktní osoby Účastníka se změnou poddodavatele dle předchozí věty je Poskytovatel povinen doložit doklady prokazující ze strany nově navrhovaného poddodavatele kvalifikaci odpovídající kvalifikaci nahrazovaného poddodavatele, nebo alespoň takovou kvalifikaci, aby Poskytovatel i po změně poddodavatele nadále naplňoval minimální úroveň všech technických kvalifikačních předpokladů dle Dokumentů Zadávacího řízení.</w:t>
      </w:r>
    </w:p>
    <w:p w14:paraId="2C834A73" w14:textId="77777777" w:rsidR="004924AD" w:rsidRPr="00B30951" w:rsidRDefault="004924AD" w:rsidP="00A9097F">
      <w:pPr>
        <w:pStyle w:val="Odstavecseseznamem"/>
        <w:numPr>
          <w:ilvl w:val="1"/>
          <w:numId w:val="1"/>
        </w:numPr>
        <w:ind w:left="567" w:hanging="567"/>
        <w:jc w:val="both"/>
      </w:pPr>
      <w:r>
        <w:rPr>
          <w:rFonts w:eastAsia="Arial"/>
          <w:color w:val="000000"/>
          <w:lang w:eastAsia="cs-CZ" w:bidi="cs-CZ"/>
        </w:rPr>
        <w:t>Poskytovatel je povinen</w:t>
      </w:r>
      <w:r w:rsidRPr="005B67A9">
        <w:rPr>
          <w:rFonts w:eastAsia="Arial"/>
          <w:color w:val="000000"/>
          <w:lang w:eastAsia="cs-CZ" w:bidi="cs-CZ"/>
        </w:rPr>
        <w:t xml:space="preserve"> písemně oznamovat</w:t>
      </w:r>
      <w:r>
        <w:rPr>
          <w:rFonts w:eastAsia="Arial"/>
          <w:color w:val="000000"/>
          <w:lang w:eastAsia="cs-CZ" w:bidi="cs-CZ"/>
        </w:rPr>
        <w:t xml:space="preserve"> Kontaktní osobě Účastníka</w:t>
      </w:r>
      <w:r w:rsidRPr="005B67A9">
        <w:rPr>
          <w:rFonts w:eastAsia="Arial"/>
          <w:color w:val="000000"/>
          <w:lang w:eastAsia="cs-CZ" w:bidi="cs-CZ"/>
        </w:rPr>
        <w:t xml:space="preserve"> veškeré plánované výpadky</w:t>
      </w:r>
      <w:r w:rsidR="00154015">
        <w:t xml:space="preserve"> datové sítě </w:t>
      </w:r>
      <w:r w:rsidR="00FF36A0">
        <w:rPr>
          <w:rFonts w:eastAsiaTheme="minorEastAsia" w:cs="Times New Roman"/>
          <w:color w:val="000000"/>
          <w:lang w:eastAsia="cs-CZ"/>
        </w:rPr>
        <w:t xml:space="preserve">mající za následek nedostupnost datových Služeb </w:t>
      </w:r>
      <w:r w:rsidRPr="005B67A9">
        <w:rPr>
          <w:rFonts w:eastAsia="Arial"/>
          <w:color w:val="000000"/>
          <w:lang w:eastAsia="cs-CZ" w:bidi="cs-CZ"/>
        </w:rPr>
        <w:t xml:space="preserve">minimálně 5 kalendářních dnů předem. </w:t>
      </w:r>
      <w:r>
        <w:rPr>
          <w:rFonts w:eastAsia="Arial"/>
          <w:color w:val="000000"/>
          <w:lang w:eastAsia="cs-CZ" w:bidi="cs-CZ"/>
        </w:rPr>
        <w:t>N</w:t>
      </w:r>
      <w:r w:rsidRPr="005B67A9">
        <w:rPr>
          <w:rFonts w:eastAsia="Arial"/>
          <w:color w:val="000000"/>
          <w:lang w:eastAsia="cs-CZ" w:bidi="cs-CZ"/>
        </w:rPr>
        <w:t>esplnění této</w:t>
      </w:r>
      <w:r>
        <w:rPr>
          <w:rFonts w:eastAsia="Arial"/>
          <w:color w:val="000000"/>
          <w:lang w:eastAsia="cs-CZ" w:bidi="cs-CZ"/>
        </w:rPr>
        <w:t xml:space="preserve"> povinnosti b</w:t>
      </w:r>
      <w:r w:rsidRPr="005B67A9">
        <w:rPr>
          <w:rFonts w:eastAsia="Arial"/>
          <w:color w:val="000000"/>
          <w:lang w:eastAsia="cs-CZ" w:bidi="cs-CZ"/>
        </w:rPr>
        <w:t>ude považov</w:t>
      </w:r>
      <w:r>
        <w:rPr>
          <w:rFonts w:eastAsia="Arial"/>
          <w:color w:val="000000"/>
          <w:lang w:eastAsia="cs-CZ" w:bidi="cs-CZ"/>
        </w:rPr>
        <w:t xml:space="preserve">áno </w:t>
      </w:r>
      <w:r w:rsidR="007D0528">
        <w:rPr>
          <w:rFonts w:eastAsia="Arial"/>
          <w:color w:val="000000"/>
          <w:lang w:eastAsia="cs-CZ" w:bidi="cs-CZ"/>
        </w:rPr>
        <w:t xml:space="preserve">za </w:t>
      </w:r>
      <w:r w:rsidR="007D0528">
        <w:t>závadu, která brání řádnému poskytování Služeb, včetně povinnosti k její</w:t>
      </w:r>
      <w:r w:rsidR="00FF36A0">
        <w:t>mu</w:t>
      </w:r>
      <w:r w:rsidR="007D0528">
        <w:t xml:space="preserve"> odstranění dle čl. </w:t>
      </w:r>
      <w:r w:rsidR="00B30951">
        <w:t>4</w:t>
      </w:r>
      <w:r w:rsidR="007D0528">
        <w:t xml:space="preserve">.3. Smlouvy. </w:t>
      </w:r>
      <w:r>
        <w:rPr>
          <w:rFonts w:eastAsia="Arial"/>
          <w:color w:val="000000"/>
          <w:lang w:eastAsia="cs-CZ" w:bidi="cs-CZ"/>
        </w:rPr>
        <w:t xml:space="preserve"> </w:t>
      </w:r>
    </w:p>
    <w:p w14:paraId="43CBE688" w14:textId="77777777" w:rsidR="00B30951" w:rsidRPr="00B30951" w:rsidRDefault="00B30951" w:rsidP="00B30951">
      <w:pPr>
        <w:pStyle w:val="Odstavecseseznamem"/>
        <w:ind w:left="567"/>
        <w:jc w:val="both"/>
      </w:pPr>
    </w:p>
    <w:p w14:paraId="0057D790" w14:textId="77777777" w:rsidR="00B30951" w:rsidRPr="007430AE" w:rsidRDefault="00B30951" w:rsidP="00B30951">
      <w:pPr>
        <w:pStyle w:val="Odstavecseseznamem"/>
        <w:keepNext/>
        <w:numPr>
          <w:ilvl w:val="0"/>
          <w:numId w:val="1"/>
        </w:numPr>
        <w:jc w:val="both"/>
        <w:rPr>
          <w:b/>
        </w:rPr>
      </w:pPr>
      <w:r w:rsidRPr="007430AE">
        <w:rPr>
          <w:b/>
        </w:rPr>
        <w:t>REKLAMACE</w:t>
      </w:r>
      <w:r w:rsidR="006070F4">
        <w:rPr>
          <w:b/>
        </w:rPr>
        <w:t xml:space="preserve"> </w:t>
      </w:r>
    </w:p>
    <w:p w14:paraId="44F54EDB" w14:textId="77777777" w:rsidR="00B30951" w:rsidRDefault="00B30951" w:rsidP="00B30951">
      <w:pPr>
        <w:pStyle w:val="Odstavecseseznamem"/>
        <w:keepNext/>
        <w:numPr>
          <w:ilvl w:val="1"/>
          <w:numId w:val="1"/>
        </w:numPr>
        <w:ind w:left="567" w:hanging="567"/>
        <w:jc w:val="both"/>
      </w:pPr>
      <w:r>
        <w:t xml:space="preserve">Postup uplatňování reklamací </w:t>
      </w:r>
      <w:r w:rsidR="005E0D15">
        <w:t>Účastníkem na vyúčtování ceny Služeb nebo na poskytová</w:t>
      </w:r>
      <w:r>
        <w:t>n</w:t>
      </w:r>
      <w:r w:rsidR="005E0D15">
        <w:t>í</w:t>
      </w:r>
      <w:r>
        <w:t xml:space="preserve"> Služby (dále jen „Reklamace“) se řídí Zákonem o elektronických komunikacích</w:t>
      </w:r>
      <w:r w:rsidR="005E0D15">
        <w:t>, není-li dále dohodnuto jinak</w:t>
      </w:r>
      <w:r>
        <w:t>.</w:t>
      </w:r>
    </w:p>
    <w:p w14:paraId="11DF1376" w14:textId="77777777" w:rsidR="00B30951" w:rsidRDefault="00B30951" w:rsidP="00B30951">
      <w:pPr>
        <w:pStyle w:val="Odstavecseseznamem"/>
        <w:numPr>
          <w:ilvl w:val="1"/>
          <w:numId w:val="1"/>
        </w:numPr>
        <w:ind w:left="567" w:hanging="567"/>
        <w:jc w:val="both"/>
      </w:pPr>
      <w:r>
        <w:t>Reklamace se uplatňují prostřednictvím Kontaktní osoby Účastníka písemně v souladu s čl. 7.1. Smlouvy nebo prostřednictvím elektronické pošty na adresu Kontaktní osoby Poskytovatele ve lhůtě stanovené Zákonem o elektronických komunikacích.</w:t>
      </w:r>
    </w:p>
    <w:p w14:paraId="35FA46F2" w14:textId="77777777" w:rsidR="006070F4" w:rsidRDefault="00B30951" w:rsidP="004C6DA9">
      <w:pPr>
        <w:pStyle w:val="Odstavecseseznamem"/>
        <w:numPr>
          <w:ilvl w:val="1"/>
          <w:numId w:val="1"/>
        </w:numPr>
        <w:ind w:left="567" w:hanging="567"/>
        <w:jc w:val="both"/>
      </w:pPr>
      <w:r>
        <w:t xml:space="preserve">Poskytovatel se zavazuje vyřídit Reklamace ve lhůtách a za podmínek stanovených Zákonem o elektronických komunikacích. </w:t>
      </w:r>
    </w:p>
    <w:p w14:paraId="5D808AC7" w14:textId="77777777" w:rsidR="00B30951" w:rsidRDefault="00B30951" w:rsidP="00B30951">
      <w:pPr>
        <w:pStyle w:val="Odstavecseseznamem"/>
        <w:numPr>
          <w:ilvl w:val="1"/>
          <w:numId w:val="1"/>
        </w:numPr>
        <w:ind w:left="567" w:hanging="567"/>
        <w:jc w:val="both"/>
      </w:pPr>
      <w:r>
        <w:t xml:space="preserve">Smluvní strany se dohodly, že v případě ustanovení čl. 4 Smlouvy se výslovně vylučuje použití </w:t>
      </w:r>
      <w:r w:rsidRPr="00505935">
        <w:t xml:space="preserve">Přílohy č. </w:t>
      </w:r>
      <w:r w:rsidR="001E1F4A">
        <w:t>7</w:t>
      </w:r>
      <w:r w:rsidRPr="00505935">
        <w:t xml:space="preserve"> Smlouvy.</w:t>
      </w:r>
    </w:p>
    <w:p w14:paraId="2758DE78" w14:textId="77777777" w:rsidR="00B30951" w:rsidRDefault="00B30951" w:rsidP="00B30951">
      <w:pPr>
        <w:pStyle w:val="Odstavecseseznamem"/>
        <w:numPr>
          <w:ilvl w:val="1"/>
          <w:numId w:val="1"/>
        </w:numPr>
        <w:ind w:left="567" w:hanging="567"/>
        <w:jc w:val="both"/>
      </w:pPr>
      <w:r>
        <w:t>Ustanoveními tohoto článku Smlouvy nejsou dotčena ani omezena práva Účastníka z vadného plnění vyplývající z právních předpisů.</w:t>
      </w:r>
    </w:p>
    <w:p w14:paraId="175B63D5" w14:textId="77777777" w:rsidR="00AE5EFA" w:rsidRDefault="00AE5EFA" w:rsidP="00AE5EFA">
      <w:pPr>
        <w:pStyle w:val="Odstavecseseznamem"/>
        <w:ind w:left="567"/>
        <w:jc w:val="both"/>
      </w:pPr>
    </w:p>
    <w:p w14:paraId="2811ABBC" w14:textId="77777777" w:rsidR="006C58A9" w:rsidRPr="00B061D7" w:rsidRDefault="006C58A9" w:rsidP="00B061D7">
      <w:pPr>
        <w:pStyle w:val="Odstavecseseznamem"/>
        <w:keepNext/>
        <w:numPr>
          <w:ilvl w:val="0"/>
          <w:numId w:val="1"/>
        </w:numPr>
        <w:jc w:val="both"/>
        <w:rPr>
          <w:b/>
        </w:rPr>
      </w:pPr>
      <w:r w:rsidRPr="00B061D7">
        <w:rPr>
          <w:b/>
        </w:rPr>
        <w:lastRenderedPageBreak/>
        <w:t xml:space="preserve">SERVISNÍ PODMÍNKY, KVALITA </w:t>
      </w:r>
      <w:r w:rsidR="00B061D7">
        <w:rPr>
          <w:b/>
        </w:rPr>
        <w:t>SLUŽEB</w:t>
      </w:r>
      <w:r w:rsidRPr="00B061D7">
        <w:rPr>
          <w:b/>
        </w:rPr>
        <w:t xml:space="preserve"> A JEJ</w:t>
      </w:r>
      <w:r w:rsidR="00B061D7">
        <w:rPr>
          <w:b/>
        </w:rPr>
        <w:t>ICH</w:t>
      </w:r>
      <w:r w:rsidRPr="00B061D7">
        <w:rPr>
          <w:b/>
        </w:rPr>
        <w:t xml:space="preserve"> PORUŠENÍ</w:t>
      </w:r>
    </w:p>
    <w:p w14:paraId="48F61E78" w14:textId="77777777" w:rsidR="006C58A9" w:rsidRDefault="006C58A9" w:rsidP="008F7978">
      <w:pPr>
        <w:pStyle w:val="Odstavecseseznamem"/>
        <w:numPr>
          <w:ilvl w:val="1"/>
          <w:numId w:val="1"/>
        </w:numPr>
        <w:ind w:left="567" w:hanging="567"/>
        <w:jc w:val="both"/>
      </w:pPr>
      <w:r>
        <w:t>Není-li v této Smlouvě stanoveno jinak, řídí se kvalita Služeb, servisní podmínky a dostupnost</w:t>
      </w:r>
      <w:r w:rsidR="001141F7">
        <w:t xml:space="preserve"> Služeb</w:t>
      </w:r>
      <w:r>
        <w:t xml:space="preserve"> SLA podmínkami, které tvoří </w:t>
      </w:r>
      <w:r w:rsidRPr="0065798D">
        <w:t xml:space="preserve">Přílohu č. </w:t>
      </w:r>
      <w:r w:rsidR="0073003E">
        <w:t>5</w:t>
      </w:r>
      <w:r w:rsidR="00D44C27" w:rsidRPr="0065798D">
        <w:t xml:space="preserve"> </w:t>
      </w:r>
      <w:r>
        <w:t>této Smlouvy</w:t>
      </w:r>
      <w:r w:rsidR="00AD5D6F">
        <w:t>, v souladu s Přílohou</w:t>
      </w:r>
      <w:r w:rsidR="00AD5D6F" w:rsidRPr="00AD5D6F">
        <w:t xml:space="preserve"> č. 4</w:t>
      </w:r>
      <w:r w:rsidR="00AD5D6F">
        <w:t xml:space="preserve"> této Smlouvy</w:t>
      </w:r>
      <w:r>
        <w:t>.</w:t>
      </w:r>
    </w:p>
    <w:p w14:paraId="24FBACE6" w14:textId="77777777" w:rsidR="006C58A9" w:rsidRDefault="00416CE0" w:rsidP="00D458D3">
      <w:pPr>
        <w:pStyle w:val="Odstavecseseznamem"/>
        <w:numPr>
          <w:ilvl w:val="1"/>
          <w:numId w:val="1"/>
        </w:numPr>
        <w:ind w:left="567" w:hanging="567"/>
        <w:jc w:val="both"/>
      </w:pPr>
      <w:r>
        <w:t>Účastník</w:t>
      </w:r>
      <w:r w:rsidR="006C58A9">
        <w:t xml:space="preserve"> v případě zjištění nedostupnosti (jak je definována v Příloze č. </w:t>
      </w:r>
      <w:r w:rsidR="0073003E">
        <w:t>5</w:t>
      </w:r>
      <w:r w:rsidR="006C58A9" w:rsidRPr="0065798D">
        <w:t>)</w:t>
      </w:r>
      <w:r w:rsidR="006C58A9">
        <w:t xml:space="preserve"> </w:t>
      </w:r>
      <w:r>
        <w:t>S</w:t>
      </w:r>
      <w:r w:rsidR="006C58A9">
        <w:t>lužby bude neprodleně telefonicky a bezprostředně následně e-mailem kontak</w:t>
      </w:r>
      <w:r w:rsidR="00046646">
        <w:t>tovat k</w:t>
      </w:r>
      <w:r w:rsidR="006C58A9">
        <w:t>ontaktní osobu Poskytovatele a oznámí jí nedostupnost.</w:t>
      </w:r>
    </w:p>
    <w:p w14:paraId="6624BC15" w14:textId="77777777" w:rsidR="004813E7" w:rsidRDefault="006C58A9" w:rsidP="00D224A8">
      <w:pPr>
        <w:pStyle w:val="Odstavecseseznamem"/>
        <w:numPr>
          <w:ilvl w:val="1"/>
          <w:numId w:val="1"/>
        </w:numPr>
        <w:ind w:left="567" w:hanging="567"/>
        <w:jc w:val="both"/>
      </w:pPr>
      <w:r>
        <w:t>Poskytovatel se zavazuje bezodkladně,</w:t>
      </w:r>
      <w:r w:rsidR="00115A55">
        <w:t xml:space="preserve"> nejpozději však do </w:t>
      </w:r>
      <w:r w:rsidR="00BA10CE">
        <w:t>2</w:t>
      </w:r>
      <w:r w:rsidR="00115A55">
        <w:t xml:space="preserve"> hodin</w:t>
      </w:r>
      <w:r w:rsidR="00B061D7">
        <w:t xml:space="preserve"> (</w:t>
      </w:r>
      <w:r w:rsidR="00B061D7" w:rsidRPr="00D458D3">
        <w:t>v rámci stanovené pracovní doby od 8:00 hod. do 16:00 hod)</w:t>
      </w:r>
      <w:r w:rsidR="00115A55">
        <w:t xml:space="preserve"> po o</w:t>
      </w:r>
      <w:r>
        <w:t xml:space="preserve">bdržení oznámení nedostupnosti </w:t>
      </w:r>
      <w:r w:rsidR="00115A55">
        <w:t xml:space="preserve">Účastníkem </w:t>
      </w:r>
      <w:r>
        <w:t xml:space="preserve">dle čl. </w:t>
      </w:r>
      <w:r w:rsidR="0020025D">
        <w:t>5.2</w:t>
      </w:r>
      <w:r>
        <w:t xml:space="preserve"> zahájit práce na jejím odstranění a o zahájení prací informovat</w:t>
      </w:r>
      <w:r w:rsidR="00115A55">
        <w:t xml:space="preserve"> k</w:t>
      </w:r>
      <w:r>
        <w:t xml:space="preserve">ontaktní osobu </w:t>
      </w:r>
      <w:r w:rsidR="00115A55">
        <w:t>Účastníka</w:t>
      </w:r>
      <w:r>
        <w:t xml:space="preserve">. </w:t>
      </w:r>
      <w:r w:rsidR="004813E7" w:rsidRPr="00FA7E5A">
        <w:t xml:space="preserve">Závada </w:t>
      </w:r>
      <w:r w:rsidR="004813E7">
        <w:t xml:space="preserve">spočívající v nedostupnosti datové Služby </w:t>
      </w:r>
      <w:r w:rsidR="004813E7" w:rsidRPr="00FA7E5A">
        <w:t>musí být Poskytovatelem odstraněna bez</w:t>
      </w:r>
      <w:r w:rsidR="004813E7">
        <w:t> </w:t>
      </w:r>
      <w:r w:rsidR="004813E7" w:rsidRPr="00FA7E5A">
        <w:t xml:space="preserve">zbytečného odkladu, nejpozději </w:t>
      </w:r>
      <w:r w:rsidR="004813E7" w:rsidRPr="0065798D">
        <w:t xml:space="preserve">do </w:t>
      </w:r>
      <w:r w:rsidR="00BA10CE">
        <w:t>8</w:t>
      </w:r>
      <w:r w:rsidR="004813E7" w:rsidRPr="0065798D">
        <w:t xml:space="preserve"> </w:t>
      </w:r>
      <w:r w:rsidR="00762927">
        <w:t>hodin</w:t>
      </w:r>
      <w:r w:rsidR="004813E7" w:rsidRPr="00FA7E5A">
        <w:t xml:space="preserve"> od </w:t>
      </w:r>
      <w:r w:rsidR="004813E7">
        <w:t>obdržení oznámení nedostupnosti Účastníkem dle čl. 5.2</w:t>
      </w:r>
      <w:r w:rsidR="004813E7" w:rsidRPr="00FA7E5A">
        <w:t>, nedohodnou-li se Smluvní strany v odůvodněn</w:t>
      </w:r>
      <w:r w:rsidR="00E56502">
        <w:t>ý</w:t>
      </w:r>
      <w:r w:rsidR="004813E7" w:rsidRPr="00FA7E5A">
        <w:t xml:space="preserve">ch případech jinak. </w:t>
      </w:r>
      <w:r w:rsidR="004813E7">
        <w:t>Poskytovatel se dále zavazuje bezprostředně po odstranění nedostupnosti datové Služby poslat o tomto e-mailem informaci kontaktní osobě Účastníka.</w:t>
      </w:r>
    </w:p>
    <w:p w14:paraId="2A506B3D" w14:textId="77777777" w:rsidR="006C58A9" w:rsidRDefault="006C58A9" w:rsidP="00D458D3">
      <w:pPr>
        <w:pStyle w:val="Odstavecseseznamem"/>
        <w:numPr>
          <w:ilvl w:val="1"/>
          <w:numId w:val="1"/>
        </w:numPr>
        <w:ind w:left="567" w:hanging="567"/>
        <w:jc w:val="both"/>
      </w:pPr>
      <w:r>
        <w:t xml:space="preserve">V případě nedostupnosti má </w:t>
      </w:r>
      <w:r w:rsidR="005D0ABE">
        <w:t xml:space="preserve">Účastník </w:t>
      </w:r>
      <w:r>
        <w:t xml:space="preserve">právo na slevu z </w:t>
      </w:r>
      <w:r w:rsidR="005D7EC4">
        <w:t>D</w:t>
      </w:r>
      <w:r>
        <w:t xml:space="preserve">ílčí ceny za </w:t>
      </w:r>
      <w:r w:rsidR="00BD0C76">
        <w:t>d</w:t>
      </w:r>
      <w:r>
        <w:t xml:space="preserve">atovou </w:t>
      </w:r>
      <w:r w:rsidR="00BD0C76">
        <w:t>S</w:t>
      </w:r>
      <w:r>
        <w:t>lužbu</w:t>
      </w:r>
      <w:r w:rsidR="00BD0C76">
        <w:t xml:space="preserve"> v lokalitě, která byla nedostupností postižena</w:t>
      </w:r>
      <w:r>
        <w:t xml:space="preserve">. Výše slevy z </w:t>
      </w:r>
      <w:r w:rsidR="005D7EC4">
        <w:t>D</w:t>
      </w:r>
      <w:r>
        <w:t xml:space="preserve">ílčí ceny za </w:t>
      </w:r>
      <w:r w:rsidR="00BD0C76">
        <w:t>d</w:t>
      </w:r>
      <w:r>
        <w:t xml:space="preserve">atovou </w:t>
      </w:r>
      <w:r w:rsidR="00BD0C76">
        <w:t>S</w:t>
      </w:r>
      <w:r>
        <w:t xml:space="preserve">lužbu bude určena podle pravidel uvedených v Příloze č. </w:t>
      </w:r>
      <w:r w:rsidR="00BA10CE">
        <w:t>5</w:t>
      </w:r>
      <w:r w:rsidRPr="00D80841">
        <w:t xml:space="preserve"> S</w:t>
      </w:r>
      <w:r>
        <w:t xml:space="preserve">mlouvy a stanoví se z rozdílu mezi </w:t>
      </w:r>
      <w:r w:rsidR="00BD0C76">
        <w:t>Účastníkem</w:t>
      </w:r>
      <w:r>
        <w:t xml:space="preserve"> požadovanou dostupností a skutečně zjištěnou dostupností.</w:t>
      </w:r>
    </w:p>
    <w:p w14:paraId="6A2ED56E" w14:textId="77777777" w:rsidR="006C58A9" w:rsidRDefault="006C58A9" w:rsidP="00D458D3">
      <w:pPr>
        <w:pStyle w:val="Odstavecseseznamem"/>
        <w:numPr>
          <w:ilvl w:val="1"/>
          <w:numId w:val="1"/>
        </w:numPr>
        <w:ind w:left="567" w:hanging="567"/>
        <w:jc w:val="both"/>
      </w:pPr>
      <w:r>
        <w:t xml:space="preserve">Vznikne-li </w:t>
      </w:r>
      <w:r w:rsidR="00BD0C76">
        <w:t>Účastníkovi</w:t>
      </w:r>
      <w:r>
        <w:t xml:space="preserve"> právo na slevu či právo na smluvní pokutu, platí, že sleva či smluvní pokuta je splatná až v příštím fakturačním období, a to tak, že se o její výši sníží </w:t>
      </w:r>
      <w:r w:rsidR="008174B0">
        <w:t xml:space="preserve">Dílčí </w:t>
      </w:r>
      <w:r>
        <w:t xml:space="preserve">cena za předmětnou </w:t>
      </w:r>
      <w:r w:rsidR="00BD0C76">
        <w:t>d</w:t>
      </w:r>
      <w:r>
        <w:t xml:space="preserve">atovou </w:t>
      </w:r>
      <w:r w:rsidR="00BD0C76">
        <w:t>S</w:t>
      </w:r>
      <w:r>
        <w:t xml:space="preserve">lužbu, a není-li takto možné slevu či smluvní pokutu zcela vypořádat, vystaví Poskytovatel spolu s fakturou </w:t>
      </w:r>
      <w:r w:rsidR="00BD0C76">
        <w:t>Účastníkovi</w:t>
      </w:r>
      <w:r>
        <w:t xml:space="preserve"> opravný daňový doklad na částku odpovídající výši slevy či výši smluvní pokuty, které nelze vypořádat snížením </w:t>
      </w:r>
      <w:r w:rsidR="008174B0">
        <w:t>D</w:t>
      </w:r>
      <w:r>
        <w:t xml:space="preserve">ílčí ceny za předmětnou </w:t>
      </w:r>
      <w:r w:rsidR="00BD0C76">
        <w:t>d</w:t>
      </w:r>
      <w:r>
        <w:t xml:space="preserve">atovou </w:t>
      </w:r>
      <w:r w:rsidR="00BD0C76">
        <w:t>S</w:t>
      </w:r>
      <w:r>
        <w:t xml:space="preserve">lužbu. Po ukončení poskytování </w:t>
      </w:r>
      <w:r w:rsidR="00BD0C76">
        <w:t>d</w:t>
      </w:r>
      <w:r>
        <w:t xml:space="preserve">atové </w:t>
      </w:r>
      <w:r w:rsidR="00BD0C76">
        <w:t>S</w:t>
      </w:r>
      <w:r>
        <w:t>lužby bude sleva za nedostupnost</w:t>
      </w:r>
      <w:r w:rsidR="00BD0C76">
        <w:t xml:space="preserve"> </w:t>
      </w:r>
      <w:r>
        <w:t>vypořádána formou opravného daňového dokladu vystaveného Poskytovatelem do 5 pracovních dnů od skončení kalen</w:t>
      </w:r>
      <w:r w:rsidR="00BD0C76">
        <w:t>dářního měsíce, ve kterém byla d</w:t>
      </w:r>
      <w:r>
        <w:t>atová služba naposledy poskytována</w:t>
      </w:r>
      <w:r w:rsidR="00BD0C76">
        <w:t>.</w:t>
      </w:r>
    </w:p>
    <w:p w14:paraId="21BEC7BC" w14:textId="77777777" w:rsidR="009710CA" w:rsidRPr="00D80841" w:rsidRDefault="009710CA" w:rsidP="009710CA">
      <w:pPr>
        <w:pStyle w:val="Odstavecseseznamem"/>
        <w:numPr>
          <w:ilvl w:val="1"/>
          <w:numId w:val="1"/>
        </w:numPr>
        <w:ind w:left="567" w:hanging="567"/>
        <w:jc w:val="both"/>
      </w:pPr>
      <w:r>
        <w:t xml:space="preserve">Smluvní strany se dohodly, že v případě ustanovení čl. 5 Smlouvy se výslovně vylučuje použití </w:t>
      </w:r>
      <w:r w:rsidRPr="00D80841">
        <w:t xml:space="preserve">Přílohy č. </w:t>
      </w:r>
      <w:r w:rsidR="00E133BF">
        <w:t>7</w:t>
      </w:r>
      <w:r w:rsidRPr="00D80841">
        <w:t xml:space="preserve"> Smlouvy.</w:t>
      </w:r>
    </w:p>
    <w:p w14:paraId="2F014AEB" w14:textId="77777777" w:rsidR="009710CA" w:rsidRDefault="009710CA" w:rsidP="009710CA">
      <w:pPr>
        <w:pStyle w:val="Odstavecseseznamem"/>
        <w:numPr>
          <w:ilvl w:val="1"/>
          <w:numId w:val="1"/>
        </w:numPr>
        <w:ind w:left="567" w:hanging="567"/>
        <w:jc w:val="both"/>
      </w:pPr>
      <w:r>
        <w:t>Ustanoveními tohoto článku Smlouvy nejsou dotčena ani omezena práva Účastníka z vadného plnění vyplývající z právních předpisů.</w:t>
      </w:r>
    </w:p>
    <w:p w14:paraId="5FA3E81E" w14:textId="77777777" w:rsidR="006C58A9" w:rsidRDefault="006C58A9" w:rsidP="00AE5EFA">
      <w:pPr>
        <w:pStyle w:val="Odstavecseseznamem"/>
        <w:ind w:left="567"/>
        <w:jc w:val="both"/>
      </w:pPr>
    </w:p>
    <w:p w14:paraId="2E0CC36E" w14:textId="77777777" w:rsidR="00853AEE" w:rsidRPr="00853AEE" w:rsidRDefault="00853AEE" w:rsidP="00853AEE">
      <w:pPr>
        <w:pStyle w:val="Odstavecseseznamem"/>
        <w:numPr>
          <w:ilvl w:val="0"/>
          <w:numId w:val="1"/>
        </w:numPr>
        <w:jc w:val="both"/>
        <w:rPr>
          <w:b/>
        </w:rPr>
      </w:pPr>
      <w:r w:rsidRPr="00853AEE">
        <w:rPr>
          <w:b/>
        </w:rPr>
        <w:t xml:space="preserve">SANKCE </w:t>
      </w:r>
    </w:p>
    <w:p w14:paraId="3AB22874" w14:textId="77777777" w:rsidR="00542DEE" w:rsidRDefault="00542DEE" w:rsidP="000C0541">
      <w:pPr>
        <w:pStyle w:val="Odstavecseseznamem"/>
        <w:numPr>
          <w:ilvl w:val="1"/>
          <w:numId w:val="1"/>
        </w:numPr>
        <w:ind w:left="567" w:hanging="567"/>
        <w:jc w:val="both"/>
        <w:rPr>
          <w:rFonts w:eastAsia="Arial"/>
          <w:color w:val="000000"/>
          <w:lang w:eastAsia="cs-CZ" w:bidi="cs-CZ"/>
        </w:rPr>
      </w:pPr>
      <w:r>
        <w:rPr>
          <w:rFonts w:eastAsia="Arial"/>
          <w:color w:val="000000"/>
          <w:lang w:eastAsia="cs-CZ" w:bidi="cs-CZ"/>
        </w:rPr>
        <w:t>V případě, že se Účastník dostane do prodlení s</w:t>
      </w:r>
      <w:r w:rsidR="003D7B24">
        <w:rPr>
          <w:rFonts w:eastAsia="Arial"/>
          <w:color w:val="000000"/>
          <w:lang w:eastAsia="cs-CZ" w:bidi="cs-CZ"/>
        </w:rPr>
        <w:t xml:space="preserve"> úhradou </w:t>
      </w:r>
      <w:r w:rsidR="004055C2">
        <w:rPr>
          <w:rFonts w:eastAsia="Arial"/>
          <w:color w:val="000000"/>
          <w:lang w:eastAsia="cs-CZ" w:bidi="cs-CZ"/>
        </w:rPr>
        <w:t>C</w:t>
      </w:r>
      <w:r>
        <w:rPr>
          <w:rFonts w:eastAsia="Arial"/>
          <w:color w:val="000000"/>
          <w:lang w:eastAsia="cs-CZ" w:bidi="cs-CZ"/>
        </w:rPr>
        <w:t>en</w:t>
      </w:r>
      <w:r w:rsidR="003D7B24">
        <w:rPr>
          <w:rFonts w:eastAsia="Arial"/>
          <w:color w:val="000000"/>
          <w:lang w:eastAsia="cs-CZ" w:bidi="cs-CZ"/>
        </w:rPr>
        <w:t>y</w:t>
      </w:r>
      <w:r>
        <w:rPr>
          <w:rFonts w:eastAsia="Arial"/>
          <w:color w:val="000000"/>
          <w:lang w:eastAsia="cs-CZ" w:bidi="cs-CZ"/>
        </w:rPr>
        <w:t xml:space="preserve"> za Služby</w:t>
      </w:r>
      <w:r w:rsidR="003D7B24">
        <w:rPr>
          <w:rFonts w:eastAsia="Arial"/>
          <w:color w:val="000000"/>
          <w:lang w:eastAsia="cs-CZ" w:bidi="cs-CZ"/>
        </w:rPr>
        <w:t>,</w:t>
      </w:r>
      <w:r>
        <w:rPr>
          <w:rFonts w:eastAsia="Arial"/>
          <w:color w:val="000000"/>
          <w:lang w:eastAsia="cs-CZ" w:bidi="cs-CZ"/>
        </w:rPr>
        <w:t xml:space="preserve"> </w:t>
      </w:r>
      <w:r w:rsidR="004055C2">
        <w:rPr>
          <w:rFonts w:eastAsia="Arial"/>
          <w:color w:val="000000"/>
          <w:lang w:eastAsia="cs-CZ" w:bidi="cs-CZ"/>
        </w:rPr>
        <w:t xml:space="preserve">resp. Dílčí Ceny za Služby, </w:t>
      </w:r>
      <w:r>
        <w:rPr>
          <w:rFonts w:eastAsia="Arial"/>
          <w:color w:val="000000"/>
          <w:lang w:eastAsia="cs-CZ" w:bidi="cs-CZ"/>
        </w:rPr>
        <w:t xml:space="preserve">je povinen uhradit </w:t>
      </w:r>
      <w:r w:rsidR="001430A3">
        <w:rPr>
          <w:rFonts w:eastAsia="Arial"/>
          <w:color w:val="000000"/>
          <w:lang w:eastAsia="cs-CZ" w:bidi="cs-CZ"/>
        </w:rPr>
        <w:t>smluvní pokutu ve výši 0,1% z dlužné částky bez DPH, a to za každý i započatý den</w:t>
      </w:r>
      <w:r>
        <w:rPr>
          <w:rFonts w:eastAsia="Arial"/>
          <w:color w:val="000000"/>
          <w:lang w:eastAsia="cs-CZ" w:bidi="cs-CZ"/>
        </w:rPr>
        <w:t xml:space="preserve"> prodlení. </w:t>
      </w:r>
    </w:p>
    <w:p w14:paraId="5FC6CDA5" w14:textId="77777777" w:rsidR="000C0541" w:rsidRDefault="00105950" w:rsidP="00600A54">
      <w:pPr>
        <w:pStyle w:val="Odstavecseseznamem"/>
        <w:numPr>
          <w:ilvl w:val="1"/>
          <w:numId w:val="1"/>
        </w:numPr>
        <w:ind w:left="567" w:hanging="567"/>
        <w:jc w:val="both"/>
        <w:rPr>
          <w:rFonts w:eastAsia="Arial"/>
          <w:color w:val="000000"/>
          <w:lang w:eastAsia="cs-CZ" w:bidi="cs-CZ"/>
        </w:rPr>
      </w:pPr>
      <w:r w:rsidRPr="00105950">
        <w:rPr>
          <w:rFonts w:eastAsia="Arial"/>
          <w:color w:val="000000"/>
          <w:lang w:eastAsia="cs-CZ" w:bidi="cs-CZ"/>
        </w:rPr>
        <w:t>V případě, že Poskytovatel poruší smluvní povinnosti dle čl. 1.2. Smlouvy ve vztahu k nedodržení povinnosti poskytovat Služby dle uvedené specifikace (zejména technologií připojení), má Účastník právo požadovat úhradu smluvní pokuty ve výši 3.000,- Kč za každý jednotlivý případ porušení povinnosti; za porušení smluvní povinnosti dle čl. 1.2. Smlouvy se považuje také, dojde-li za období 1 měsíce k opakovaným (více než čtyřem) případům zjištění nedostupnosti (jak je def</w:t>
      </w:r>
      <w:r>
        <w:rPr>
          <w:rFonts w:eastAsia="Arial"/>
          <w:color w:val="000000"/>
          <w:lang w:eastAsia="cs-CZ" w:bidi="cs-CZ"/>
        </w:rPr>
        <w:t>inována v Příloze č. 5 Smlouvy)</w:t>
      </w:r>
      <w:r w:rsidR="000C0541" w:rsidRPr="00853AEE">
        <w:rPr>
          <w:rFonts w:eastAsia="Arial"/>
          <w:color w:val="000000"/>
          <w:lang w:eastAsia="cs-CZ" w:bidi="cs-CZ"/>
        </w:rPr>
        <w:t>.</w:t>
      </w:r>
    </w:p>
    <w:p w14:paraId="68CC152C" w14:textId="77777777" w:rsidR="00F06410" w:rsidRPr="00860033" w:rsidRDefault="00F06410" w:rsidP="006B4062">
      <w:pPr>
        <w:pStyle w:val="Odstavecseseznamem"/>
        <w:numPr>
          <w:ilvl w:val="1"/>
          <w:numId w:val="1"/>
        </w:numPr>
        <w:ind w:left="567" w:hanging="567"/>
        <w:jc w:val="both"/>
        <w:rPr>
          <w:rFonts w:eastAsia="Arial"/>
          <w:color w:val="000000"/>
          <w:lang w:eastAsia="cs-CZ" w:bidi="cs-CZ"/>
        </w:rPr>
      </w:pPr>
      <w:r>
        <w:t xml:space="preserve">Účastník má právo na </w:t>
      </w:r>
      <w:r w:rsidRPr="00860033">
        <w:t>paušální náhradu, pokud d</w:t>
      </w:r>
      <w:r w:rsidRPr="00860033">
        <w:rPr>
          <w:rFonts w:eastAsia="Arial"/>
          <w:color w:val="000000"/>
          <w:lang w:eastAsia="cs-CZ" w:bidi="cs-CZ"/>
        </w:rPr>
        <w:t>ojde ke změně poskytovatele služby přístupu k</w:t>
      </w:r>
      <w:r w:rsidR="00974ED3" w:rsidRPr="00860033">
        <w:rPr>
          <w:rFonts w:eastAsia="Arial"/>
          <w:color w:val="000000"/>
          <w:lang w:eastAsia="cs-CZ" w:bidi="cs-CZ"/>
        </w:rPr>
        <w:t> </w:t>
      </w:r>
      <w:r w:rsidRPr="00860033">
        <w:rPr>
          <w:rFonts w:eastAsia="Arial"/>
          <w:color w:val="000000"/>
          <w:lang w:eastAsia="cs-CZ" w:bidi="cs-CZ"/>
        </w:rPr>
        <w:t>internetu se zpožděním</w:t>
      </w:r>
      <w:r w:rsidR="00A10F52">
        <w:rPr>
          <w:rFonts w:eastAsia="Arial"/>
          <w:color w:val="000000"/>
          <w:lang w:eastAsia="cs-CZ" w:bidi="cs-CZ"/>
        </w:rPr>
        <w:t xml:space="preserve"> </w:t>
      </w:r>
      <w:r w:rsidR="00A10F52">
        <w:t xml:space="preserve">nebo dojde ke zneužití změny v důsledku porušení povinnosti </w:t>
      </w:r>
      <w:r w:rsidR="00435167">
        <w:t>Poskytovatele</w:t>
      </w:r>
      <w:r w:rsidR="00AD2B5A" w:rsidRPr="00860033">
        <w:rPr>
          <w:rFonts w:eastAsia="Arial"/>
          <w:color w:val="000000"/>
          <w:lang w:eastAsia="cs-CZ" w:bidi="cs-CZ"/>
        </w:rPr>
        <w:t>, a to ve výši stanovené prováděcím právním předpisem k Zákonu o</w:t>
      </w:r>
      <w:r w:rsidR="00502709">
        <w:rPr>
          <w:rFonts w:eastAsia="Arial"/>
          <w:color w:val="000000"/>
          <w:lang w:eastAsia="cs-CZ" w:bidi="cs-CZ"/>
        </w:rPr>
        <w:t> </w:t>
      </w:r>
      <w:r w:rsidR="00AD2B5A" w:rsidRPr="00860033">
        <w:rPr>
          <w:rFonts w:eastAsia="Arial"/>
          <w:color w:val="000000"/>
          <w:lang w:eastAsia="cs-CZ" w:bidi="cs-CZ"/>
        </w:rPr>
        <w:t>elektronických komun</w:t>
      </w:r>
      <w:r w:rsidR="00D60602" w:rsidRPr="00860033">
        <w:rPr>
          <w:rFonts w:eastAsia="Arial"/>
          <w:color w:val="000000"/>
          <w:lang w:eastAsia="cs-CZ" w:bidi="cs-CZ"/>
        </w:rPr>
        <w:t>ikacích (</w:t>
      </w:r>
      <w:proofErr w:type="spellStart"/>
      <w:r w:rsidR="00D60602" w:rsidRPr="00860033">
        <w:rPr>
          <w:rFonts w:eastAsia="Arial"/>
          <w:color w:val="000000"/>
          <w:lang w:eastAsia="cs-CZ" w:bidi="cs-CZ"/>
        </w:rPr>
        <w:t>vyhl</w:t>
      </w:r>
      <w:proofErr w:type="spellEnd"/>
      <w:r w:rsidR="00D60602" w:rsidRPr="00860033">
        <w:rPr>
          <w:rFonts w:eastAsia="Arial"/>
          <w:color w:val="000000"/>
          <w:lang w:eastAsia="cs-CZ" w:bidi="cs-CZ"/>
        </w:rPr>
        <w:t>. č. 529/2021 Sb.)</w:t>
      </w:r>
      <w:r w:rsidR="00E73691" w:rsidRPr="00860033">
        <w:t>.</w:t>
      </w:r>
      <w:r w:rsidR="00A018D5" w:rsidRPr="00A018D5">
        <w:t xml:space="preserve"> </w:t>
      </w:r>
      <w:r w:rsidR="00A018D5">
        <w:t>Právo na náhradu škody podle občanského zákoníku v rozsahu převyšujícím paušální náhradu tím není dotčeno.</w:t>
      </w:r>
    </w:p>
    <w:p w14:paraId="785517D7" w14:textId="77777777" w:rsidR="000F416B" w:rsidRDefault="000F416B" w:rsidP="000F416B">
      <w:pPr>
        <w:pStyle w:val="Odstavecseseznamem"/>
        <w:numPr>
          <w:ilvl w:val="1"/>
          <w:numId w:val="1"/>
        </w:numPr>
        <w:ind w:left="567" w:hanging="567"/>
        <w:jc w:val="both"/>
        <w:rPr>
          <w:rFonts w:eastAsia="Arial"/>
          <w:color w:val="000000"/>
          <w:lang w:eastAsia="cs-CZ" w:bidi="cs-CZ"/>
        </w:rPr>
      </w:pPr>
      <w:r w:rsidRPr="00853AEE">
        <w:rPr>
          <w:rFonts w:eastAsia="Arial"/>
          <w:color w:val="000000"/>
          <w:lang w:eastAsia="cs-CZ" w:bidi="cs-CZ"/>
        </w:rPr>
        <w:lastRenderedPageBreak/>
        <w:t xml:space="preserve">V případě, že </w:t>
      </w:r>
      <w:r>
        <w:rPr>
          <w:rFonts w:eastAsia="Arial"/>
          <w:color w:val="000000"/>
          <w:lang w:eastAsia="cs-CZ" w:bidi="cs-CZ"/>
        </w:rPr>
        <w:t xml:space="preserve">se </w:t>
      </w:r>
      <w:r w:rsidRPr="00853AEE">
        <w:rPr>
          <w:rFonts w:eastAsia="Arial"/>
          <w:color w:val="000000"/>
          <w:lang w:eastAsia="cs-CZ" w:bidi="cs-CZ"/>
        </w:rPr>
        <w:t xml:space="preserve">Poskytovatel </w:t>
      </w:r>
      <w:r>
        <w:rPr>
          <w:rFonts w:eastAsia="Arial"/>
          <w:color w:val="000000"/>
          <w:lang w:eastAsia="cs-CZ" w:bidi="cs-CZ"/>
        </w:rPr>
        <w:t xml:space="preserve">dostane do prodlení </w:t>
      </w:r>
      <w:r w:rsidR="007A092E">
        <w:rPr>
          <w:rFonts w:eastAsia="Arial"/>
          <w:color w:val="000000"/>
          <w:lang w:eastAsia="cs-CZ" w:bidi="cs-CZ"/>
        </w:rPr>
        <w:t xml:space="preserve">se zahájením poskytování služeb dle čl. 3.1. Smlouvy, </w:t>
      </w:r>
      <w:r w:rsidRPr="00853AEE">
        <w:rPr>
          <w:rFonts w:eastAsia="Arial"/>
          <w:color w:val="000000"/>
          <w:lang w:eastAsia="cs-CZ" w:bidi="cs-CZ"/>
        </w:rPr>
        <w:t xml:space="preserve">má Účastník právo požadovat úhradu smluvní pokuty ve výši </w:t>
      </w:r>
      <w:r w:rsidR="00165B0E">
        <w:rPr>
          <w:rFonts w:eastAsia="Arial"/>
          <w:color w:val="000000"/>
          <w:lang w:eastAsia="cs-CZ" w:bidi="cs-CZ"/>
        </w:rPr>
        <w:t>5</w:t>
      </w:r>
      <w:r w:rsidRPr="00853AEE">
        <w:rPr>
          <w:rFonts w:eastAsia="Arial"/>
          <w:color w:val="000000"/>
          <w:lang w:eastAsia="cs-CZ" w:bidi="cs-CZ"/>
        </w:rPr>
        <w:t xml:space="preserve">.000,- Kč </w:t>
      </w:r>
      <w:r w:rsidR="00700DED">
        <w:rPr>
          <w:rFonts w:eastAsia="Arial"/>
          <w:color w:val="000000"/>
          <w:lang w:eastAsia="cs-CZ" w:bidi="cs-CZ"/>
        </w:rPr>
        <w:t>ve vztahu ke každé lokalitě uvedené v příloze č. 1 Smlouvy a</w:t>
      </w:r>
      <w:r w:rsidR="00700DED" w:rsidRPr="00853AEE">
        <w:rPr>
          <w:rFonts w:eastAsia="Arial"/>
          <w:color w:val="000000"/>
          <w:lang w:eastAsia="cs-CZ" w:bidi="cs-CZ"/>
        </w:rPr>
        <w:t xml:space="preserve"> </w:t>
      </w:r>
      <w:r w:rsidRPr="00853AEE">
        <w:rPr>
          <w:rFonts w:eastAsia="Arial"/>
          <w:color w:val="000000"/>
          <w:lang w:eastAsia="cs-CZ" w:bidi="cs-CZ"/>
        </w:rPr>
        <w:t xml:space="preserve">za každý </w:t>
      </w:r>
      <w:r>
        <w:rPr>
          <w:rFonts w:eastAsia="Arial"/>
          <w:color w:val="000000"/>
          <w:lang w:eastAsia="cs-CZ" w:bidi="cs-CZ"/>
        </w:rPr>
        <w:t xml:space="preserve">byť započatý den trvání prodlení. </w:t>
      </w:r>
    </w:p>
    <w:p w14:paraId="738091A8" w14:textId="77777777" w:rsidR="00A041CF" w:rsidRPr="002A36D9" w:rsidRDefault="00A041CF" w:rsidP="00A041CF">
      <w:pPr>
        <w:pStyle w:val="Odstavecseseznamem"/>
        <w:numPr>
          <w:ilvl w:val="1"/>
          <w:numId w:val="1"/>
        </w:numPr>
        <w:ind w:left="567" w:hanging="567"/>
        <w:jc w:val="both"/>
        <w:rPr>
          <w:rFonts w:eastAsia="Arial"/>
          <w:color w:val="000000"/>
          <w:lang w:eastAsia="cs-CZ" w:bidi="cs-CZ"/>
        </w:rPr>
      </w:pPr>
      <w:r w:rsidRPr="002A36D9">
        <w:rPr>
          <w:rFonts w:eastAsia="Arial"/>
          <w:color w:val="000000"/>
          <w:lang w:eastAsia="cs-CZ" w:bidi="cs-CZ"/>
        </w:rPr>
        <w:t>V případě, že Poskytovatel poruší smluvní povinnosti týkající se zákazu postoupení Smlouvy, resp. jednotlivých smluvních závazků dle čl. 3.3. Smlouvy, má Účastník právo požadovat úhradu smluvní pokuty ve výši 50.000,- Kč za každý jednotlivý případ porušení.</w:t>
      </w:r>
    </w:p>
    <w:p w14:paraId="2660D24B" w14:textId="77777777" w:rsidR="00A041CF" w:rsidRPr="00853AEE" w:rsidRDefault="00A041CF" w:rsidP="00A041CF">
      <w:pPr>
        <w:pStyle w:val="Odstavecseseznamem"/>
        <w:numPr>
          <w:ilvl w:val="1"/>
          <w:numId w:val="1"/>
        </w:numPr>
        <w:ind w:left="567" w:hanging="567"/>
        <w:jc w:val="both"/>
        <w:rPr>
          <w:rFonts w:eastAsia="Arial"/>
          <w:color w:val="000000"/>
          <w:lang w:eastAsia="cs-CZ" w:bidi="cs-CZ"/>
        </w:rPr>
      </w:pPr>
      <w:r w:rsidRPr="002A36D9">
        <w:rPr>
          <w:rFonts w:eastAsia="Arial"/>
          <w:color w:val="000000"/>
          <w:lang w:eastAsia="cs-CZ" w:bidi="cs-CZ"/>
        </w:rPr>
        <w:t>V případě, že Poskytovatel poruší smluvní povinnost o pojištění dle čl. 3.4. Smlouvy</w:t>
      </w:r>
      <w:r w:rsidRPr="00853AEE">
        <w:rPr>
          <w:rFonts w:eastAsia="Arial"/>
          <w:color w:val="000000"/>
          <w:lang w:eastAsia="cs-CZ" w:bidi="cs-CZ"/>
        </w:rPr>
        <w:t xml:space="preserve">, má Účastník právo požadovat úhradu smluvní pokuty ve výši </w:t>
      </w:r>
      <w:r w:rsidR="00D324CB" w:rsidRPr="002A36D9">
        <w:rPr>
          <w:rFonts w:eastAsia="Arial"/>
          <w:color w:val="000000"/>
          <w:lang w:eastAsia="cs-CZ" w:bidi="cs-CZ"/>
        </w:rPr>
        <w:t>50.000,- Kč</w:t>
      </w:r>
      <w:r w:rsidR="00D324CB">
        <w:rPr>
          <w:rFonts w:eastAsia="Arial"/>
          <w:color w:val="000000"/>
          <w:lang w:eastAsia="cs-CZ" w:bidi="cs-CZ"/>
        </w:rPr>
        <w:t>, a to i opakovaně</w:t>
      </w:r>
      <w:r w:rsidRPr="00853AEE">
        <w:rPr>
          <w:rFonts w:eastAsia="Arial"/>
          <w:color w:val="000000"/>
          <w:lang w:eastAsia="cs-CZ" w:bidi="cs-CZ"/>
        </w:rPr>
        <w:t xml:space="preserve">. </w:t>
      </w:r>
    </w:p>
    <w:p w14:paraId="6B704F40" w14:textId="77777777" w:rsidR="00A041CF" w:rsidRPr="00853AEE" w:rsidRDefault="00A041CF" w:rsidP="00A041CF">
      <w:pPr>
        <w:pStyle w:val="Odstavecseseznamem"/>
        <w:numPr>
          <w:ilvl w:val="1"/>
          <w:numId w:val="1"/>
        </w:numPr>
        <w:ind w:left="567" w:hanging="567"/>
        <w:jc w:val="both"/>
        <w:rPr>
          <w:rFonts w:eastAsia="Arial"/>
          <w:color w:val="000000"/>
          <w:lang w:eastAsia="cs-CZ" w:bidi="cs-CZ"/>
        </w:rPr>
      </w:pPr>
      <w:r w:rsidRPr="00853AEE">
        <w:rPr>
          <w:rFonts w:eastAsia="Arial"/>
          <w:color w:val="000000"/>
          <w:lang w:eastAsia="cs-CZ" w:bidi="cs-CZ"/>
        </w:rPr>
        <w:t xml:space="preserve">V případě, že Poskytovatel poruší některou z povinností mlčenlivosti dle čl. </w:t>
      </w:r>
      <w:r>
        <w:rPr>
          <w:rFonts w:eastAsia="Arial"/>
          <w:color w:val="000000"/>
          <w:lang w:eastAsia="cs-CZ" w:bidi="cs-CZ"/>
        </w:rPr>
        <w:t xml:space="preserve">3.6., 3.7. a 3.8. </w:t>
      </w:r>
      <w:r w:rsidRPr="00853AEE">
        <w:rPr>
          <w:rFonts w:eastAsia="Arial"/>
          <w:color w:val="000000"/>
          <w:lang w:eastAsia="cs-CZ" w:bidi="cs-CZ"/>
        </w:rPr>
        <w:t xml:space="preserve">Smlouvy, je Účastník oprávněn požadovat smluvní pokutu ve výši </w:t>
      </w:r>
      <w:r w:rsidR="00F30C94">
        <w:rPr>
          <w:rFonts w:eastAsia="Arial"/>
          <w:color w:val="000000"/>
          <w:lang w:eastAsia="cs-CZ" w:bidi="cs-CZ"/>
        </w:rPr>
        <w:t>3</w:t>
      </w:r>
      <w:r w:rsidRPr="00853AEE">
        <w:rPr>
          <w:rFonts w:eastAsia="Arial"/>
          <w:color w:val="000000"/>
          <w:lang w:eastAsia="cs-CZ" w:bidi="cs-CZ"/>
        </w:rPr>
        <w:t>0.000,-Kč, a to za každý jednotlivý případ porušení.</w:t>
      </w:r>
    </w:p>
    <w:p w14:paraId="4E9D3971" w14:textId="77777777" w:rsidR="00F30C94" w:rsidRPr="002A36D9" w:rsidRDefault="00F30C94" w:rsidP="00F30C94">
      <w:pPr>
        <w:pStyle w:val="Odstavecseseznamem"/>
        <w:numPr>
          <w:ilvl w:val="1"/>
          <w:numId w:val="1"/>
        </w:numPr>
        <w:ind w:left="567" w:hanging="567"/>
        <w:jc w:val="both"/>
        <w:rPr>
          <w:rFonts w:eastAsia="Arial"/>
          <w:color w:val="000000"/>
          <w:lang w:eastAsia="cs-CZ" w:bidi="cs-CZ"/>
        </w:rPr>
      </w:pPr>
      <w:r w:rsidRPr="002A36D9">
        <w:rPr>
          <w:rFonts w:eastAsia="Arial"/>
          <w:color w:val="000000"/>
          <w:lang w:eastAsia="cs-CZ" w:bidi="cs-CZ"/>
        </w:rPr>
        <w:t xml:space="preserve">V případě, že Poskytovatel poruší smluvní povinnosti dle čl. 3.14. Smlouvy, má Účastník právo požadovat úhradu smluvní pokuty ve výši </w:t>
      </w:r>
      <w:r>
        <w:rPr>
          <w:rFonts w:eastAsia="Arial"/>
          <w:color w:val="000000"/>
          <w:lang w:eastAsia="cs-CZ" w:bidi="cs-CZ"/>
        </w:rPr>
        <w:t>3</w:t>
      </w:r>
      <w:r w:rsidRPr="002A36D9">
        <w:rPr>
          <w:rFonts w:eastAsia="Arial"/>
          <w:color w:val="000000"/>
          <w:lang w:eastAsia="cs-CZ" w:bidi="cs-CZ"/>
        </w:rPr>
        <w:t>0.000,- Kč za každý jednotlivý případ porušení.</w:t>
      </w:r>
    </w:p>
    <w:p w14:paraId="00B1932C" w14:textId="77777777" w:rsidR="00722AED" w:rsidRPr="00722AED" w:rsidRDefault="00853AEE" w:rsidP="008759A0">
      <w:pPr>
        <w:pStyle w:val="Odstavecseseznamem"/>
        <w:numPr>
          <w:ilvl w:val="1"/>
          <w:numId w:val="1"/>
        </w:numPr>
        <w:ind w:left="567" w:hanging="567"/>
        <w:jc w:val="both"/>
        <w:rPr>
          <w:rFonts w:eastAsia="Arial"/>
          <w:color w:val="000000"/>
          <w:lang w:eastAsia="cs-CZ" w:bidi="cs-CZ"/>
        </w:rPr>
      </w:pPr>
      <w:r w:rsidRPr="00722AED">
        <w:rPr>
          <w:rFonts w:eastAsia="Arial"/>
          <w:color w:val="000000"/>
          <w:lang w:eastAsia="cs-CZ" w:bidi="cs-CZ"/>
        </w:rPr>
        <w:t xml:space="preserve">V případě prodlení Poskytovatele s plněním ve lhůtách </w:t>
      </w:r>
      <w:r w:rsidR="002C2C44" w:rsidRPr="00722AED">
        <w:rPr>
          <w:rFonts w:eastAsia="Arial"/>
          <w:color w:val="000000"/>
          <w:lang w:eastAsia="cs-CZ" w:bidi="cs-CZ"/>
        </w:rPr>
        <w:t>dle</w:t>
      </w:r>
      <w:r w:rsidRPr="00722AED">
        <w:rPr>
          <w:rFonts w:eastAsia="Arial"/>
          <w:color w:val="000000"/>
          <w:lang w:eastAsia="cs-CZ" w:bidi="cs-CZ"/>
        </w:rPr>
        <w:t xml:space="preserve"> </w:t>
      </w:r>
      <w:r w:rsidR="00CF03B4" w:rsidRPr="00722AED">
        <w:rPr>
          <w:rFonts w:eastAsia="Arial"/>
          <w:color w:val="000000"/>
          <w:lang w:eastAsia="cs-CZ" w:bidi="cs-CZ"/>
        </w:rPr>
        <w:t xml:space="preserve">čl. </w:t>
      </w:r>
      <w:r w:rsidR="00722AED">
        <w:rPr>
          <w:rFonts w:eastAsia="Arial"/>
          <w:color w:val="000000"/>
          <w:lang w:eastAsia="cs-CZ" w:bidi="cs-CZ"/>
        </w:rPr>
        <w:t>4</w:t>
      </w:r>
      <w:r w:rsidR="007D026B" w:rsidRPr="00722AED">
        <w:rPr>
          <w:rFonts w:eastAsia="Arial"/>
          <w:color w:val="000000"/>
          <w:lang w:eastAsia="cs-CZ" w:bidi="cs-CZ"/>
        </w:rPr>
        <w:t>.3.</w:t>
      </w:r>
      <w:r w:rsidRPr="00722AED">
        <w:rPr>
          <w:rFonts w:eastAsia="Arial"/>
          <w:color w:val="000000"/>
          <w:lang w:eastAsia="cs-CZ" w:bidi="cs-CZ"/>
        </w:rPr>
        <w:t xml:space="preserve"> Smlouvy, má Účastník právo požadovat úhradu smluvní pokuty ve výši </w:t>
      </w:r>
      <w:r w:rsidR="00B0739B" w:rsidRPr="00722AED">
        <w:rPr>
          <w:rFonts w:eastAsia="Arial"/>
          <w:color w:val="000000"/>
          <w:lang w:eastAsia="cs-CZ" w:bidi="cs-CZ"/>
        </w:rPr>
        <w:t>1.0</w:t>
      </w:r>
      <w:r w:rsidRPr="00722AED">
        <w:rPr>
          <w:rFonts w:eastAsia="Arial"/>
          <w:color w:val="000000"/>
          <w:lang w:eastAsia="cs-CZ" w:bidi="cs-CZ"/>
        </w:rPr>
        <w:t xml:space="preserve">00,- Kč za každý započatý den prodlení. </w:t>
      </w:r>
    </w:p>
    <w:p w14:paraId="3767C0C6" w14:textId="77777777" w:rsidR="002E1A8C" w:rsidRPr="00722AED" w:rsidRDefault="002E1A8C" w:rsidP="008759A0">
      <w:pPr>
        <w:pStyle w:val="Odstavecseseznamem"/>
        <w:numPr>
          <w:ilvl w:val="1"/>
          <w:numId w:val="1"/>
        </w:numPr>
        <w:ind w:left="567" w:hanging="567"/>
        <w:jc w:val="both"/>
        <w:rPr>
          <w:rFonts w:eastAsia="Arial"/>
          <w:color w:val="000000"/>
          <w:lang w:eastAsia="cs-CZ" w:bidi="cs-CZ"/>
        </w:rPr>
      </w:pPr>
      <w:r w:rsidRPr="00722AED">
        <w:rPr>
          <w:rFonts w:eastAsia="Arial"/>
          <w:color w:val="000000"/>
          <w:lang w:eastAsia="cs-CZ" w:bidi="cs-CZ"/>
        </w:rPr>
        <w:t xml:space="preserve">V případě prodlení Poskytovatele s plněním ve lhůtách dle </w:t>
      </w:r>
      <w:r w:rsidR="00CF03B4" w:rsidRPr="00722AED">
        <w:rPr>
          <w:rFonts w:eastAsia="Arial"/>
          <w:color w:val="000000"/>
          <w:lang w:eastAsia="cs-CZ" w:bidi="cs-CZ"/>
        </w:rPr>
        <w:t xml:space="preserve">čl. </w:t>
      </w:r>
      <w:r w:rsidR="00981AEF" w:rsidRPr="00722AED">
        <w:rPr>
          <w:rFonts w:eastAsia="Arial"/>
          <w:color w:val="000000"/>
          <w:lang w:eastAsia="cs-CZ" w:bidi="cs-CZ"/>
        </w:rPr>
        <w:t>5.</w:t>
      </w:r>
      <w:r w:rsidR="00CC5E68" w:rsidRPr="00722AED">
        <w:rPr>
          <w:rFonts w:eastAsia="Arial"/>
          <w:color w:val="000000"/>
          <w:lang w:eastAsia="cs-CZ" w:bidi="cs-CZ"/>
        </w:rPr>
        <w:t>3</w:t>
      </w:r>
      <w:r w:rsidR="007D026B" w:rsidRPr="00722AED">
        <w:rPr>
          <w:rFonts w:eastAsia="Arial"/>
          <w:color w:val="000000"/>
          <w:lang w:eastAsia="cs-CZ" w:bidi="cs-CZ"/>
        </w:rPr>
        <w:t>.</w:t>
      </w:r>
      <w:r w:rsidRPr="00722AED">
        <w:rPr>
          <w:rFonts w:eastAsia="Arial"/>
          <w:color w:val="000000"/>
          <w:lang w:eastAsia="cs-CZ" w:bidi="cs-CZ"/>
        </w:rPr>
        <w:t xml:space="preserve"> věty </w:t>
      </w:r>
      <w:r w:rsidR="00856768" w:rsidRPr="00722AED">
        <w:rPr>
          <w:rFonts w:eastAsia="Arial"/>
          <w:color w:val="000000"/>
          <w:lang w:eastAsia="cs-CZ" w:bidi="cs-CZ"/>
        </w:rPr>
        <w:t>první</w:t>
      </w:r>
      <w:r w:rsidRPr="00722AED">
        <w:rPr>
          <w:rFonts w:eastAsia="Arial"/>
          <w:color w:val="000000"/>
          <w:lang w:eastAsia="cs-CZ" w:bidi="cs-CZ"/>
        </w:rPr>
        <w:t xml:space="preserve"> Smlouvy</w:t>
      </w:r>
      <w:r w:rsidR="00737200" w:rsidRPr="00722AED">
        <w:rPr>
          <w:rFonts w:eastAsia="Arial"/>
          <w:color w:val="000000"/>
          <w:lang w:eastAsia="cs-CZ" w:bidi="cs-CZ"/>
        </w:rPr>
        <w:t xml:space="preserve"> má Účastník právo požadovat úhradu smluvní pokuty ve výši </w:t>
      </w:r>
      <w:r w:rsidR="004755B3" w:rsidRPr="00722AED">
        <w:rPr>
          <w:rFonts w:eastAsia="Arial"/>
          <w:color w:val="000000"/>
          <w:lang w:eastAsia="cs-CZ" w:bidi="cs-CZ"/>
        </w:rPr>
        <w:t>5</w:t>
      </w:r>
      <w:r w:rsidR="00737200" w:rsidRPr="00722AED">
        <w:rPr>
          <w:rFonts w:eastAsia="Arial"/>
          <w:color w:val="000000"/>
          <w:lang w:eastAsia="cs-CZ" w:bidi="cs-CZ"/>
        </w:rPr>
        <w:t>00,- Kč za každou započatou hodinu prodlení. V případě, že Poskytovatel por</w:t>
      </w:r>
      <w:r w:rsidR="00B30951" w:rsidRPr="00722AED">
        <w:rPr>
          <w:rFonts w:eastAsia="Arial"/>
          <w:color w:val="000000"/>
          <w:lang w:eastAsia="cs-CZ" w:bidi="cs-CZ"/>
        </w:rPr>
        <w:t xml:space="preserve">uší smluvní povinnosti dle čl. </w:t>
      </w:r>
      <w:r w:rsidR="00981AEF" w:rsidRPr="00722AED">
        <w:rPr>
          <w:rFonts w:eastAsia="Arial"/>
          <w:color w:val="000000"/>
          <w:lang w:eastAsia="cs-CZ" w:bidi="cs-CZ"/>
        </w:rPr>
        <w:t>5</w:t>
      </w:r>
      <w:r w:rsidR="00737200" w:rsidRPr="00722AED">
        <w:rPr>
          <w:rFonts w:eastAsia="Arial"/>
          <w:color w:val="000000"/>
          <w:lang w:eastAsia="cs-CZ" w:bidi="cs-CZ"/>
        </w:rPr>
        <w:t>.</w:t>
      </w:r>
      <w:r w:rsidR="00CC5E68" w:rsidRPr="00722AED">
        <w:rPr>
          <w:rFonts w:eastAsia="Arial"/>
          <w:color w:val="000000"/>
          <w:lang w:eastAsia="cs-CZ" w:bidi="cs-CZ"/>
        </w:rPr>
        <w:t>3</w:t>
      </w:r>
      <w:r w:rsidR="00737200" w:rsidRPr="00722AED">
        <w:rPr>
          <w:rFonts w:eastAsia="Arial"/>
          <w:color w:val="000000"/>
          <w:lang w:eastAsia="cs-CZ" w:bidi="cs-CZ"/>
        </w:rPr>
        <w:t>.</w:t>
      </w:r>
      <w:r w:rsidR="00407C0E" w:rsidRPr="00722AED">
        <w:rPr>
          <w:rFonts w:eastAsia="Arial"/>
          <w:color w:val="000000"/>
          <w:lang w:eastAsia="cs-CZ" w:bidi="cs-CZ"/>
        </w:rPr>
        <w:t xml:space="preserve"> Smlouvy</w:t>
      </w:r>
      <w:r w:rsidR="00737200" w:rsidRPr="00722AED">
        <w:rPr>
          <w:rFonts w:eastAsia="Arial"/>
          <w:color w:val="000000"/>
          <w:lang w:eastAsia="cs-CZ" w:bidi="cs-CZ"/>
        </w:rPr>
        <w:t xml:space="preserve"> věty </w:t>
      </w:r>
      <w:r w:rsidR="00DD7ADE" w:rsidRPr="00722AED">
        <w:rPr>
          <w:rFonts w:eastAsia="Arial"/>
          <w:color w:val="000000"/>
          <w:lang w:eastAsia="cs-CZ" w:bidi="cs-CZ"/>
        </w:rPr>
        <w:t>druhé</w:t>
      </w:r>
      <w:r w:rsidR="00737200" w:rsidRPr="00722AED">
        <w:rPr>
          <w:rFonts w:eastAsia="Arial"/>
          <w:color w:val="000000"/>
          <w:lang w:eastAsia="cs-CZ" w:bidi="cs-CZ"/>
        </w:rPr>
        <w:t xml:space="preserve">, má Účastník právo požadovat úhradu smluvní pokuty ve výši </w:t>
      </w:r>
      <w:r w:rsidR="00305FAF">
        <w:rPr>
          <w:rFonts w:eastAsia="Arial"/>
          <w:color w:val="000000"/>
          <w:lang w:eastAsia="cs-CZ" w:bidi="cs-CZ"/>
        </w:rPr>
        <w:t>3</w:t>
      </w:r>
      <w:r w:rsidR="00737200" w:rsidRPr="00722AED">
        <w:rPr>
          <w:rFonts w:eastAsia="Arial"/>
          <w:color w:val="000000"/>
          <w:lang w:eastAsia="cs-CZ" w:bidi="cs-CZ"/>
        </w:rPr>
        <w:t xml:space="preserve">.000,- Kč </w:t>
      </w:r>
      <w:r w:rsidR="00652E58" w:rsidRPr="00722AED">
        <w:rPr>
          <w:rFonts w:eastAsia="Arial"/>
          <w:color w:val="000000"/>
          <w:lang w:eastAsia="cs-CZ" w:bidi="cs-CZ"/>
        </w:rPr>
        <w:t>za každý započatý den prodlení</w:t>
      </w:r>
      <w:r w:rsidRPr="00722AED">
        <w:rPr>
          <w:rFonts w:eastAsia="Arial"/>
          <w:color w:val="000000"/>
          <w:lang w:eastAsia="cs-CZ" w:bidi="cs-CZ"/>
        </w:rPr>
        <w:t>.</w:t>
      </w:r>
    </w:p>
    <w:p w14:paraId="225B31D7" w14:textId="77777777" w:rsidR="00853AEE" w:rsidRPr="002A36D9" w:rsidRDefault="00853AEE" w:rsidP="00853AEE">
      <w:pPr>
        <w:pStyle w:val="Odstavecseseznamem"/>
        <w:numPr>
          <w:ilvl w:val="1"/>
          <w:numId w:val="1"/>
        </w:numPr>
        <w:ind w:left="567" w:hanging="567"/>
        <w:jc w:val="both"/>
        <w:rPr>
          <w:rFonts w:eastAsia="Arial"/>
          <w:color w:val="000000"/>
          <w:lang w:eastAsia="cs-CZ" w:bidi="cs-CZ"/>
        </w:rPr>
      </w:pPr>
      <w:r w:rsidRPr="002A36D9">
        <w:rPr>
          <w:rFonts w:eastAsia="Arial"/>
          <w:color w:val="000000"/>
          <w:lang w:eastAsia="cs-CZ" w:bidi="cs-CZ"/>
        </w:rPr>
        <w:t xml:space="preserve">V případě prodlení Poskytovatele s plněním informační povinnosti ve lhůtách dle </w:t>
      </w:r>
      <w:r w:rsidR="001674D1">
        <w:rPr>
          <w:rFonts w:eastAsia="Arial"/>
          <w:color w:val="000000"/>
          <w:lang w:eastAsia="cs-CZ" w:bidi="cs-CZ"/>
        </w:rPr>
        <w:t>čl. 7</w:t>
      </w:r>
      <w:r w:rsidR="007D026B" w:rsidRPr="002A36D9">
        <w:rPr>
          <w:rFonts w:eastAsia="Arial"/>
          <w:color w:val="000000"/>
          <w:lang w:eastAsia="cs-CZ" w:bidi="cs-CZ"/>
        </w:rPr>
        <w:t>.</w:t>
      </w:r>
      <w:r w:rsidR="00627F19" w:rsidRPr="002A36D9">
        <w:rPr>
          <w:rFonts w:eastAsia="Arial"/>
          <w:color w:val="000000"/>
          <w:lang w:eastAsia="cs-CZ" w:bidi="cs-CZ"/>
        </w:rPr>
        <w:t>9</w:t>
      </w:r>
      <w:r w:rsidR="007D026B" w:rsidRPr="002A36D9">
        <w:rPr>
          <w:rFonts w:eastAsia="Arial"/>
          <w:color w:val="000000"/>
          <w:lang w:eastAsia="cs-CZ" w:bidi="cs-CZ"/>
        </w:rPr>
        <w:t>.</w:t>
      </w:r>
      <w:r w:rsidRPr="002A36D9">
        <w:rPr>
          <w:rFonts w:eastAsia="Arial"/>
          <w:color w:val="000000"/>
          <w:lang w:eastAsia="cs-CZ" w:bidi="cs-CZ"/>
        </w:rPr>
        <w:t xml:space="preserve"> Smlouvy, má Účastník právo požadovat úhradu smluvní pokuty ve výši </w:t>
      </w:r>
      <w:r w:rsidR="00627F19" w:rsidRPr="002A36D9">
        <w:rPr>
          <w:rFonts w:eastAsia="Arial"/>
          <w:color w:val="000000"/>
          <w:lang w:eastAsia="cs-CZ" w:bidi="cs-CZ"/>
        </w:rPr>
        <w:t>1.0</w:t>
      </w:r>
      <w:r w:rsidRPr="002A36D9">
        <w:rPr>
          <w:rFonts w:eastAsia="Arial"/>
          <w:color w:val="000000"/>
          <w:lang w:eastAsia="cs-CZ" w:bidi="cs-CZ"/>
        </w:rPr>
        <w:t xml:space="preserve">00,- Kč za každý započatý den prodlení. </w:t>
      </w:r>
    </w:p>
    <w:p w14:paraId="1F93D61B" w14:textId="77777777" w:rsidR="00853AEE" w:rsidRPr="00E15AFE" w:rsidRDefault="00853AEE" w:rsidP="00853AEE">
      <w:pPr>
        <w:pStyle w:val="Odstavecseseznamem"/>
        <w:numPr>
          <w:ilvl w:val="1"/>
          <w:numId w:val="1"/>
        </w:numPr>
        <w:ind w:left="567" w:hanging="567"/>
        <w:jc w:val="both"/>
        <w:rPr>
          <w:rFonts w:eastAsia="Arial"/>
          <w:color w:val="000000"/>
          <w:lang w:eastAsia="cs-CZ" w:bidi="cs-CZ"/>
        </w:rPr>
      </w:pPr>
      <w:r w:rsidRPr="00853AEE">
        <w:rPr>
          <w:rFonts w:eastAsia="Arial"/>
          <w:color w:val="000000"/>
          <w:lang w:eastAsia="cs-CZ" w:bidi="cs-CZ"/>
        </w:rPr>
        <w:t xml:space="preserve">Smluvní strany se </w:t>
      </w:r>
      <w:r w:rsidRPr="00E15AFE">
        <w:rPr>
          <w:rFonts w:eastAsia="Arial"/>
          <w:color w:val="000000"/>
          <w:lang w:eastAsia="cs-CZ" w:bidi="cs-CZ"/>
        </w:rPr>
        <w:t xml:space="preserve">dohodly, že </w:t>
      </w:r>
      <w:r w:rsidR="00D649FA" w:rsidRPr="00045FCE">
        <w:rPr>
          <w:rFonts w:eastAsia="Arial"/>
          <w:color w:val="000000"/>
          <w:lang w:eastAsia="cs-CZ" w:bidi="cs-CZ"/>
        </w:rPr>
        <w:t xml:space="preserve">ustanovení Přílohy č. </w:t>
      </w:r>
      <w:r w:rsidR="002D1451">
        <w:rPr>
          <w:rFonts w:eastAsia="Arial"/>
          <w:color w:val="000000"/>
          <w:lang w:eastAsia="cs-CZ" w:bidi="cs-CZ"/>
        </w:rPr>
        <w:t>7</w:t>
      </w:r>
      <w:r w:rsidRPr="00E15AFE">
        <w:rPr>
          <w:rFonts w:eastAsia="Arial"/>
          <w:color w:val="000000"/>
          <w:lang w:eastAsia="cs-CZ" w:bidi="cs-CZ"/>
        </w:rPr>
        <w:t xml:space="preserve"> Smlouvy, týkající se smluvních pokut, jsou zcela vyloučeny.</w:t>
      </w:r>
    </w:p>
    <w:p w14:paraId="05898ADA" w14:textId="77777777" w:rsidR="00853AEE" w:rsidRPr="00853AEE" w:rsidRDefault="00853AEE" w:rsidP="00853AEE">
      <w:pPr>
        <w:pStyle w:val="Odstavecseseznamem"/>
        <w:numPr>
          <w:ilvl w:val="1"/>
          <w:numId w:val="1"/>
        </w:numPr>
        <w:ind w:left="567" w:hanging="567"/>
        <w:jc w:val="both"/>
        <w:rPr>
          <w:rFonts w:eastAsia="Arial"/>
          <w:color w:val="000000"/>
          <w:lang w:eastAsia="cs-CZ" w:bidi="cs-CZ"/>
        </w:rPr>
      </w:pPr>
      <w:r w:rsidRPr="00853AEE">
        <w:rPr>
          <w:rFonts w:eastAsia="Arial"/>
          <w:color w:val="000000"/>
          <w:lang w:eastAsia="cs-CZ" w:bidi="cs-CZ"/>
        </w:rPr>
        <w:t>Kumulace smluvních pokut není vyloučena.</w:t>
      </w:r>
    </w:p>
    <w:p w14:paraId="08A073C9" w14:textId="77777777" w:rsidR="00853AEE" w:rsidRDefault="00853AEE" w:rsidP="00853AEE">
      <w:pPr>
        <w:pStyle w:val="Odstavecseseznamem"/>
        <w:numPr>
          <w:ilvl w:val="1"/>
          <w:numId w:val="1"/>
        </w:numPr>
        <w:ind w:left="567" w:hanging="567"/>
        <w:jc w:val="both"/>
      </w:pPr>
      <w:r w:rsidRPr="00853AEE">
        <w:rPr>
          <w:rFonts w:eastAsia="Arial"/>
          <w:color w:val="000000"/>
          <w:lang w:eastAsia="cs-CZ" w:bidi="cs-CZ"/>
        </w:rPr>
        <w:t>Uhrazení smluvní pokuty nezbavuje povinnou Smluvní stranu její povinnosti závazek splnit a vznikem práv</w:t>
      </w:r>
      <w:r>
        <w:t xml:space="preserve">a na smluvní pokutu není dotčeno právo na náhradu škody </w:t>
      </w:r>
      <w:r w:rsidR="00D02FB2">
        <w:t>ve výši přesahující výši smluvní pokuty, k níž se povinnost vztahuje</w:t>
      </w:r>
      <w:r>
        <w:t>.</w:t>
      </w:r>
    </w:p>
    <w:p w14:paraId="0E86AE67" w14:textId="77777777" w:rsidR="00853AEE" w:rsidRDefault="00853AEE" w:rsidP="00D02FB2">
      <w:pPr>
        <w:pStyle w:val="Odstavecseseznamem"/>
        <w:numPr>
          <w:ilvl w:val="1"/>
          <w:numId w:val="1"/>
        </w:numPr>
        <w:ind w:left="567" w:hanging="567"/>
        <w:jc w:val="both"/>
      </w:pPr>
      <w:r>
        <w:t>Smluvní pokuty a úrok z prodlení jsou splatné ve lhůtě 30 (třiceti) kalendářních dnů ode dne doručení písemné výzvy oprávněné Smluvní strany Smluvní straně povinné ze smluvní sankce.</w:t>
      </w:r>
    </w:p>
    <w:p w14:paraId="5FDD6ABA" w14:textId="77777777" w:rsidR="00D02FB2" w:rsidRDefault="00D02FB2" w:rsidP="00D02FB2">
      <w:pPr>
        <w:pStyle w:val="Odstavecseseznamem"/>
        <w:ind w:left="567"/>
        <w:jc w:val="both"/>
      </w:pPr>
    </w:p>
    <w:p w14:paraId="4C543C15" w14:textId="77777777" w:rsidR="00D5666C" w:rsidRDefault="00D5666C" w:rsidP="00D5666C">
      <w:pPr>
        <w:pStyle w:val="Odstavecseseznamem"/>
        <w:ind w:left="567"/>
        <w:jc w:val="both"/>
      </w:pPr>
    </w:p>
    <w:p w14:paraId="5691DBA7" w14:textId="77777777" w:rsidR="00D5666C" w:rsidRPr="00D5666C" w:rsidRDefault="00D5666C" w:rsidP="008E29B6">
      <w:pPr>
        <w:pStyle w:val="Odstavecseseznamem"/>
        <w:keepNext/>
        <w:numPr>
          <w:ilvl w:val="0"/>
          <w:numId w:val="1"/>
        </w:numPr>
        <w:jc w:val="both"/>
        <w:rPr>
          <w:b/>
        </w:rPr>
      </w:pPr>
      <w:r w:rsidRPr="00D5666C">
        <w:rPr>
          <w:b/>
        </w:rPr>
        <w:t>DOBA TRVÁNÍ A UKONČENÍ SMLOUVY</w:t>
      </w:r>
    </w:p>
    <w:p w14:paraId="34A47055" w14:textId="77777777" w:rsidR="00D5666C" w:rsidRDefault="005963ED" w:rsidP="008E29B6">
      <w:pPr>
        <w:pStyle w:val="Odstavecseseznamem"/>
        <w:keepNext/>
        <w:numPr>
          <w:ilvl w:val="1"/>
          <w:numId w:val="1"/>
        </w:numPr>
        <w:ind w:left="567" w:hanging="567"/>
        <w:jc w:val="both"/>
      </w:pPr>
      <w:r>
        <w:t>Smlouva se uzavírá</w:t>
      </w:r>
      <w:r w:rsidR="00E079DA">
        <w:t xml:space="preserve"> na dobu určitou</w:t>
      </w:r>
      <w:r w:rsidR="00663C60">
        <w:t>, a to dobu</w:t>
      </w:r>
      <w:r w:rsidR="007832E5">
        <w:t xml:space="preserve"> </w:t>
      </w:r>
      <w:r w:rsidR="00F30DDD">
        <w:t xml:space="preserve">24 měsíců jdoucí od </w:t>
      </w:r>
      <w:r w:rsidR="00663C60">
        <w:t>2. 7. 2023, resp. dojde-li k ak</w:t>
      </w:r>
      <w:r w:rsidR="00C57716">
        <w:t>tivaci Služeb ve shodě s čl. 1.8</w:t>
      </w:r>
      <w:r w:rsidR="00663C60">
        <w:t xml:space="preserve">. Smlouvy po datu 2. 7. 2023, pak ode dne, kdy je Poskytovatel povinen poskytovat Služby ve shodě s čl. 3.1. této Smlouvy, nebo do vyčerpání celkové částky ve výši </w:t>
      </w:r>
      <w:r w:rsidR="00EC4200" w:rsidRPr="00045FCE">
        <w:t>2.500.000,-</w:t>
      </w:r>
      <w:r w:rsidR="00663C60" w:rsidRPr="00045FCE">
        <w:t xml:space="preserve"> Kč</w:t>
      </w:r>
      <w:r w:rsidR="00663C60">
        <w:t xml:space="preserve"> bez </w:t>
      </w:r>
      <w:bookmarkStart w:id="0" w:name="_GoBack"/>
      <w:r w:rsidR="00663C60">
        <w:t>DPH</w:t>
      </w:r>
      <w:bookmarkEnd w:id="0"/>
      <w:r w:rsidR="00663C60">
        <w:t xml:space="preserve">, dle toho, co nastane dříve. </w:t>
      </w:r>
    </w:p>
    <w:p w14:paraId="23763E7A" w14:textId="77777777" w:rsidR="00D5666C" w:rsidRDefault="00D5666C" w:rsidP="00D5666C">
      <w:pPr>
        <w:pStyle w:val="Odstavecseseznamem"/>
        <w:numPr>
          <w:ilvl w:val="1"/>
          <w:numId w:val="1"/>
        </w:numPr>
        <w:ind w:left="567" w:hanging="567"/>
        <w:jc w:val="both"/>
      </w:pPr>
      <w:r>
        <w:t xml:space="preserve">Tuto Smlouvu lze ukončit písemnou dohodou Účastníka a Poskytovatele. </w:t>
      </w:r>
    </w:p>
    <w:p w14:paraId="0A47A0BF" w14:textId="77777777" w:rsidR="00356719" w:rsidRPr="00FA7E5A" w:rsidRDefault="00356719" w:rsidP="00D5666C">
      <w:pPr>
        <w:pStyle w:val="Odstavecseseznamem"/>
        <w:numPr>
          <w:ilvl w:val="1"/>
          <w:numId w:val="1"/>
        </w:numPr>
        <w:ind w:left="567" w:hanging="567"/>
        <w:jc w:val="both"/>
      </w:pPr>
      <w:r w:rsidRPr="00FA7E5A">
        <w:t xml:space="preserve">Závazek ze Smlouvy zaniká rovněž v případech stanovených obecně závaznými právními předpisy, zejména Zákonem o elektronických komunikacích. </w:t>
      </w:r>
    </w:p>
    <w:p w14:paraId="78EE6B5E" w14:textId="77777777" w:rsidR="00D5666C" w:rsidRPr="00FA7E5A" w:rsidRDefault="00FA7E5A" w:rsidP="00D5666C">
      <w:pPr>
        <w:pStyle w:val="Odstavecseseznamem"/>
        <w:numPr>
          <w:ilvl w:val="1"/>
          <w:numId w:val="1"/>
        </w:numPr>
        <w:ind w:left="567" w:hanging="567"/>
        <w:jc w:val="both"/>
      </w:pPr>
      <w:r w:rsidRPr="00FA7E5A">
        <w:t>Smluvní strana</w:t>
      </w:r>
      <w:r w:rsidR="00D5666C" w:rsidRPr="00FA7E5A">
        <w:t xml:space="preserve"> je oprávněn</w:t>
      </w:r>
      <w:r w:rsidRPr="00FA7E5A">
        <w:t>a</w:t>
      </w:r>
      <w:r w:rsidR="00D5666C" w:rsidRPr="00FA7E5A">
        <w:t xml:space="preserve"> Smlouvu vypovědět bez udání důvodu. </w:t>
      </w:r>
      <w:r w:rsidR="00D5666C" w:rsidRPr="00045FCE">
        <w:t xml:space="preserve">Výpovědní doba činí </w:t>
      </w:r>
      <w:r w:rsidR="00E650D3" w:rsidRPr="00045FCE">
        <w:t>4</w:t>
      </w:r>
      <w:r w:rsidR="00D5666C" w:rsidRPr="00045FCE">
        <w:t xml:space="preserve"> (</w:t>
      </w:r>
      <w:r w:rsidR="00E650D3" w:rsidRPr="00045FCE">
        <w:t>čtyři</w:t>
      </w:r>
      <w:r w:rsidR="00D5666C" w:rsidRPr="00045FCE">
        <w:t>) kalendářní měsíc</w:t>
      </w:r>
      <w:r w:rsidR="00E650D3" w:rsidRPr="00045FCE">
        <w:t>e</w:t>
      </w:r>
      <w:r w:rsidR="00D5666C" w:rsidRPr="00045FCE">
        <w:t xml:space="preserve"> a začíná běžet prvním dnem měsíce následujícího po měsíci, ve kterém bylo písemné vyhotovení výpovědi prokazatelně doručeno </w:t>
      </w:r>
      <w:r w:rsidRPr="00045FCE">
        <w:t>druhé Smluvní straně</w:t>
      </w:r>
      <w:r w:rsidR="00D5666C" w:rsidRPr="00FA7E5A">
        <w:t>.</w:t>
      </w:r>
    </w:p>
    <w:p w14:paraId="6D99E6E3" w14:textId="77777777" w:rsidR="007554A4" w:rsidRPr="00FA7E5A" w:rsidRDefault="007554A4" w:rsidP="00D5666C">
      <w:pPr>
        <w:pStyle w:val="Odstavecseseznamem"/>
        <w:numPr>
          <w:ilvl w:val="1"/>
          <w:numId w:val="1"/>
        </w:numPr>
        <w:ind w:left="567" w:hanging="567"/>
        <w:jc w:val="both"/>
      </w:pPr>
      <w:r w:rsidRPr="00FA7E5A">
        <w:t>V případě zániku závazku ze Smlouvy výpovědí nebo dohodou Smluvních stran</w:t>
      </w:r>
      <w:r w:rsidR="0095646F" w:rsidRPr="00FA7E5A">
        <w:t xml:space="preserve"> nesmí být ze</w:t>
      </w:r>
      <w:r w:rsidR="00552A3A" w:rsidRPr="00FA7E5A">
        <w:t> </w:t>
      </w:r>
      <w:r w:rsidR="0095646F" w:rsidRPr="00FA7E5A">
        <w:t xml:space="preserve">strany Poskytovatele požadována žádná úhrada nebo jiná sankce. </w:t>
      </w:r>
    </w:p>
    <w:p w14:paraId="443B887A" w14:textId="77777777" w:rsidR="005E3A90" w:rsidRDefault="00D5666C" w:rsidP="005E3A90">
      <w:pPr>
        <w:pStyle w:val="Odstavecseseznamem"/>
        <w:numPr>
          <w:ilvl w:val="1"/>
          <w:numId w:val="1"/>
        </w:numPr>
        <w:ind w:left="567" w:hanging="567"/>
        <w:jc w:val="both"/>
      </w:pPr>
      <w:r w:rsidRPr="00FA7E5A">
        <w:t xml:space="preserve">V případě podstatného porušení Smlouvy má </w:t>
      </w:r>
      <w:r w:rsidR="005E3A90">
        <w:t xml:space="preserve">druhá Smluvní strana </w:t>
      </w:r>
      <w:r w:rsidRPr="00FA7E5A">
        <w:t>právo od této Smlouvy odstoupit.</w:t>
      </w:r>
      <w:r w:rsidR="005E3A90" w:rsidRPr="005E3A90">
        <w:t xml:space="preserve"> </w:t>
      </w:r>
      <w:r w:rsidR="005E3A90">
        <w:t xml:space="preserve">Odstoupením se závazek touto Smlouvou založený zrušuje pouze ohledně </w:t>
      </w:r>
      <w:r w:rsidR="005E3A90">
        <w:lastRenderedPageBreak/>
        <w:t xml:space="preserve">nesplněného zbytku plnění. Dotčené strany si jsou povinny vyrovnat dosavadní vzájemné závazky ze Smlouvy, a to bez zbytečného odkladu, nejpozději však do 30 (třiceti) dnů od doručení oznámení Smluvní strany o odstoupení od Smlouvy. </w:t>
      </w:r>
    </w:p>
    <w:p w14:paraId="3AEF8D75" w14:textId="77777777" w:rsidR="003B2D96" w:rsidRDefault="003B2D96" w:rsidP="00361C0E">
      <w:pPr>
        <w:pStyle w:val="Odstavecseseznamem"/>
        <w:numPr>
          <w:ilvl w:val="1"/>
          <w:numId w:val="1"/>
        </w:numPr>
        <w:ind w:left="567" w:hanging="567"/>
        <w:jc w:val="both"/>
      </w:pPr>
      <w:r>
        <w:t xml:space="preserve">Poskytovatel může odstoupit od Smlouvy v případech, kdy Účastník soustavně opožděně platil nebo soustavně neplatil cenu za Služby uvedeného ve vyúčtování ceny provedené v souladu s touto Smlouvou, a to pouze po prokazatelném upozornění Účastníka. Soustavným opožděným placením se rozumí zaplacení nejméně 2 po sobě jdoucích vyúčtování po lhůtě splatnosti. Soustavným neplacením se rozumí existence nejméně 3 nezaplacení vyúčtování ceny. </w:t>
      </w:r>
    </w:p>
    <w:p w14:paraId="131292E1" w14:textId="77777777" w:rsidR="00D5666C" w:rsidRDefault="00D5666C" w:rsidP="00D5666C">
      <w:pPr>
        <w:pStyle w:val="Odstavecseseznamem"/>
        <w:numPr>
          <w:ilvl w:val="1"/>
          <w:numId w:val="1"/>
        </w:numPr>
        <w:ind w:left="567" w:hanging="567"/>
        <w:jc w:val="both"/>
      </w:pPr>
      <w:r>
        <w:t>Za podstatné porušení Smlouvy Poskytovatelem se považuje zejména situace, kdy:</w:t>
      </w:r>
    </w:p>
    <w:p w14:paraId="4A997F41" w14:textId="77777777" w:rsidR="00D5666C" w:rsidRDefault="00D5666C" w:rsidP="004A2DD7">
      <w:pPr>
        <w:pStyle w:val="Odstavecseseznamem"/>
        <w:numPr>
          <w:ilvl w:val="2"/>
          <w:numId w:val="1"/>
        </w:numPr>
        <w:ind w:hanging="657"/>
        <w:jc w:val="both"/>
      </w:pPr>
      <w:r>
        <w:t xml:space="preserve">Poskytovatel v průběhu trvání této Smlouvy poruší povinnosti v souvislosti s pojištěním odpovědnosti dle čl. </w:t>
      </w:r>
      <w:r w:rsidR="0011279D">
        <w:t>3.</w:t>
      </w:r>
      <w:r w:rsidR="009752F0">
        <w:t>4</w:t>
      </w:r>
      <w:r w:rsidR="0011279D">
        <w:t>.</w:t>
      </w:r>
      <w:r>
        <w:t xml:space="preserve"> Smlouvy, nebo</w:t>
      </w:r>
    </w:p>
    <w:p w14:paraId="7DB3BF52" w14:textId="77777777" w:rsidR="00D5666C" w:rsidRDefault="00D5666C" w:rsidP="004A2DD7">
      <w:pPr>
        <w:pStyle w:val="Odstavecseseznamem"/>
        <w:numPr>
          <w:ilvl w:val="2"/>
          <w:numId w:val="1"/>
        </w:numPr>
        <w:ind w:hanging="657"/>
        <w:jc w:val="both"/>
      </w:pPr>
      <w:r>
        <w:t xml:space="preserve">Poskytovatel opakovaně poruší podmínky poskytování Služeb, neposkytuje objednané Služby dle specifikace a za </w:t>
      </w:r>
      <w:r w:rsidR="0011279D">
        <w:t>podmínek stanovených Smlouvou nebo</w:t>
      </w:r>
      <w:r>
        <w:t xml:space="preserve"> nedodrží lhůty pro odstranění reklamovaných Služeb dle čl. </w:t>
      </w:r>
      <w:r w:rsidR="006E5877">
        <w:t>5</w:t>
      </w:r>
      <w:r>
        <w:t xml:space="preserve"> Smlouvy</w:t>
      </w:r>
      <w:r w:rsidR="0011279D">
        <w:t xml:space="preserve"> (termínem „opakovaně“ se pro účely tohoto ustanovení rozumí více než 3x (třikrát) po dobu trvání Smlouvy),</w:t>
      </w:r>
    </w:p>
    <w:p w14:paraId="73BF9D67" w14:textId="77777777" w:rsidR="00D5666C" w:rsidRDefault="00D5666C" w:rsidP="00D5666C">
      <w:pPr>
        <w:pStyle w:val="Odstavecseseznamem"/>
        <w:numPr>
          <w:ilvl w:val="1"/>
          <w:numId w:val="1"/>
        </w:numPr>
        <w:ind w:left="567" w:hanging="567"/>
        <w:jc w:val="both"/>
      </w:pPr>
      <w:r>
        <w:t>Účastník je dále oprávněn odstoupit od Smlouvy v následujících případech:</w:t>
      </w:r>
    </w:p>
    <w:p w14:paraId="190678EC" w14:textId="77777777" w:rsidR="00D5666C" w:rsidRDefault="00D5666C" w:rsidP="001C53B3">
      <w:pPr>
        <w:pStyle w:val="Odstavecseseznamem"/>
        <w:numPr>
          <w:ilvl w:val="2"/>
          <w:numId w:val="1"/>
        </w:numPr>
        <w:ind w:hanging="657"/>
        <w:jc w:val="both"/>
      </w:pPr>
      <w:r>
        <w:t>bude rozhodnuto o likvidaci Poskytovatele;</w:t>
      </w:r>
    </w:p>
    <w:p w14:paraId="2859BCFE" w14:textId="77777777" w:rsidR="00D5666C" w:rsidRDefault="00D5666C" w:rsidP="00700928">
      <w:pPr>
        <w:pStyle w:val="Odstavecseseznamem"/>
        <w:numPr>
          <w:ilvl w:val="2"/>
          <w:numId w:val="1"/>
        </w:numPr>
        <w:ind w:hanging="657"/>
        <w:jc w:val="both"/>
      </w:pPr>
      <w:r>
        <w:t>Poskytovatel podá insolvenční návrh ohledně své osoby, bude rozhodnuto o úpadku Poskytovatele nebo bude ve vztahu k Poskytovateli vydáno jiné rozhodnutí s obdobnými účinky.</w:t>
      </w:r>
    </w:p>
    <w:p w14:paraId="15B42C26" w14:textId="77777777" w:rsidR="002E666C" w:rsidRDefault="00D5666C" w:rsidP="002E666C">
      <w:pPr>
        <w:pStyle w:val="Odstavecseseznamem"/>
        <w:numPr>
          <w:ilvl w:val="2"/>
          <w:numId w:val="1"/>
        </w:numPr>
        <w:ind w:hanging="657"/>
        <w:jc w:val="both"/>
      </w:pPr>
      <w:r>
        <w:t>Poskytovatel bude pravomocně odsouzen za úmyslný majetkový nebo hospodářský trestný čin.</w:t>
      </w:r>
    </w:p>
    <w:p w14:paraId="3C0E7968" w14:textId="77777777" w:rsidR="00D5666C" w:rsidRDefault="00D5666C" w:rsidP="002E666C">
      <w:pPr>
        <w:pStyle w:val="Odstavecseseznamem"/>
        <w:ind w:left="567"/>
        <w:jc w:val="both"/>
      </w:pPr>
      <w:r>
        <w:t xml:space="preserve">Nastane-li některý z případů </w:t>
      </w:r>
      <w:r w:rsidR="00700928">
        <w:t xml:space="preserve">výše </w:t>
      </w:r>
      <w:r>
        <w:t xml:space="preserve">uvedených, je Poskytovatel povinen informovat o této skutečnosti Účastníka písemně do 2 (dvou) </w:t>
      </w:r>
      <w:r w:rsidR="00407C0E">
        <w:t xml:space="preserve">pracovních </w:t>
      </w:r>
      <w:r>
        <w:t>dnů od jejího vzniku, společně s informací o tom, o</w:t>
      </w:r>
      <w:r w:rsidR="00945BED">
        <w:t> </w:t>
      </w:r>
      <w:r>
        <w:t>kterou ze skutečností jde, a s uvedením bližších údajů, které by Účastník mohl v této souvislosti potřebovat pro své rozhodnutí o odstoupení od Smlouvy. Nedodržení této povinnosti je podstatným porušením Smlouvy.</w:t>
      </w:r>
    </w:p>
    <w:p w14:paraId="12546F30" w14:textId="77777777" w:rsidR="00D5666C" w:rsidRDefault="00D5666C" w:rsidP="00700928">
      <w:pPr>
        <w:pStyle w:val="Odstavecseseznamem"/>
        <w:numPr>
          <w:ilvl w:val="1"/>
          <w:numId w:val="1"/>
        </w:numPr>
        <w:ind w:left="567" w:hanging="567"/>
        <w:jc w:val="both"/>
      </w:pPr>
      <w:r>
        <w:t>Odstoupení od Smlouvy musí být písemné, jinak je neplatné. Odstoupení je účinné ode dne, kdy bylo doručeno straně, jíž se odstoupení týká.</w:t>
      </w:r>
    </w:p>
    <w:p w14:paraId="4C3A4733" w14:textId="77777777" w:rsidR="00D5666C" w:rsidRDefault="00D5666C" w:rsidP="00700928">
      <w:pPr>
        <w:pStyle w:val="Odstavecseseznamem"/>
        <w:numPr>
          <w:ilvl w:val="1"/>
          <w:numId w:val="1"/>
        </w:numPr>
        <w:ind w:left="567" w:hanging="567"/>
        <w:jc w:val="both"/>
      </w:pPr>
      <w:r>
        <w:t>Ukončením Smlouvy není dotčen nárok na zaplacení smluvní pokuty nebo úroku z prodlení, pokud již dospěl, právo na náhradu škody vzniklé porušením smluvní povinnosti, povinnost mlčenlivosti, práva z odpovědnosti za vady, ani ujednání, které má vzhledem ke své povaze zavazovat Smluvní strany i po ukončení této Smlouvy.</w:t>
      </w:r>
    </w:p>
    <w:p w14:paraId="72CA434B" w14:textId="77777777" w:rsidR="00D5666C" w:rsidRDefault="00D5666C" w:rsidP="00700928">
      <w:pPr>
        <w:pStyle w:val="Odstavecseseznamem"/>
        <w:ind w:left="567"/>
        <w:jc w:val="both"/>
      </w:pPr>
    </w:p>
    <w:p w14:paraId="5484974B" w14:textId="77777777" w:rsidR="00700928" w:rsidRPr="00700928" w:rsidRDefault="00700928" w:rsidP="00700928">
      <w:pPr>
        <w:pStyle w:val="Odstavecseseznamem"/>
        <w:numPr>
          <w:ilvl w:val="0"/>
          <w:numId w:val="1"/>
        </w:numPr>
        <w:jc w:val="both"/>
        <w:rPr>
          <w:b/>
        </w:rPr>
      </w:pPr>
      <w:r w:rsidRPr="00700928">
        <w:rPr>
          <w:b/>
        </w:rPr>
        <w:t>ZÁVĚREČNÁ USTANOVENÍ</w:t>
      </w:r>
    </w:p>
    <w:p w14:paraId="7DAD0C9B" w14:textId="77777777" w:rsidR="00700928" w:rsidRDefault="00700928" w:rsidP="00270CAB">
      <w:pPr>
        <w:pStyle w:val="Odstavecseseznamem"/>
        <w:numPr>
          <w:ilvl w:val="1"/>
          <w:numId w:val="1"/>
        </w:numPr>
        <w:ind w:left="567" w:hanging="567"/>
        <w:jc w:val="both"/>
      </w:pPr>
      <w:r>
        <w:t>Oznámení nebo jiná sdělení podle Smlouvy musí být učiněna písemně v českém jazyce. Jakékoliv úkony směřující k ukončení této Smlouvy musí být doručeny příslušné Smluvní straně datovou schránkou nebo formou doporučeného dopisu. Oznámení nebo jiná sdělení podle této Smlouvy se budou považovat za řádně učiněná</w:t>
      </w:r>
      <w:r w:rsidRPr="000D6550">
        <w:t xml:space="preserve">, pokud budou doručena osobně, poštou, kurýrem či prostřednictvím datové schránky </w:t>
      </w:r>
      <w:r w:rsidR="00721D71" w:rsidRPr="000D6550">
        <w:t xml:space="preserve">nebo e-mailových adres Kontaktních osob </w:t>
      </w:r>
      <w:r w:rsidRPr="000D6550">
        <w:t>(není-li v Smlouvě dohodnuto jinak) na adresy uvedené v</w:t>
      </w:r>
      <w:r w:rsidR="002B052B" w:rsidRPr="000D6550">
        <w:t xml:space="preserve"> záhlaví Smlouvy </w:t>
      </w:r>
      <w:r w:rsidRPr="000D6550">
        <w:t>nebo na jinou</w:t>
      </w:r>
      <w:r>
        <w:t xml:space="preserve"> adresu, kterou Účastník nebo Poskytovatel v předstihu písemně oznámí druhé smluvní straně.</w:t>
      </w:r>
      <w:r w:rsidR="00270CAB">
        <w:t xml:space="preserve"> </w:t>
      </w:r>
      <w:r>
        <w:t>Účinnost oznámení nastává v pracovní den následující po dni doručení tohoto oznámení Účastníkovi nebo Poskytovateli, není-li ve Smlouvě dohodnuto jinak.</w:t>
      </w:r>
    </w:p>
    <w:p w14:paraId="72C999E1" w14:textId="77777777" w:rsidR="00700928" w:rsidRDefault="00700928" w:rsidP="00700928">
      <w:pPr>
        <w:pStyle w:val="Odstavecseseznamem"/>
        <w:numPr>
          <w:ilvl w:val="1"/>
          <w:numId w:val="1"/>
        </w:numPr>
        <w:ind w:left="567" w:hanging="567"/>
        <w:jc w:val="both"/>
      </w:pPr>
      <w:r>
        <w:t>Smluvní strany se dohodly na určení Kontaktní osoby za Účastníka a Poskytovatele (dále jen „Kontaktní osoba“)</w:t>
      </w:r>
      <w:r w:rsidR="00270CAB">
        <w:t xml:space="preserve"> uvedené v záhlaví Smlouvy</w:t>
      </w:r>
      <w:r>
        <w:t xml:space="preserve">. Kontaktní osoby jsou oprávněné ke všem jednáním týkajícím se této Smlouvy, není-li ve Smlouvě stanoveno jinak, s výjimkou změn nebo </w:t>
      </w:r>
      <w:r>
        <w:lastRenderedPageBreak/>
        <w:t>ukončení Smlouvy. V případě, že strana má více Kontaktních osob, zasílají se veškeré e-mailové zprávy na adresy všech Kontaktních osob současně.</w:t>
      </w:r>
    </w:p>
    <w:p w14:paraId="3B214B71" w14:textId="77777777" w:rsidR="00700928" w:rsidRDefault="00700928" w:rsidP="00700928">
      <w:pPr>
        <w:pStyle w:val="Odstavecseseznamem"/>
        <w:numPr>
          <w:ilvl w:val="1"/>
          <w:numId w:val="1"/>
        </w:numPr>
        <w:ind w:left="567" w:hanging="567"/>
        <w:jc w:val="both"/>
      </w:pPr>
      <w:r>
        <w:t xml:space="preserve">Poskytovatel bere na vědomí, </w:t>
      </w:r>
      <w:r w:rsidRPr="00B54031">
        <w:t xml:space="preserve">že Příloha č. </w:t>
      </w:r>
      <w:r w:rsidR="002D1451">
        <w:t>7</w:t>
      </w:r>
      <w:r w:rsidRPr="00B54031">
        <w:t xml:space="preserve"> Smlouvy se použije při poskytování Služeb podle</w:t>
      </w:r>
      <w:r w:rsidR="005D31B1">
        <w:t xml:space="preserve"> této Smlouvy pouze subsidiárně</w:t>
      </w:r>
      <w:r w:rsidRPr="00B54031">
        <w:t xml:space="preserve">. V případě rozporu Přílohy č. </w:t>
      </w:r>
      <w:r w:rsidR="002D1451">
        <w:t>7</w:t>
      </w:r>
      <w:r w:rsidRPr="00B54031">
        <w:t xml:space="preserve"> s ustanoveními Smlouvy mají přednost ustanovení Smlouvy, přičemž ustanovení o smluvních pokutách a reklamacích</w:t>
      </w:r>
      <w:r>
        <w:t xml:space="preserve"> </w:t>
      </w:r>
      <w:r w:rsidR="00677947">
        <w:t xml:space="preserve">a SLA podmínky </w:t>
      </w:r>
      <w:r>
        <w:t>uveden</w:t>
      </w:r>
      <w:r w:rsidR="00677947">
        <w:t>é</w:t>
      </w:r>
      <w:r>
        <w:t xml:space="preserve"> v Příloze č. </w:t>
      </w:r>
      <w:r w:rsidR="00FB3218">
        <w:t>7</w:t>
      </w:r>
      <w:r>
        <w:t xml:space="preserve"> se nepoužijí.</w:t>
      </w:r>
    </w:p>
    <w:p w14:paraId="07580DE3" w14:textId="77777777" w:rsidR="00700928" w:rsidRDefault="00700928" w:rsidP="00700928">
      <w:pPr>
        <w:pStyle w:val="Odstavecseseznamem"/>
        <w:numPr>
          <w:ilvl w:val="1"/>
          <w:numId w:val="1"/>
        </w:numPr>
        <w:ind w:left="567" w:hanging="567"/>
        <w:jc w:val="both"/>
      </w:pPr>
      <w:r>
        <w:t>Doplňování nebo změnu této Smlouvy lze provádět jen se souhlasem Účastníka a Poskytovatele, a to pouze formou písemných dodatků</w:t>
      </w:r>
      <w:r w:rsidR="00ED4645">
        <w:t xml:space="preserve">; dojde-li za dobu trvání závazku z této Smlouvy k legislativní změně ZEK </w:t>
      </w:r>
      <w:r w:rsidR="00DF578F" w:rsidRPr="00600A54">
        <w:t>nebo k </w:t>
      </w:r>
      <w:r w:rsidR="004065D6">
        <w:t>vydání</w:t>
      </w:r>
      <w:r w:rsidR="00DF578F" w:rsidRPr="00600A54">
        <w:t xml:space="preserve"> rozhodnutí či jin</w:t>
      </w:r>
      <w:r w:rsidR="004065D6">
        <w:t xml:space="preserve">ého </w:t>
      </w:r>
      <w:r w:rsidR="00DF578F" w:rsidRPr="00600A54">
        <w:t>opatření Českého telekomunikačního úřadu</w:t>
      </w:r>
      <w:r w:rsidR="00ED4645">
        <w:t>, v důsledku čehož vznikne potřeba změny Smlouvy, posoudí Účastník tyto změny v souladu s </w:t>
      </w:r>
      <w:proofErr w:type="spellStart"/>
      <w:r w:rsidR="00ED4645">
        <w:t>ust</w:t>
      </w:r>
      <w:proofErr w:type="spellEnd"/>
      <w:r w:rsidR="00ED4645">
        <w:t>. § 222 ZZVZ s tím, že nebude-li se jednat o změnu podstatnou, umožní ji</w:t>
      </w:r>
      <w:r>
        <w:t>.</w:t>
      </w:r>
      <w:r w:rsidR="00ED4645">
        <w:t xml:space="preserve"> V opačném případě má právo odstoupit od smlouvy v souladu s </w:t>
      </w:r>
      <w:proofErr w:type="spellStart"/>
      <w:r w:rsidR="00ED4645">
        <w:t>ust</w:t>
      </w:r>
      <w:proofErr w:type="spellEnd"/>
      <w:r w:rsidR="00ED4645">
        <w:t>. § 223 odst.</w:t>
      </w:r>
      <w:r w:rsidR="007A3EE1">
        <w:t xml:space="preserve"> 1</w:t>
      </w:r>
      <w:r w:rsidR="00ED4645">
        <w:t xml:space="preserve"> ZZVZ. </w:t>
      </w:r>
    </w:p>
    <w:p w14:paraId="58197D27" w14:textId="77777777" w:rsidR="00700928" w:rsidRDefault="00700928" w:rsidP="00700928">
      <w:pPr>
        <w:pStyle w:val="Odstavecseseznamem"/>
        <w:numPr>
          <w:ilvl w:val="1"/>
          <w:numId w:val="1"/>
        </w:numPr>
        <w:ind w:left="567" w:hanging="567"/>
        <w:jc w:val="both"/>
      </w:pPr>
      <w:r>
        <w:t>Jakékoliv změny kontaktních údajů, bankovních údajů, a Kontaktních osob je příslušný Účastník nebo Poskytovatel oprávněn provádět jednostranně prostřednictvím Kontaktní osoby.</w:t>
      </w:r>
    </w:p>
    <w:p w14:paraId="64E32A24" w14:textId="77777777" w:rsidR="00700928" w:rsidRDefault="00E12832" w:rsidP="00700928">
      <w:pPr>
        <w:pStyle w:val="Odstavecseseznamem"/>
        <w:numPr>
          <w:ilvl w:val="1"/>
          <w:numId w:val="1"/>
        </w:numPr>
        <w:ind w:left="567" w:hanging="567"/>
        <w:jc w:val="both"/>
      </w:pPr>
      <w:r>
        <w:t xml:space="preserve">Pokud </w:t>
      </w:r>
      <w:r w:rsidR="00700928">
        <w:t>se jakékoliv ustanovení Smlouvy stane neplatným či nevymahatelným, nebude to mít vliv na platnost a vymahatelnost ostatních ustanovení. Smluvní strany se zavazují nahradit neplatné nebo nevymahatelné ustanovení novým ustanovením, jehož znění bude odpovídat úmyslu vyjádřenému původním ustanovením a Smlouvou jako celkem.</w:t>
      </w:r>
    </w:p>
    <w:p w14:paraId="79D49345" w14:textId="77777777" w:rsidR="00700928" w:rsidRPr="001A1528" w:rsidRDefault="00700928" w:rsidP="00700928">
      <w:pPr>
        <w:pStyle w:val="Odstavecseseznamem"/>
        <w:numPr>
          <w:ilvl w:val="1"/>
          <w:numId w:val="1"/>
        </w:numPr>
        <w:ind w:left="567" w:hanging="567"/>
        <w:jc w:val="both"/>
      </w:pPr>
      <w:r w:rsidRPr="001A1528">
        <w:t>Poskytovatel bere na vědomí a souhlasí s tím, že Účastník nemá na základě této Smlouvy povinnost využívat výhradně Služby Poskytovatele.</w:t>
      </w:r>
    </w:p>
    <w:p w14:paraId="6B22C95B" w14:textId="77777777" w:rsidR="00700928" w:rsidRDefault="00700928" w:rsidP="00700928">
      <w:pPr>
        <w:pStyle w:val="Odstavecseseznamem"/>
        <w:numPr>
          <w:ilvl w:val="1"/>
          <w:numId w:val="1"/>
        </w:numPr>
        <w:ind w:left="567" w:hanging="567"/>
        <w:jc w:val="both"/>
      </w:pPr>
      <w:r>
        <w:t>Smluvní strany souhlasí, že Smlouva a její přílohy mohou být v elektronické podobě zveřejněny na internetových stránkách Účastníka a v registru smluv ve smyslu zákona č. 340/2015 Sb., o zvláštních podmínkách účinnosti některých smluv, uveřejňování těchto smluv a o registru smluv, ve znění pozdějších předpisů, případně také na jiném místě, bude-li k tomu Účastník povinen, a to bez časového omezení.</w:t>
      </w:r>
    </w:p>
    <w:p w14:paraId="30939BAD" w14:textId="77777777" w:rsidR="00700928" w:rsidRDefault="00700928" w:rsidP="00700928">
      <w:pPr>
        <w:pStyle w:val="Odstavecseseznamem"/>
        <w:numPr>
          <w:ilvl w:val="1"/>
          <w:numId w:val="1"/>
        </w:numPr>
        <w:ind w:left="567" w:hanging="567"/>
        <w:jc w:val="both"/>
      </w:pPr>
      <w:r>
        <w:t xml:space="preserve">Smluvní strany navzájem prohlašují, že tato smlouva neobsahuje údaje, které by naplňovaly pojmové znaky obchodního tajemství nebo jsou obchodním tajemstvím ve smyslu ustanovení § 504 Občanského zákoníku. </w:t>
      </w:r>
    </w:p>
    <w:p w14:paraId="29C7F9D1" w14:textId="77777777" w:rsidR="00700928" w:rsidRDefault="00700928" w:rsidP="00700928">
      <w:pPr>
        <w:pStyle w:val="Odstavecseseznamem"/>
        <w:numPr>
          <w:ilvl w:val="1"/>
          <w:numId w:val="1"/>
        </w:numPr>
        <w:ind w:left="567" w:hanging="567"/>
        <w:jc w:val="both"/>
      </w:pPr>
      <w:r>
        <w:t>Smlouva se řídí a bude vykládána v souladu s právním řádem České republiky. Všechny spory vzniklé z tohoto ujednání, nebo v souvislosti s ním budou Smluvní strany řešit především vzájemnou dohodou. Nedojde-li k dohodě, budou spory vyplývající ze závazkového vztahu Smlouvou řešeny podle obecně závazných právních předpisů České republiky. Pokud Smlouva nestanoví jinak, řídí se tento smluvní vztah příslušnými ustanoveními Občanského zákoníku, Zákona o elektronických komunikacích a zákona č. 110/2019 Sb., o zpracování osobních údajů, ve znění pozdějších předpisů.</w:t>
      </w:r>
      <w:r w:rsidR="00CF2D18">
        <w:t xml:space="preserve"> Bude-li v rámci poskytování Služeb dle této Smlouvy docházet ke zpracování osobních údajů, zavazují se smluvní strany uzavřít smlouvu o zpracování osobních údajů v souladu s právními předpisy upravujícími ochranu osobních údajů.  </w:t>
      </w:r>
    </w:p>
    <w:p w14:paraId="77C782B7" w14:textId="77777777" w:rsidR="00AC1C96" w:rsidRDefault="00AC1C96" w:rsidP="00AC1C96">
      <w:pPr>
        <w:pStyle w:val="Odstavecseseznamem"/>
        <w:numPr>
          <w:ilvl w:val="1"/>
          <w:numId w:val="1"/>
        </w:numPr>
        <w:ind w:left="567" w:hanging="567"/>
        <w:jc w:val="both"/>
        <w:rPr>
          <w:rFonts w:eastAsia="Times New Roman" w:cs="Times New Roman"/>
          <w:color w:val="000000"/>
          <w:lang w:eastAsia="cs-CZ"/>
        </w:rPr>
      </w:pPr>
      <w:r w:rsidRPr="00700928">
        <w:t>Ujednání o ochraně osobních údajů: Informace k ochraně osobních údajů jsou ze strany NPÚ uveřejněny na webových</w:t>
      </w:r>
      <w:r w:rsidRPr="002A3010">
        <w:rPr>
          <w:rFonts w:eastAsia="Times New Roman" w:cs="Times New Roman"/>
          <w:color w:val="000000"/>
          <w:lang w:eastAsia="cs-CZ"/>
        </w:rPr>
        <w:t xml:space="preserve"> stránkách </w:t>
      </w:r>
      <w:hyperlink r:id="rId10" w:history="1">
        <w:r w:rsidRPr="002A3010">
          <w:rPr>
            <w:rFonts w:eastAsia="Times New Roman" w:cs="Times New Roman"/>
            <w:color w:val="0000FF"/>
            <w:u w:val="single"/>
            <w:lang w:eastAsia="cs-CZ"/>
          </w:rPr>
          <w:t>www.npu.cz</w:t>
        </w:r>
      </w:hyperlink>
      <w:r w:rsidRPr="002A3010">
        <w:rPr>
          <w:rFonts w:eastAsia="Times New Roman" w:cs="Times New Roman"/>
          <w:color w:val="000000"/>
          <w:lang w:eastAsia="cs-CZ"/>
        </w:rPr>
        <w:t> v sekci „Ochrana osobních údajů“.</w:t>
      </w:r>
    </w:p>
    <w:p w14:paraId="3BEEA4BC" w14:textId="77777777" w:rsidR="00700928" w:rsidRDefault="00700928" w:rsidP="00700928">
      <w:pPr>
        <w:pStyle w:val="Odstavecseseznamem"/>
        <w:numPr>
          <w:ilvl w:val="1"/>
          <w:numId w:val="1"/>
        </w:numPr>
        <w:ind w:left="567" w:hanging="567"/>
        <w:jc w:val="both"/>
      </w:pPr>
      <w:r>
        <w:t>Smlouva je vyhotovena jen v elektronické podobě s elektronickými podpisy smluvních stran.</w:t>
      </w:r>
    </w:p>
    <w:p w14:paraId="4D329CAF" w14:textId="77777777" w:rsidR="00700928" w:rsidRDefault="00700928" w:rsidP="00700928">
      <w:pPr>
        <w:pStyle w:val="Odstavecseseznamem"/>
        <w:numPr>
          <w:ilvl w:val="1"/>
          <w:numId w:val="1"/>
        </w:numPr>
        <w:ind w:left="567" w:hanging="567"/>
        <w:jc w:val="both"/>
      </w:pPr>
      <w:r>
        <w:t>Smlouva nabývá platnosti dnem jejího uzavření oběma Smluvními stranami a účinnosti dnem uveřejnění v registru smluv.</w:t>
      </w:r>
      <w:r w:rsidR="00361C0E">
        <w:t xml:space="preserve"> Uveřejnění Smlouvy v registru smluv zajistí Účastník.</w:t>
      </w:r>
    </w:p>
    <w:p w14:paraId="29B1BDFE" w14:textId="77777777" w:rsidR="004D2893" w:rsidRDefault="00700928" w:rsidP="00700928">
      <w:pPr>
        <w:pStyle w:val="Odstavecseseznamem"/>
        <w:numPr>
          <w:ilvl w:val="1"/>
          <w:numId w:val="1"/>
        </w:numPr>
        <w:ind w:left="567" w:hanging="567"/>
        <w:jc w:val="both"/>
      </w:pPr>
      <w:r>
        <w:t>Nedílnou součástí této Smlouvy jsou její přílohy:</w:t>
      </w:r>
    </w:p>
    <w:p w14:paraId="22D279A4" w14:textId="77777777" w:rsidR="00462A81" w:rsidRPr="00462A81" w:rsidRDefault="00462A81" w:rsidP="00462A81">
      <w:r w:rsidRPr="00462A81">
        <w:t>Příloha č. 1:</w:t>
      </w:r>
      <w:r w:rsidRPr="00462A81">
        <w:tab/>
      </w:r>
      <w:r w:rsidR="006D7E9F">
        <w:t>S</w:t>
      </w:r>
      <w:r w:rsidR="006D7E9F" w:rsidRPr="00CE488D">
        <w:rPr>
          <w:rFonts w:eastAsiaTheme="minorEastAsia" w:cs="Times New Roman"/>
          <w:color w:val="000000"/>
          <w:lang w:eastAsia="cs-CZ"/>
        </w:rPr>
        <w:t>eznam lokalit</w:t>
      </w:r>
      <w:r w:rsidR="006D7E9F">
        <w:rPr>
          <w:rFonts w:eastAsiaTheme="minorEastAsia" w:cs="Times New Roman"/>
          <w:color w:val="000000"/>
          <w:lang w:eastAsia="cs-CZ"/>
        </w:rPr>
        <w:t>, specifikace</w:t>
      </w:r>
      <w:r w:rsidR="006D7E9F" w:rsidRPr="00CE488D">
        <w:rPr>
          <w:rFonts w:eastAsiaTheme="minorEastAsia" w:cs="Times New Roman"/>
          <w:color w:val="000000"/>
          <w:lang w:eastAsia="cs-CZ"/>
        </w:rPr>
        <w:t xml:space="preserve"> </w:t>
      </w:r>
      <w:r w:rsidR="006D7E9F">
        <w:rPr>
          <w:rFonts w:eastAsiaTheme="minorEastAsia" w:cs="Times New Roman"/>
          <w:color w:val="000000"/>
          <w:lang w:eastAsia="cs-CZ"/>
        </w:rPr>
        <w:t>a ceny Služeb</w:t>
      </w:r>
      <w:r w:rsidR="009C3073">
        <w:rPr>
          <w:rFonts w:eastAsiaTheme="minorEastAsia" w:cs="Times New Roman"/>
          <w:color w:val="000000"/>
          <w:lang w:eastAsia="cs-CZ"/>
        </w:rPr>
        <w:t xml:space="preserve"> </w:t>
      </w:r>
    </w:p>
    <w:p w14:paraId="7F913D2D" w14:textId="77777777" w:rsidR="00462A81" w:rsidRPr="00462A81" w:rsidRDefault="00462A81" w:rsidP="00462A81">
      <w:r w:rsidRPr="00462A81">
        <w:t>Příloha č. 2:</w:t>
      </w:r>
      <w:r w:rsidRPr="00462A81">
        <w:tab/>
        <w:t>Ceník ostatních Služeb</w:t>
      </w:r>
      <w:r w:rsidR="00F838DC">
        <w:t xml:space="preserve"> (Přehled </w:t>
      </w:r>
      <w:r w:rsidR="00301D8C">
        <w:t xml:space="preserve">ostatních </w:t>
      </w:r>
      <w:r w:rsidR="00F838DC">
        <w:t>služeb)</w:t>
      </w:r>
      <w:r w:rsidRPr="00462A81">
        <w:t xml:space="preserve"> </w:t>
      </w:r>
    </w:p>
    <w:p w14:paraId="01E4D4D2" w14:textId="77777777" w:rsidR="00847D38" w:rsidRDefault="00E94DF3" w:rsidP="00462A81">
      <w:pPr>
        <w:rPr>
          <w:rFonts w:eastAsia="Arial"/>
          <w:color w:val="000000"/>
          <w:lang w:eastAsia="cs-CZ" w:bidi="cs-CZ"/>
        </w:rPr>
      </w:pPr>
      <w:r>
        <w:rPr>
          <w:rFonts w:eastAsia="Arial"/>
          <w:color w:val="000000"/>
          <w:lang w:eastAsia="cs-CZ" w:bidi="cs-CZ"/>
        </w:rPr>
        <w:lastRenderedPageBreak/>
        <w:t xml:space="preserve">Příloha č. </w:t>
      </w:r>
      <w:r w:rsidR="009C3073">
        <w:rPr>
          <w:rFonts w:eastAsia="Arial"/>
          <w:color w:val="000000"/>
          <w:lang w:eastAsia="cs-CZ" w:bidi="cs-CZ"/>
        </w:rPr>
        <w:t>3</w:t>
      </w:r>
      <w:r w:rsidR="004F7E19">
        <w:rPr>
          <w:rFonts w:eastAsia="Arial"/>
          <w:color w:val="000000"/>
          <w:lang w:eastAsia="cs-CZ" w:bidi="cs-CZ"/>
        </w:rPr>
        <w:t>:</w:t>
      </w:r>
      <w:r w:rsidR="004F7E19">
        <w:rPr>
          <w:rFonts w:eastAsia="Arial"/>
          <w:color w:val="000000"/>
          <w:lang w:eastAsia="cs-CZ" w:bidi="cs-CZ"/>
        </w:rPr>
        <w:tab/>
      </w:r>
      <w:r w:rsidR="001A5B33">
        <w:rPr>
          <w:rFonts w:eastAsia="Arial"/>
          <w:color w:val="000000"/>
          <w:lang w:eastAsia="cs-CZ" w:bidi="cs-CZ"/>
        </w:rPr>
        <w:t>Technický popis řešení</w:t>
      </w:r>
      <w:r w:rsidR="00847D38">
        <w:rPr>
          <w:rFonts w:eastAsia="Arial"/>
          <w:color w:val="000000"/>
          <w:lang w:eastAsia="cs-CZ" w:bidi="cs-CZ"/>
        </w:rPr>
        <w:t xml:space="preserve"> </w:t>
      </w:r>
    </w:p>
    <w:p w14:paraId="42C53E4D" w14:textId="77777777" w:rsidR="001A5B33" w:rsidRDefault="001A5B33" w:rsidP="001A5B33">
      <w:r>
        <w:rPr>
          <w:rFonts w:eastAsia="Arial"/>
          <w:color w:val="000000"/>
          <w:lang w:eastAsia="cs-CZ" w:bidi="cs-CZ"/>
        </w:rPr>
        <w:t>Příloha č. 4:</w:t>
      </w:r>
      <w:r>
        <w:rPr>
          <w:rFonts w:eastAsia="Arial"/>
          <w:color w:val="000000"/>
          <w:lang w:eastAsia="cs-CZ" w:bidi="cs-CZ"/>
        </w:rPr>
        <w:tab/>
      </w:r>
      <w:r>
        <w:rPr>
          <w:rFonts w:eastAsiaTheme="minorEastAsia" w:cs="Times New Roman"/>
          <w:color w:val="000000"/>
          <w:lang w:eastAsia="cs-CZ"/>
        </w:rPr>
        <w:t>Z</w:t>
      </w:r>
      <w:r w:rsidRPr="00DD7BEF">
        <w:rPr>
          <w:rFonts w:eastAsiaTheme="minorEastAsia" w:cs="Times New Roman"/>
          <w:color w:val="000000"/>
          <w:lang w:eastAsia="cs-CZ"/>
        </w:rPr>
        <w:t>ajištění podpory a servisních služeb</w:t>
      </w:r>
      <w:r>
        <w:rPr>
          <w:rFonts w:eastAsiaTheme="minorEastAsia" w:cs="Times New Roman"/>
          <w:color w:val="000000"/>
          <w:lang w:eastAsia="cs-CZ"/>
        </w:rPr>
        <w:t xml:space="preserve"> </w:t>
      </w:r>
    </w:p>
    <w:p w14:paraId="23F3EACA" w14:textId="77777777" w:rsidR="001C69A8" w:rsidRDefault="00847D38" w:rsidP="00462A81">
      <w:r>
        <w:rPr>
          <w:rFonts w:eastAsia="Arial"/>
          <w:color w:val="000000"/>
          <w:lang w:eastAsia="cs-CZ" w:bidi="cs-CZ"/>
        </w:rPr>
        <w:t>Příloha č. 5:</w:t>
      </w:r>
      <w:r>
        <w:rPr>
          <w:rFonts w:eastAsia="Arial"/>
          <w:color w:val="000000"/>
          <w:lang w:eastAsia="cs-CZ" w:bidi="cs-CZ"/>
        </w:rPr>
        <w:tab/>
      </w:r>
      <w:r w:rsidR="00A308DF">
        <w:rPr>
          <w:rFonts w:eastAsia="Arial"/>
          <w:color w:val="000000"/>
          <w:lang w:eastAsia="cs-CZ" w:bidi="cs-CZ"/>
        </w:rPr>
        <w:t xml:space="preserve">SLA podmínky </w:t>
      </w:r>
    </w:p>
    <w:p w14:paraId="5F83178E" w14:textId="77777777" w:rsidR="002E11E4" w:rsidRDefault="004B33C8" w:rsidP="002E11E4">
      <w:r>
        <w:rPr>
          <w:rFonts w:eastAsia="Arial"/>
          <w:color w:val="000000"/>
          <w:lang w:eastAsia="cs-CZ" w:bidi="cs-CZ"/>
        </w:rPr>
        <w:t xml:space="preserve">Příloha č. </w:t>
      </w:r>
      <w:r w:rsidR="00847D38">
        <w:rPr>
          <w:rFonts w:eastAsia="Arial"/>
          <w:color w:val="000000"/>
          <w:lang w:eastAsia="cs-CZ" w:bidi="cs-CZ"/>
        </w:rPr>
        <w:t>6</w:t>
      </w:r>
      <w:r>
        <w:rPr>
          <w:rFonts w:eastAsia="Arial"/>
          <w:color w:val="000000"/>
          <w:lang w:eastAsia="cs-CZ" w:bidi="cs-CZ"/>
        </w:rPr>
        <w:t>:</w:t>
      </w:r>
      <w:r>
        <w:rPr>
          <w:rFonts w:eastAsia="Arial"/>
          <w:color w:val="000000"/>
          <w:lang w:eastAsia="cs-CZ" w:bidi="cs-CZ"/>
        </w:rPr>
        <w:tab/>
      </w:r>
      <w:r w:rsidR="002E11E4">
        <w:rPr>
          <w:rFonts w:eastAsia="Arial"/>
          <w:color w:val="000000"/>
          <w:lang w:eastAsia="cs-CZ" w:bidi="cs-CZ"/>
        </w:rPr>
        <w:t>Návrh postupu na zajištění k</w:t>
      </w:r>
      <w:r w:rsidR="002E11E4">
        <w:t>ontinuity poskytovaných Služeb přístupu k internetu</w:t>
      </w:r>
      <w:r w:rsidR="002E11E4" w:rsidRPr="003307BE">
        <w:t xml:space="preserve"> </w:t>
      </w:r>
    </w:p>
    <w:p w14:paraId="432B8A10" w14:textId="77777777" w:rsidR="00462A81" w:rsidRDefault="001C69A8" w:rsidP="00462A81">
      <w:r>
        <w:rPr>
          <w:rFonts w:eastAsia="Arial"/>
          <w:color w:val="000000"/>
          <w:lang w:eastAsia="cs-CZ" w:bidi="cs-CZ"/>
        </w:rPr>
        <w:t xml:space="preserve">Příloha č. </w:t>
      </w:r>
      <w:r w:rsidR="00847D38">
        <w:rPr>
          <w:rFonts w:eastAsia="Arial"/>
          <w:color w:val="000000"/>
          <w:lang w:eastAsia="cs-CZ" w:bidi="cs-CZ"/>
        </w:rPr>
        <w:t>7</w:t>
      </w:r>
      <w:r>
        <w:rPr>
          <w:rFonts w:eastAsia="Arial"/>
          <w:color w:val="000000"/>
          <w:lang w:eastAsia="cs-CZ" w:bidi="cs-CZ"/>
        </w:rPr>
        <w:t xml:space="preserve">: </w:t>
      </w:r>
      <w:r>
        <w:rPr>
          <w:rFonts w:eastAsia="Arial"/>
          <w:color w:val="000000"/>
          <w:lang w:eastAsia="cs-CZ" w:bidi="cs-CZ"/>
        </w:rPr>
        <w:tab/>
      </w:r>
      <w:r w:rsidR="00462A81" w:rsidRPr="00462A81">
        <w:t xml:space="preserve">Všeobecné obchodní podmínky Poskytovatele </w:t>
      </w:r>
      <w:r w:rsidR="00AE39FC" w:rsidRPr="00462A81">
        <w:t>Služeb</w:t>
      </w:r>
      <w:r w:rsidR="00AE39FC">
        <w:t xml:space="preserve"> </w:t>
      </w:r>
    </w:p>
    <w:p w14:paraId="785C5BBB" w14:textId="77777777" w:rsidR="00760179" w:rsidRDefault="00462A81" w:rsidP="00462A81">
      <w:r w:rsidRPr="00462A81">
        <w:t xml:space="preserve">Příloha č. </w:t>
      </w:r>
      <w:r w:rsidR="00847D38">
        <w:t>8</w:t>
      </w:r>
      <w:r w:rsidRPr="00462A81">
        <w:t>:</w:t>
      </w:r>
      <w:r w:rsidRPr="00462A81">
        <w:tab/>
      </w:r>
      <w:r w:rsidRPr="006D6265">
        <w:t xml:space="preserve">Oprávnění zastupovat Poskytovatele (je-li </w:t>
      </w:r>
      <w:r w:rsidR="004F7E19" w:rsidRPr="006D6265">
        <w:t>poskytovatel</w:t>
      </w:r>
      <w:r w:rsidRPr="006D6265">
        <w:t xml:space="preserve"> zastoupen jinou osobou oprávněnou zastupovat </w:t>
      </w:r>
      <w:r w:rsidR="004F7E19" w:rsidRPr="006D6265">
        <w:t>poskytovatele</w:t>
      </w:r>
      <w:r w:rsidRPr="006D6265">
        <w:t xml:space="preserve">, než statutárním orgánem </w:t>
      </w:r>
      <w:r w:rsidR="004F7E19" w:rsidRPr="006D6265">
        <w:t>poskytovatele</w:t>
      </w:r>
      <w:r w:rsidRPr="006D6265">
        <w:t xml:space="preserve">, předloží </w:t>
      </w:r>
      <w:r w:rsidR="004F7E19" w:rsidRPr="006D6265">
        <w:t>poskytovatel</w:t>
      </w:r>
      <w:r w:rsidRPr="006D6265">
        <w:t xml:space="preserve"> toto oprávnění (např. plnou moc) v originálu či úředně ověřené kopii.)</w:t>
      </w:r>
    </w:p>
    <w:p w14:paraId="0A37FF8F" w14:textId="77777777" w:rsidR="00852284" w:rsidRDefault="00852284"/>
    <w:p w14:paraId="2153D6B6" w14:textId="77777777" w:rsidR="002D3D17" w:rsidRDefault="002D3D17"/>
    <w:p w14:paraId="2860BBB7" w14:textId="77777777" w:rsidR="002D3D17" w:rsidRDefault="002D3D17"/>
    <w:tbl>
      <w:tblPr>
        <w:tblW w:w="0" w:type="auto"/>
        <w:tblInd w:w="108" w:type="dxa"/>
        <w:shd w:val="clear" w:color="auto" w:fill="CED7E7"/>
        <w:tblLayout w:type="fixed"/>
        <w:tblLook w:val="0000" w:firstRow="0" w:lastRow="0" w:firstColumn="0" w:lastColumn="0" w:noHBand="0" w:noVBand="0"/>
      </w:tblPr>
      <w:tblGrid>
        <w:gridCol w:w="4871"/>
        <w:gridCol w:w="4871"/>
      </w:tblGrid>
      <w:tr w:rsidR="00852284" w:rsidRPr="006D1683" w14:paraId="7E0CDBD9" w14:textId="77777777" w:rsidTr="009F073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220E2CC8"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V ………………….. dne …………………</w:t>
            </w:r>
          </w:p>
          <w:p w14:paraId="14D8AB35"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572CCCB8" w14:textId="77777777" w:rsidR="00852284" w:rsidRPr="006D1683" w:rsidRDefault="009C7E71" w:rsidP="009F073F">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9C7E71">
              <w:rPr>
                <w:rStyle w:val="dn"/>
                <w:rFonts w:ascii="Calibri" w:eastAsia="Calibri" w:hAnsi="Calibri" w:cs="Calibri"/>
                <w:sz w:val="22"/>
                <w:szCs w:val="22"/>
                <w:lang w:val="cs-CZ"/>
              </w:rPr>
              <w:t>Účastník</w:t>
            </w:r>
          </w:p>
          <w:p w14:paraId="6CB69F15"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3501EC94"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25DDBEA9" w14:textId="77777777" w:rsidR="002D3D17" w:rsidRDefault="002D3D17"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46E82B84"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53DA43CA"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14:paraId="7767783E" w14:textId="77777777" w:rsidR="00852284"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Ing. arch. Naděžda Goryczková,</w:t>
            </w:r>
          </w:p>
          <w:p w14:paraId="577CD6E3" w14:textId="77777777" w:rsidR="00852284" w:rsidRPr="006D1683" w:rsidRDefault="00852284" w:rsidP="009F073F">
            <w:pPr>
              <w:pStyle w:val="Normln2"/>
              <w:keepNext/>
              <w:keepLines/>
              <w:widowControl w:val="0"/>
              <w:spacing w:line="276" w:lineRule="auto"/>
              <w:ind w:right="669"/>
              <w:jc w:val="center"/>
              <w:rPr>
                <w:rFonts w:ascii="Calibri" w:hAnsi="Calibri" w:cs="Calibri"/>
                <w:sz w:val="22"/>
                <w:szCs w:val="22"/>
                <w:lang w:val="cs-CZ"/>
              </w:rPr>
            </w:pPr>
            <w:r>
              <w:rPr>
                <w:rStyle w:val="dn"/>
                <w:rFonts w:ascii="Calibri" w:eastAsia="Calibri" w:hAnsi="Calibri" w:cs="Calibri"/>
                <w:sz w:val="22"/>
                <w:szCs w:val="22"/>
                <w:lang w:val="cs-CZ"/>
              </w:rPr>
              <w:t>generální ředitelka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6B4C9FC0"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 xml:space="preserve">V </w:t>
            </w:r>
            <w:r w:rsidR="006D6265">
              <w:rPr>
                <w:rStyle w:val="dn"/>
                <w:rFonts w:ascii="Calibri" w:eastAsia="Calibri" w:hAnsi="Calibri" w:cs="Calibri"/>
                <w:sz w:val="22"/>
                <w:szCs w:val="22"/>
                <w:lang w:val="cs-CZ"/>
              </w:rPr>
              <w:t>Praze</w:t>
            </w:r>
            <w:r w:rsidRPr="006D1683">
              <w:rPr>
                <w:rStyle w:val="dn"/>
                <w:rFonts w:ascii="Calibri" w:eastAsia="Calibri" w:hAnsi="Calibri" w:cs="Calibri"/>
                <w:sz w:val="22"/>
                <w:szCs w:val="22"/>
                <w:lang w:val="cs-CZ"/>
              </w:rPr>
              <w:t xml:space="preserve"> dne </w:t>
            </w:r>
            <w:r w:rsidR="006D6265">
              <w:rPr>
                <w:rStyle w:val="dn"/>
                <w:rFonts w:ascii="Calibri" w:eastAsia="Calibri" w:hAnsi="Calibri" w:cs="Calibri"/>
                <w:sz w:val="22"/>
                <w:szCs w:val="22"/>
                <w:lang w:val="cs-CZ"/>
              </w:rPr>
              <w:t>dle el. podp</w:t>
            </w:r>
            <w:r w:rsidR="00EE123A">
              <w:rPr>
                <w:rStyle w:val="dn"/>
                <w:rFonts w:ascii="Calibri" w:eastAsia="Calibri" w:hAnsi="Calibri" w:cs="Calibri"/>
                <w:sz w:val="22"/>
                <w:szCs w:val="22"/>
                <w:lang w:val="cs-CZ"/>
              </w:rPr>
              <w:t>i</w:t>
            </w:r>
            <w:r w:rsidR="006D6265">
              <w:rPr>
                <w:rStyle w:val="dn"/>
                <w:rFonts w:ascii="Calibri" w:eastAsia="Calibri" w:hAnsi="Calibri" w:cs="Calibri"/>
                <w:sz w:val="22"/>
                <w:szCs w:val="22"/>
                <w:lang w:val="cs-CZ"/>
              </w:rPr>
              <w:t>su</w:t>
            </w:r>
          </w:p>
          <w:p w14:paraId="7599680E"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1939E317" w14:textId="77777777" w:rsidR="00852284" w:rsidRPr="006D1683" w:rsidRDefault="009C7E71"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9C7E71">
              <w:rPr>
                <w:rStyle w:val="dn"/>
                <w:rFonts w:ascii="Calibri" w:eastAsia="Calibri" w:hAnsi="Calibri" w:cs="Calibri"/>
                <w:sz w:val="22"/>
                <w:szCs w:val="22"/>
                <w:lang w:val="cs-CZ"/>
              </w:rPr>
              <w:t>Poskytovatel</w:t>
            </w:r>
          </w:p>
          <w:p w14:paraId="5CC9A286"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3E6CDF39"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71BC60CD" w14:textId="77777777" w:rsidR="002D3D17" w:rsidRDefault="002D3D17" w:rsidP="009F073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DA832B" w14:textId="77777777" w:rsidR="00852284" w:rsidRPr="006D1683" w:rsidRDefault="00852284"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73E6FBA2" w14:textId="77777777" w:rsidR="00852284" w:rsidRPr="00546533" w:rsidRDefault="006D6265"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546533">
              <w:rPr>
                <w:rStyle w:val="dn"/>
                <w:rFonts w:ascii="Calibri" w:eastAsia="Calibri" w:hAnsi="Calibri" w:cs="Calibri"/>
                <w:sz w:val="22"/>
                <w:szCs w:val="22"/>
                <w:lang w:val="cs-CZ"/>
              </w:rPr>
              <w:t>T-Mobile Czech Republic a.s.</w:t>
            </w:r>
          </w:p>
          <w:p w14:paraId="7F506F15" w14:textId="77777777" w:rsidR="006D6265" w:rsidRPr="00546533" w:rsidRDefault="006D6265" w:rsidP="009F073F">
            <w:pPr>
              <w:pStyle w:val="Normln2"/>
              <w:keepNext/>
              <w:keepLines/>
              <w:widowControl w:val="0"/>
              <w:spacing w:line="276" w:lineRule="auto"/>
              <w:ind w:right="669"/>
              <w:jc w:val="center"/>
              <w:rPr>
                <w:rStyle w:val="dn"/>
                <w:rFonts w:ascii="Calibri" w:eastAsia="Calibri" w:hAnsi="Calibri" w:cs="Calibri"/>
                <w:sz w:val="22"/>
                <w:szCs w:val="22"/>
                <w:lang w:val="cs-CZ"/>
              </w:rPr>
            </w:pPr>
            <w:r w:rsidRPr="00546533">
              <w:rPr>
                <w:rStyle w:val="dn"/>
                <w:rFonts w:ascii="Calibri" w:eastAsia="Calibri" w:hAnsi="Calibri" w:cs="Calibri"/>
                <w:sz w:val="22"/>
                <w:szCs w:val="22"/>
                <w:lang w:val="cs-CZ"/>
              </w:rPr>
              <w:t>Štěpán Čekal</w:t>
            </w:r>
          </w:p>
          <w:p w14:paraId="4BC274EF" w14:textId="77777777" w:rsidR="006D6265" w:rsidRPr="006D6265" w:rsidRDefault="006D6265" w:rsidP="009F073F">
            <w:pPr>
              <w:pStyle w:val="Normln2"/>
              <w:keepNext/>
              <w:keepLines/>
              <w:widowControl w:val="0"/>
              <w:spacing w:line="276" w:lineRule="auto"/>
              <w:ind w:right="669"/>
              <w:jc w:val="center"/>
              <w:rPr>
                <w:rFonts w:ascii="Calibri" w:hAnsi="Calibri" w:cs="Calibri"/>
                <w:bCs/>
                <w:sz w:val="22"/>
                <w:szCs w:val="22"/>
                <w:lang w:val="cs-CZ"/>
              </w:rPr>
            </w:pPr>
            <w:r w:rsidRPr="00546533">
              <w:rPr>
                <w:rStyle w:val="dn"/>
                <w:rFonts w:ascii="Calibri" w:eastAsia="Calibri" w:hAnsi="Calibri" w:cs="Calibri"/>
                <w:sz w:val="22"/>
                <w:szCs w:val="22"/>
                <w:lang w:val="cs-CZ"/>
              </w:rPr>
              <w:t>Manažer prodeje státní správě</w:t>
            </w:r>
          </w:p>
        </w:tc>
      </w:tr>
    </w:tbl>
    <w:p w14:paraId="4E5B0AAB" w14:textId="77777777" w:rsidR="00C328E8" w:rsidRDefault="00C328E8"/>
    <w:sectPr w:rsidR="00C328E8" w:rsidSect="00992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News Serif EE">
    <w:altName w:val="Times New Roman"/>
    <w:charset w:val="EE"/>
    <w:family w:val="roman"/>
    <w:pitch w:val="default"/>
    <w:sig w:usb0="00000005" w:usb1="00000000" w:usb2="00000000" w:usb3="00000000" w:csb0="00000002" w:csb1="00000000"/>
  </w:font>
  <w:font w:name="Andale Sans UI">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2E2D"/>
    <w:multiLevelType w:val="multilevel"/>
    <w:tmpl w:val="C212BDA2"/>
    <w:lvl w:ilvl="0">
      <w:start w:val="6"/>
      <w:numFmt w:val="decimal"/>
      <w:lvlText w:val="%1"/>
      <w:lvlJc w:val="left"/>
      <w:pPr>
        <w:ind w:left="567" w:hanging="567"/>
      </w:pPr>
      <w:rPr>
        <w:rFonts w:hint="default"/>
        <w:b/>
        <w:i w:val="0"/>
      </w:rPr>
    </w:lvl>
    <w:lvl w:ilvl="1">
      <w:start w:val="1"/>
      <w:numFmt w:val="decimal"/>
      <w:lvlText w:val="%1.%2"/>
      <w:lvlJc w:val="left"/>
      <w:pPr>
        <w:ind w:left="680" w:hanging="680"/>
      </w:pPr>
      <w:rPr>
        <w:rFonts w:hint="default"/>
        <w:b/>
        <w:i w:val="0"/>
      </w:rPr>
    </w:lvl>
    <w:lvl w:ilvl="2">
      <w:start w:val="1"/>
      <w:numFmt w:val="lowerLetter"/>
      <w:lvlText w:val="%3)"/>
      <w:lvlJc w:val="left"/>
      <w:pPr>
        <w:ind w:left="1021" w:hanging="341"/>
      </w:pPr>
      <w:rPr>
        <w:rFonts w:cs="Arial" w:hint="default"/>
      </w:rPr>
    </w:lvl>
    <w:lvl w:ilvl="3">
      <w:start w:val="1"/>
      <w:numFmt w:val="bullet"/>
      <w:lvlText w:val=""/>
      <w:lvlJc w:val="left"/>
      <w:pPr>
        <w:ind w:left="1134" w:hanging="170"/>
      </w:pPr>
      <w:rPr>
        <w:rFonts w:ascii="Symbol" w:hAnsi="Symbol" w:cs="Symbol" w:hint="default"/>
      </w:rPr>
    </w:lvl>
    <w:lvl w:ilvl="4">
      <w:start w:val="1"/>
      <w:numFmt w:val="none"/>
      <w:suff w:val="nothing"/>
      <w:lvlText w:val=""/>
      <w:lvlJc w:val="left"/>
      <w:pPr>
        <w:ind w:left="1440" w:hanging="1080"/>
      </w:pPr>
      <w:rPr>
        <w:rFonts w:hint="default"/>
      </w:rPr>
    </w:lvl>
    <w:lvl w:ilvl="5">
      <w:start w:val="1"/>
      <w:numFmt w:val="none"/>
      <w:suff w:val="nothing"/>
      <w:lvlText w:val=""/>
      <w:lvlJc w:val="left"/>
      <w:pPr>
        <w:ind w:left="1440" w:hanging="1080"/>
      </w:pPr>
      <w:rPr>
        <w:rFonts w:hint="default"/>
      </w:rPr>
    </w:lvl>
    <w:lvl w:ilvl="6">
      <w:start w:val="1"/>
      <w:numFmt w:val="none"/>
      <w:suff w:val="nothing"/>
      <w:lvlText w:val=""/>
      <w:lvlJc w:val="left"/>
      <w:pPr>
        <w:ind w:left="1800" w:hanging="1440"/>
      </w:pPr>
      <w:rPr>
        <w:rFonts w:hint="default"/>
      </w:rPr>
    </w:lvl>
    <w:lvl w:ilvl="7">
      <w:start w:val="1"/>
      <w:numFmt w:val="none"/>
      <w:suff w:val="nothing"/>
      <w:lvlText w:val=""/>
      <w:lvlJc w:val="left"/>
      <w:pPr>
        <w:ind w:left="1800" w:hanging="1440"/>
      </w:pPr>
      <w:rPr>
        <w:rFonts w:hint="default"/>
      </w:rPr>
    </w:lvl>
    <w:lvl w:ilvl="8">
      <w:start w:val="1"/>
      <w:numFmt w:val="none"/>
      <w:suff w:val="nothing"/>
      <w:lvlText w:val=""/>
      <w:lvlJc w:val="left"/>
      <w:pPr>
        <w:ind w:left="2160" w:hanging="1800"/>
      </w:pPr>
      <w:rPr>
        <w:rFonts w:hint="default"/>
      </w:rPr>
    </w:lvl>
  </w:abstractNum>
  <w:abstractNum w:abstractNumId="1" w15:restartNumberingAfterBreak="0">
    <w:nsid w:val="27407AFA"/>
    <w:multiLevelType w:val="hybridMultilevel"/>
    <w:tmpl w:val="58C2727C"/>
    <w:lvl w:ilvl="0" w:tplc="658ACCFC">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2DB07CD1"/>
    <w:multiLevelType w:val="multilevel"/>
    <w:tmpl w:val="6C80D074"/>
    <w:lvl w:ilvl="0">
      <w:start w:val="7"/>
      <w:numFmt w:val="decimal"/>
      <w:lvlText w:val="%1"/>
      <w:lvlJc w:val="left"/>
      <w:pPr>
        <w:ind w:left="567" w:hanging="567"/>
      </w:pPr>
      <w:rPr>
        <w:rFonts w:hint="default"/>
        <w:b/>
        <w:i w:val="0"/>
      </w:rPr>
    </w:lvl>
    <w:lvl w:ilvl="1">
      <w:start w:val="6"/>
      <w:numFmt w:val="decimal"/>
      <w:lvlText w:val="%1.%2"/>
      <w:lvlJc w:val="left"/>
      <w:pPr>
        <w:ind w:left="680" w:hanging="680"/>
      </w:pPr>
      <w:rPr>
        <w:rFonts w:hint="default"/>
        <w:b/>
        <w:i w:val="0"/>
      </w:rPr>
    </w:lvl>
    <w:lvl w:ilvl="2">
      <w:start w:val="1"/>
      <w:numFmt w:val="lowerLetter"/>
      <w:lvlText w:val="%3)"/>
      <w:lvlJc w:val="left"/>
      <w:pPr>
        <w:ind w:left="1021" w:hanging="341"/>
      </w:pPr>
      <w:rPr>
        <w:rFonts w:cs="Arial" w:hint="default"/>
      </w:rPr>
    </w:lvl>
    <w:lvl w:ilvl="3">
      <w:start w:val="1"/>
      <w:numFmt w:val="bullet"/>
      <w:lvlText w:val=""/>
      <w:lvlJc w:val="left"/>
      <w:pPr>
        <w:ind w:left="1134" w:hanging="170"/>
      </w:pPr>
      <w:rPr>
        <w:rFonts w:ascii="Symbol" w:hAnsi="Symbol" w:cs="Symbol" w:hint="default"/>
      </w:rPr>
    </w:lvl>
    <w:lvl w:ilvl="4">
      <w:start w:val="1"/>
      <w:numFmt w:val="none"/>
      <w:suff w:val="nothing"/>
      <w:lvlText w:val=""/>
      <w:lvlJc w:val="left"/>
      <w:pPr>
        <w:ind w:left="1440" w:hanging="1080"/>
      </w:pPr>
      <w:rPr>
        <w:rFonts w:hint="default"/>
      </w:rPr>
    </w:lvl>
    <w:lvl w:ilvl="5">
      <w:start w:val="1"/>
      <w:numFmt w:val="none"/>
      <w:suff w:val="nothing"/>
      <w:lvlText w:val=""/>
      <w:lvlJc w:val="left"/>
      <w:pPr>
        <w:ind w:left="1440" w:hanging="1080"/>
      </w:pPr>
      <w:rPr>
        <w:rFonts w:hint="default"/>
      </w:rPr>
    </w:lvl>
    <w:lvl w:ilvl="6">
      <w:start w:val="1"/>
      <w:numFmt w:val="none"/>
      <w:suff w:val="nothing"/>
      <w:lvlText w:val=""/>
      <w:lvlJc w:val="left"/>
      <w:pPr>
        <w:ind w:left="1800" w:hanging="1440"/>
      </w:pPr>
      <w:rPr>
        <w:rFonts w:hint="default"/>
      </w:rPr>
    </w:lvl>
    <w:lvl w:ilvl="7">
      <w:start w:val="1"/>
      <w:numFmt w:val="none"/>
      <w:suff w:val="nothing"/>
      <w:lvlText w:val=""/>
      <w:lvlJc w:val="left"/>
      <w:pPr>
        <w:ind w:left="1800" w:hanging="1440"/>
      </w:pPr>
      <w:rPr>
        <w:rFonts w:hint="default"/>
      </w:rPr>
    </w:lvl>
    <w:lvl w:ilvl="8">
      <w:start w:val="1"/>
      <w:numFmt w:val="none"/>
      <w:suff w:val="nothing"/>
      <w:lvlText w:val=""/>
      <w:lvlJc w:val="left"/>
      <w:pPr>
        <w:ind w:left="2160" w:hanging="1800"/>
      </w:pPr>
      <w:rPr>
        <w:rFonts w:hint="default"/>
      </w:rPr>
    </w:lvl>
  </w:abstractNum>
  <w:abstractNum w:abstractNumId="3" w15:restartNumberingAfterBreak="0">
    <w:nsid w:val="456F09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C9451D"/>
    <w:multiLevelType w:val="hybridMultilevel"/>
    <w:tmpl w:val="F61ACC1E"/>
    <w:lvl w:ilvl="0" w:tplc="60F888EA">
      <w:numFmt w:val="bullet"/>
      <w:lvlText w:val="-"/>
      <w:lvlJc w:val="left"/>
      <w:pPr>
        <w:ind w:left="927" w:hanging="360"/>
      </w:pPr>
      <w:rPr>
        <w:rFonts w:ascii="Calibri" w:eastAsia="Arial" w:hAnsi="Calibri" w:cs="Calibri" w:hint="default"/>
        <w:color w:val="00000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5ABB12CD"/>
    <w:multiLevelType w:val="hybridMultilevel"/>
    <w:tmpl w:val="40DA6CDA"/>
    <w:lvl w:ilvl="0" w:tplc="647A2A40">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5DB527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366786"/>
    <w:multiLevelType w:val="hybridMultilevel"/>
    <w:tmpl w:val="65B8E28C"/>
    <w:lvl w:ilvl="0" w:tplc="CB425D7A">
      <w:numFmt w:val="bullet"/>
      <w:lvlText w:val="-"/>
      <w:lvlJc w:val="left"/>
      <w:pPr>
        <w:ind w:left="1584" w:hanging="360"/>
      </w:pPr>
      <w:rPr>
        <w:rFonts w:ascii="Calibri" w:eastAsiaTheme="minorHAnsi" w:hAnsi="Calibri" w:cs="Calibri"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8" w15:restartNumberingAfterBreak="0">
    <w:nsid w:val="66854ECB"/>
    <w:multiLevelType w:val="multilevel"/>
    <w:tmpl w:val="3C34E520"/>
    <w:lvl w:ilvl="0">
      <w:start w:val="1"/>
      <w:numFmt w:val="decimal"/>
      <w:lvlText w:val="%1"/>
      <w:lvlJc w:val="left"/>
      <w:pPr>
        <w:ind w:left="567" w:hanging="567"/>
      </w:pPr>
      <w:rPr>
        <w:rFonts w:hint="default"/>
        <w:b/>
        <w:i w:val="0"/>
      </w:rPr>
    </w:lvl>
    <w:lvl w:ilvl="1">
      <w:start w:val="1"/>
      <w:numFmt w:val="decimal"/>
      <w:lvlText w:val="%1.%2"/>
      <w:lvlJc w:val="left"/>
      <w:pPr>
        <w:ind w:left="680" w:hanging="680"/>
      </w:pPr>
      <w:rPr>
        <w:rFonts w:hint="default"/>
        <w:b/>
        <w:i w:val="0"/>
      </w:rPr>
    </w:lvl>
    <w:lvl w:ilvl="2">
      <w:start w:val="3"/>
      <w:numFmt w:val="lowerLetter"/>
      <w:lvlText w:val="%3)"/>
      <w:lvlJc w:val="left"/>
      <w:pPr>
        <w:tabs>
          <w:tab w:val="num" w:pos="1191"/>
        </w:tabs>
        <w:ind w:left="1021" w:hanging="341"/>
      </w:pPr>
      <w:rPr>
        <w:rFonts w:cs="Arial" w:hint="default"/>
      </w:rPr>
    </w:lvl>
    <w:lvl w:ilvl="3">
      <w:start w:val="1"/>
      <w:numFmt w:val="bullet"/>
      <w:suff w:val="space"/>
      <w:lvlText w:val=""/>
      <w:lvlJc w:val="left"/>
      <w:pPr>
        <w:ind w:left="1134" w:hanging="170"/>
      </w:pPr>
      <w:rPr>
        <w:rFonts w:ascii="Symbol" w:hAnsi="Symbol" w:cs="Symbol" w:hint="default"/>
      </w:rPr>
    </w:lvl>
    <w:lvl w:ilvl="4">
      <w:start w:val="1"/>
      <w:numFmt w:val="none"/>
      <w:suff w:val="nothing"/>
      <w:lvlText w:val=""/>
      <w:lvlJc w:val="left"/>
      <w:pPr>
        <w:ind w:left="1440" w:hanging="1080"/>
      </w:pPr>
      <w:rPr>
        <w:rFonts w:hint="default"/>
      </w:rPr>
    </w:lvl>
    <w:lvl w:ilvl="5">
      <w:start w:val="1"/>
      <w:numFmt w:val="none"/>
      <w:suff w:val="nothing"/>
      <w:lvlText w:val=""/>
      <w:lvlJc w:val="left"/>
      <w:pPr>
        <w:ind w:left="1440" w:hanging="1080"/>
      </w:pPr>
      <w:rPr>
        <w:rFonts w:hint="default"/>
      </w:rPr>
    </w:lvl>
    <w:lvl w:ilvl="6">
      <w:start w:val="1"/>
      <w:numFmt w:val="none"/>
      <w:suff w:val="nothing"/>
      <w:lvlText w:val=""/>
      <w:lvlJc w:val="left"/>
      <w:pPr>
        <w:ind w:left="1800" w:hanging="1440"/>
      </w:pPr>
      <w:rPr>
        <w:rFonts w:hint="default"/>
      </w:rPr>
    </w:lvl>
    <w:lvl w:ilvl="7">
      <w:start w:val="1"/>
      <w:numFmt w:val="none"/>
      <w:suff w:val="nothing"/>
      <w:lvlText w:val=""/>
      <w:lvlJc w:val="left"/>
      <w:pPr>
        <w:ind w:left="1800" w:hanging="1440"/>
      </w:pPr>
      <w:rPr>
        <w:rFonts w:hint="default"/>
      </w:rPr>
    </w:lvl>
    <w:lvl w:ilvl="8">
      <w:start w:val="1"/>
      <w:numFmt w:val="none"/>
      <w:suff w:val="nothing"/>
      <w:lvlText w:val=""/>
      <w:lvlJc w:val="left"/>
      <w:pPr>
        <w:ind w:left="2160" w:hanging="1800"/>
      </w:pPr>
      <w:rPr>
        <w:rFonts w:hint="default"/>
      </w:rPr>
    </w:lvl>
  </w:abstractNum>
  <w:num w:numId="1">
    <w:abstractNumId w:val="3"/>
  </w:num>
  <w:num w:numId="2">
    <w:abstractNumId w:val="1"/>
  </w:num>
  <w:num w:numId="3">
    <w:abstractNumId w:val="0"/>
  </w:num>
  <w:num w:numId="4">
    <w:abstractNumId w:val="4"/>
  </w:num>
  <w:num w:numId="5">
    <w:abstractNumId w:val="8"/>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848F6"/>
    <w:rsid w:val="00000248"/>
    <w:rsid w:val="00002FC2"/>
    <w:rsid w:val="00010E23"/>
    <w:rsid w:val="000247E2"/>
    <w:rsid w:val="00025E2F"/>
    <w:rsid w:val="00026373"/>
    <w:rsid w:val="00034F9B"/>
    <w:rsid w:val="000354FA"/>
    <w:rsid w:val="00042B9D"/>
    <w:rsid w:val="00045FCE"/>
    <w:rsid w:val="00046473"/>
    <w:rsid w:val="00046646"/>
    <w:rsid w:val="000479CF"/>
    <w:rsid w:val="00050505"/>
    <w:rsid w:val="000548C1"/>
    <w:rsid w:val="000556F8"/>
    <w:rsid w:val="00056485"/>
    <w:rsid w:val="000619F4"/>
    <w:rsid w:val="00062F8E"/>
    <w:rsid w:val="000643EC"/>
    <w:rsid w:val="00065430"/>
    <w:rsid w:val="000748FB"/>
    <w:rsid w:val="000801EA"/>
    <w:rsid w:val="00082376"/>
    <w:rsid w:val="00085615"/>
    <w:rsid w:val="00092F95"/>
    <w:rsid w:val="00094294"/>
    <w:rsid w:val="00096655"/>
    <w:rsid w:val="00097EE5"/>
    <w:rsid w:val="000A1478"/>
    <w:rsid w:val="000A21C7"/>
    <w:rsid w:val="000A47AB"/>
    <w:rsid w:val="000A57FC"/>
    <w:rsid w:val="000B4E6D"/>
    <w:rsid w:val="000B67F0"/>
    <w:rsid w:val="000C0541"/>
    <w:rsid w:val="000C11E6"/>
    <w:rsid w:val="000C3472"/>
    <w:rsid w:val="000C6B6D"/>
    <w:rsid w:val="000D1192"/>
    <w:rsid w:val="000D1F00"/>
    <w:rsid w:val="000D4066"/>
    <w:rsid w:val="000D421F"/>
    <w:rsid w:val="000D60E7"/>
    <w:rsid w:val="000D6550"/>
    <w:rsid w:val="000E0A1D"/>
    <w:rsid w:val="000E5163"/>
    <w:rsid w:val="000E6224"/>
    <w:rsid w:val="000E7CBE"/>
    <w:rsid w:val="000F2E22"/>
    <w:rsid w:val="000F416B"/>
    <w:rsid w:val="00103838"/>
    <w:rsid w:val="00103BD0"/>
    <w:rsid w:val="00105950"/>
    <w:rsid w:val="00105FF6"/>
    <w:rsid w:val="00107A60"/>
    <w:rsid w:val="0011081C"/>
    <w:rsid w:val="0011279D"/>
    <w:rsid w:val="00112B9E"/>
    <w:rsid w:val="001141F7"/>
    <w:rsid w:val="00115A55"/>
    <w:rsid w:val="00116E9E"/>
    <w:rsid w:val="00117B83"/>
    <w:rsid w:val="00126C56"/>
    <w:rsid w:val="00134275"/>
    <w:rsid w:val="00134C8C"/>
    <w:rsid w:val="001430A3"/>
    <w:rsid w:val="00151475"/>
    <w:rsid w:val="00154015"/>
    <w:rsid w:val="001602D9"/>
    <w:rsid w:val="00163A88"/>
    <w:rsid w:val="00165B0E"/>
    <w:rsid w:val="00166258"/>
    <w:rsid w:val="001674D1"/>
    <w:rsid w:val="00167DF2"/>
    <w:rsid w:val="001776B0"/>
    <w:rsid w:val="00197CF9"/>
    <w:rsid w:val="00197E63"/>
    <w:rsid w:val="001A1528"/>
    <w:rsid w:val="001A2DE9"/>
    <w:rsid w:val="001A48A4"/>
    <w:rsid w:val="001A5255"/>
    <w:rsid w:val="001A5B33"/>
    <w:rsid w:val="001B0655"/>
    <w:rsid w:val="001B65F7"/>
    <w:rsid w:val="001B7A9D"/>
    <w:rsid w:val="001C3B32"/>
    <w:rsid w:val="001C3BB4"/>
    <w:rsid w:val="001C53B3"/>
    <w:rsid w:val="001C63A3"/>
    <w:rsid w:val="001C69A8"/>
    <w:rsid w:val="001D4623"/>
    <w:rsid w:val="001E1F4A"/>
    <w:rsid w:val="001E3FC3"/>
    <w:rsid w:val="001E5E2D"/>
    <w:rsid w:val="001F09D4"/>
    <w:rsid w:val="001F2776"/>
    <w:rsid w:val="0020025D"/>
    <w:rsid w:val="00202080"/>
    <w:rsid w:val="00202109"/>
    <w:rsid w:val="00210E36"/>
    <w:rsid w:val="002113BB"/>
    <w:rsid w:val="00216AF3"/>
    <w:rsid w:val="0023734F"/>
    <w:rsid w:val="00241A04"/>
    <w:rsid w:val="00242E14"/>
    <w:rsid w:val="00242FEA"/>
    <w:rsid w:val="00244E8F"/>
    <w:rsid w:val="00254B32"/>
    <w:rsid w:val="00254C08"/>
    <w:rsid w:val="00256319"/>
    <w:rsid w:val="0026086F"/>
    <w:rsid w:val="00263471"/>
    <w:rsid w:val="002673B3"/>
    <w:rsid w:val="00267830"/>
    <w:rsid w:val="00267FD9"/>
    <w:rsid w:val="00270CAB"/>
    <w:rsid w:val="00272F3C"/>
    <w:rsid w:val="00274B96"/>
    <w:rsid w:val="00280B4F"/>
    <w:rsid w:val="00287202"/>
    <w:rsid w:val="00290D8F"/>
    <w:rsid w:val="00296433"/>
    <w:rsid w:val="00296A40"/>
    <w:rsid w:val="002A061F"/>
    <w:rsid w:val="002A31D6"/>
    <w:rsid w:val="002A36D9"/>
    <w:rsid w:val="002B052B"/>
    <w:rsid w:val="002B1F54"/>
    <w:rsid w:val="002B3777"/>
    <w:rsid w:val="002B4C12"/>
    <w:rsid w:val="002B65F5"/>
    <w:rsid w:val="002B7463"/>
    <w:rsid w:val="002C140F"/>
    <w:rsid w:val="002C2C44"/>
    <w:rsid w:val="002C4D7C"/>
    <w:rsid w:val="002C61E1"/>
    <w:rsid w:val="002C7732"/>
    <w:rsid w:val="002D1451"/>
    <w:rsid w:val="002D1912"/>
    <w:rsid w:val="002D393B"/>
    <w:rsid w:val="002D3D17"/>
    <w:rsid w:val="002E11E4"/>
    <w:rsid w:val="002E1A8C"/>
    <w:rsid w:val="002E20C1"/>
    <w:rsid w:val="002E5127"/>
    <w:rsid w:val="002E666C"/>
    <w:rsid w:val="002F597B"/>
    <w:rsid w:val="002F610C"/>
    <w:rsid w:val="0030103F"/>
    <w:rsid w:val="00301D8C"/>
    <w:rsid w:val="00305FAF"/>
    <w:rsid w:val="00306652"/>
    <w:rsid w:val="00310EB9"/>
    <w:rsid w:val="00321D5B"/>
    <w:rsid w:val="003232BE"/>
    <w:rsid w:val="00323B5D"/>
    <w:rsid w:val="003307BE"/>
    <w:rsid w:val="00335101"/>
    <w:rsid w:val="00343C5B"/>
    <w:rsid w:val="00347784"/>
    <w:rsid w:val="00350032"/>
    <w:rsid w:val="00350601"/>
    <w:rsid w:val="003528EF"/>
    <w:rsid w:val="00353519"/>
    <w:rsid w:val="0035575B"/>
    <w:rsid w:val="00356719"/>
    <w:rsid w:val="00361C0E"/>
    <w:rsid w:val="003623E7"/>
    <w:rsid w:val="00363FFA"/>
    <w:rsid w:val="00366A49"/>
    <w:rsid w:val="0038756E"/>
    <w:rsid w:val="0038765A"/>
    <w:rsid w:val="0039130B"/>
    <w:rsid w:val="003936EB"/>
    <w:rsid w:val="003A582E"/>
    <w:rsid w:val="003B1092"/>
    <w:rsid w:val="003B22F6"/>
    <w:rsid w:val="003B2D96"/>
    <w:rsid w:val="003B78BD"/>
    <w:rsid w:val="003C21AF"/>
    <w:rsid w:val="003C2D0F"/>
    <w:rsid w:val="003C7619"/>
    <w:rsid w:val="003D205F"/>
    <w:rsid w:val="003D7B24"/>
    <w:rsid w:val="003E2E43"/>
    <w:rsid w:val="003E4439"/>
    <w:rsid w:val="003F10FE"/>
    <w:rsid w:val="003F23A3"/>
    <w:rsid w:val="003F3AB2"/>
    <w:rsid w:val="003F3C6B"/>
    <w:rsid w:val="003F59FC"/>
    <w:rsid w:val="003F73B9"/>
    <w:rsid w:val="003F7B49"/>
    <w:rsid w:val="00401A43"/>
    <w:rsid w:val="004055C2"/>
    <w:rsid w:val="004065D6"/>
    <w:rsid w:val="00407C0E"/>
    <w:rsid w:val="00414EE2"/>
    <w:rsid w:val="00416C96"/>
    <w:rsid w:val="00416CE0"/>
    <w:rsid w:val="00424EA4"/>
    <w:rsid w:val="00434A56"/>
    <w:rsid w:val="00435167"/>
    <w:rsid w:val="0044546F"/>
    <w:rsid w:val="00445F29"/>
    <w:rsid w:val="00451B10"/>
    <w:rsid w:val="00452E65"/>
    <w:rsid w:val="00456FC5"/>
    <w:rsid w:val="00457AC6"/>
    <w:rsid w:val="00461403"/>
    <w:rsid w:val="00462A81"/>
    <w:rsid w:val="004649FB"/>
    <w:rsid w:val="00472313"/>
    <w:rsid w:val="004727D5"/>
    <w:rsid w:val="004755B3"/>
    <w:rsid w:val="00480821"/>
    <w:rsid w:val="004813E7"/>
    <w:rsid w:val="00484D1B"/>
    <w:rsid w:val="00486E23"/>
    <w:rsid w:val="004924AD"/>
    <w:rsid w:val="0049596D"/>
    <w:rsid w:val="004A0499"/>
    <w:rsid w:val="004A1C65"/>
    <w:rsid w:val="004A2DD7"/>
    <w:rsid w:val="004A582F"/>
    <w:rsid w:val="004B33C8"/>
    <w:rsid w:val="004B4295"/>
    <w:rsid w:val="004B48A1"/>
    <w:rsid w:val="004C1BB7"/>
    <w:rsid w:val="004C6DA9"/>
    <w:rsid w:val="004D1632"/>
    <w:rsid w:val="004D2893"/>
    <w:rsid w:val="004D650C"/>
    <w:rsid w:val="004E2E05"/>
    <w:rsid w:val="004E7CDC"/>
    <w:rsid w:val="004F6769"/>
    <w:rsid w:val="004F7E19"/>
    <w:rsid w:val="005011AE"/>
    <w:rsid w:val="00502709"/>
    <w:rsid w:val="00505935"/>
    <w:rsid w:val="00516FF6"/>
    <w:rsid w:val="00521A30"/>
    <w:rsid w:val="00522C92"/>
    <w:rsid w:val="005331D4"/>
    <w:rsid w:val="005336FF"/>
    <w:rsid w:val="00542DEE"/>
    <w:rsid w:val="00546533"/>
    <w:rsid w:val="00552A3A"/>
    <w:rsid w:val="00554977"/>
    <w:rsid w:val="00554D6E"/>
    <w:rsid w:val="005625F4"/>
    <w:rsid w:val="005711A8"/>
    <w:rsid w:val="00572EE0"/>
    <w:rsid w:val="0057325F"/>
    <w:rsid w:val="00574BE3"/>
    <w:rsid w:val="00576906"/>
    <w:rsid w:val="0059353D"/>
    <w:rsid w:val="005963ED"/>
    <w:rsid w:val="00596980"/>
    <w:rsid w:val="005A3D61"/>
    <w:rsid w:val="005B306B"/>
    <w:rsid w:val="005C3C85"/>
    <w:rsid w:val="005C61C4"/>
    <w:rsid w:val="005C6F19"/>
    <w:rsid w:val="005D0ABE"/>
    <w:rsid w:val="005D31B1"/>
    <w:rsid w:val="005D7EC4"/>
    <w:rsid w:val="005E0D15"/>
    <w:rsid w:val="005E1FFF"/>
    <w:rsid w:val="005E3A90"/>
    <w:rsid w:val="005E7B7A"/>
    <w:rsid w:val="005F1E41"/>
    <w:rsid w:val="005F2A74"/>
    <w:rsid w:val="005F3B97"/>
    <w:rsid w:val="005F525F"/>
    <w:rsid w:val="005F663C"/>
    <w:rsid w:val="006002B1"/>
    <w:rsid w:val="00600A54"/>
    <w:rsid w:val="00606CCE"/>
    <w:rsid w:val="006070F4"/>
    <w:rsid w:val="00607B9B"/>
    <w:rsid w:val="006117E9"/>
    <w:rsid w:val="00613811"/>
    <w:rsid w:val="006240B8"/>
    <w:rsid w:val="00627F19"/>
    <w:rsid w:val="00635949"/>
    <w:rsid w:val="006404EA"/>
    <w:rsid w:val="0064124A"/>
    <w:rsid w:val="00652432"/>
    <w:rsid w:val="00652E58"/>
    <w:rsid w:val="00655BC8"/>
    <w:rsid w:val="006578D8"/>
    <w:rsid w:val="0065798D"/>
    <w:rsid w:val="00660DC0"/>
    <w:rsid w:val="00663C60"/>
    <w:rsid w:val="00665E66"/>
    <w:rsid w:val="006678B7"/>
    <w:rsid w:val="00667A55"/>
    <w:rsid w:val="00671C55"/>
    <w:rsid w:val="006737CC"/>
    <w:rsid w:val="00673DA7"/>
    <w:rsid w:val="00676240"/>
    <w:rsid w:val="00677947"/>
    <w:rsid w:val="0068058F"/>
    <w:rsid w:val="006822E4"/>
    <w:rsid w:val="00687AC0"/>
    <w:rsid w:val="00690024"/>
    <w:rsid w:val="0069173B"/>
    <w:rsid w:val="006B4062"/>
    <w:rsid w:val="006C58A9"/>
    <w:rsid w:val="006C61BB"/>
    <w:rsid w:val="006C7A31"/>
    <w:rsid w:val="006D55B8"/>
    <w:rsid w:val="006D57EC"/>
    <w:rsid w:val="006D6265"/>
    <w:rsid w:val="006D7E9F"/>
    <w:rsid w:val="006E1675"/>
    <w:rsid w:val="006E5877"/>
    <w:rsid w:val="006F2AFF"/>
    <w:rsid w:val="00700928"/>
    <w:rsid w:val="00700DED"/>
    <w:rsid w:val="00704F79"/>
    <w:rsid w:val="007128DA"/>
    <w:rsid w:val="00717645"/>
    <w:rsid w:val="00721D71"/>
    <w:rsid w:val="00722AED"/>
    <w:rsid w:val="00727A40"/>
    <w:rsid w:val="0073003E"/>
    <w:rsid w:val="00737200"/>
    <w:rsid w:val="007430AE"/>
    <w:rsid w:val="00751125"/>
    <w:rsid w:val="007531F5"/>
    <w:rsid w:val="007554A4"/>
    <w:rsid w:val="00760179"/>
    <w:rsid w:val="007624E1"/>
    <w:rsid w:val="00762927"/>
    <w:rsid w:val="00764E20"/>
    <w:rsid w:val="00772438"/>
    <w:rsid w:val="00775B62"/>
    <w:rsid w:val="00782681"/>
    <w:rsid w:val="007832E5"/>
    <w:rsid w:val="007846FD"/>
    <w:rsid w:val="00787241"/>
    <w:rsid w:val="007909F8"/>
    <w:rsid w:val="0079448B"/>
    <w:rsid w:val="007A092E"/>
    <w:rsid w:val="007A3EE1"/>
    <w:rsid w:val="007A4632"/>
    <w:rsid w:val="007A541E"/>
    <w:rsid w:val="007A64C1"/>
    <w:rsid w:val="007B2F0B"/>
    <w:rsid w:val="007B5BD9"/>
    <w:rsid w:val="007C1136"/>
    <w:rsid w:val="007C68A8"/>
    <w:rsid w:val="007C71D4"/>
    <w:rsid w:val="007D026B"/>
    <w:rsid w:val="007D0528"/>
    <w:rsid w:val="007D08ED"/>
    <w:rsid w:val="007D4B12"/>
    <w:rsid w:val="007E05A8"/>
    <w:rsid w:val="007E4B36"/>
    <w:rsid w:val="007E5AFE"/>
    <w:rsid w:val="007E60B7"/>
    <w:rsid w:val="007E7F07"/>
    <w:rsid w:val="007F3876"/>
    <w:rsid w:val="007F40A8"/>
    <w:rsid w:val="007F5C26"/>
    <w:rsid w:val="0081484E"/>
    <w:rsid w:val="00815919"/>
    <w:rsid w:val="008174B0"/>
    <w:rsid w:val="0082164B"/>
    <w:rsid w:val="00825322"/>
    <w:rsid w:val="008254FF"/>
    <w:rsid w:val="00840145"/>
    <w:rsid w:val="00844E63"/>
    <w:rsid w:val="00847D38"/>
    <w:rsid w:val="00852284"/>
    <w:rsid w:val="00853AEE"/>
    <w:rsid w:val="008544C2"/>
    <w:rsid w:val="00856768"/>
    <w:rsid w:val="00860033"/>
    <w:rsid w:val="008602D5"/>
    <w:rsid w:val="0086346E"/>
    <w:rsid w:val="0086416F"/>
    <w:rsid w:val="0086477D"/>
    <w:rsid w:val="00871A87"/>
    <w:rsid w:val="008745D7"/>
    <w:rsid w:val="008774C6"/>
    <w:rsid w:val="00880790"/>
    <w:rsid w:val="00881E28"/>
    <w:rsid w:val="00882950"/>
    <w:rsid w:val="00887957"/>
    <w:rsid w:val="00890BE3"/>
    <w:rsid w:val="00893A4E"/>
    <w:rsid w:val="008942FD"/>
    <w:rsid w:val="00895CA5"/>
    <w:rsid w:val="008A0773"/>
    <w:rsid w:val="008A6F26"/>
    <w:rsid w:val="008B18D9"/>
    <w:rsid w:val="008B2DA0"/>
    <w:rsid w:val="008B7482"/>
    <w:rsid w:val="008C1091"/>
    <w:rsid w:val="008C2145"/>
    <w:rsid w:val="008C4830"/>
    <w:rsid w:val="008D0B07"/>
    <w:rsid w:val="008D2A18"/>
    <w:rsid w:val="008D49A1"/>
    <w:rsid w:val="008E2288"/>
    <w:rsid w:val="008E29B6"/>
    <w:rsid w:val="008E6DD7"/>
    <w:rsid w:val="008F7978"/>
    <w:rsid w:val="00905D4D"/>
    <w:rsid w:val="009079C3"/>
    <w:rsid w:val="00913312"/>
    <w:rsid w:val="009150C9"/>
    <w:rsid w:val="0091685C"/>
    <w:rsid w:val="00923958"/>
    <w:rsid w:val="0092499F"/>
    <w:rsid w:val="00925948"/>
    <w:rsid w:val="00933C2A"/>
    <w:rsid w:val="009378FC"/>
    <w:rsid w:val="0094076A"/>
    <w:rsid w:val="0094155D"/>
    <w:rsid w:val="00942830"/>
    <w:rsid w:val="00945BED"/>
    <w:rsid w:val="0095646F"/>
    <w:rsid w:val="00963C8C"/>
    <w:rsid w:val="009710CA"/>
    <w:rsid w:val="00974ED3"/>
    <w:rsid w:val="009752F0"/>
    <w:rsid w:val="00981AEF"/>
    <w:rsid w:val="00983337"/>
    <w:rsid w:val="00983651"/>
    <w:rsid w:val="00986AF6"/>
    <w:rsid w:val="00992A62"/>
    <w:rsid w:val="009967DF"/>
    <w:rsid w:val="009A1391"/>
    <w:rsid w:val="009A3F39"/>
    <w:rsid w:val="009B20E2"/>
    <w:rsid w:val="009B307A"/>
    <w:rsid w:val="009B51DF"/>
    <w:rsid w:val="009B6EF4"/>
    <w:rsid w:val="009C18A1"/>
    <w:rsid w:val="009C3073"/>
    <w:rsid w:val="009C50B3"/>
    <w:rsid w:val="009C6AFB"/>
    <w:rsid w:val="009C7E71"/>
    <w:rsid w:val="009D694C"/>
    <w:rsid w:val="009E2642"/>
    <w:rsid w:val="009E5444"/>
    <w:rsid w:val="00A018D5"/>
    <w:rsid w:val="00A041CF"/>
    <w:rsid w:val="00A06670"/>
    <w:rsid w:val="00A10F52"/>
    <w:rsid w:val="00A15261"/>
    <w:rsid w:val="00A173FE"/>
    <w:rsid w:val="00A240AE"/>
    <w:rsid w:val="00A27711"/>
    <w:rsid w:val="00A308DF"/>
    <w:rsid w:val="00A3236B"/>
    <w:rsid w:val="00A36EB3"/>
    <w:rsid w:val="00A37966"/>
    <w:rsid w:val="00A43001"/>
    <w:rsid w:val="00A45CF0"/>
    <w:rsid w:val="00A50375"/>
    <w:rsid w:val="00A5686C"/>
    <w:rsid w:val="00A62D66"/>
    <w:rsid w:val="00A66EAB"/>
    <w:rsid w:val="00A7016D"/>
    <w:rsid w:val="00A718C1"/>
    <w:rsid w:val="00A9097F"/>
    <w:rsid w:val="00A90C9A"/>
    <w:rsid w:val="00A94B29"/>
    <w:rsid w:val="00AB0278"/>
    <w:rsid w:val="00AB36FD"/>
    <w:rsid w:val="00AB4BA9"/>
    <w:rsid w:val="00AB5B9B"/>
    <w:rsid w:val="00AB6431"/>
    <w:rsid w:val="00AC0334"/>
    <w:rsid w:val="00AC1C96"/>
    <w:rsid w:val="00AC3FB1"/>
    <w:rsid w:val="00AC512E"/>
    <w:rsid w:val="00AD0141"/>
    <w:rsid w:val="00AD2B5A"/>
    <w:rsid w:val="00AD5D6F"/>
    <w:rsid w:val="00AD7C77"/>
    <w:rsid w:val="00AE39FC"/>
    <w:rsid w:val="00AE3D3F"/>
    <w:rsid w:val="00AE41C0"/>
    <w:rsid w:val="00AE5BDD"/>
    <w:rsid w:val="00AE5EFA"/>
    <w:rsid w:val="00AF0F55"/>
    <w:rsid w:val="00AF1F86"/>
    <w:rsid w:val="00AF3DAC"/>
    <w:rsid w:val="00AF605C"/>
    <w:rsid w:val="00B036AB"/>
    <w:rsid w:val="00B0553E"/>
    <w:rsid w:val="00B061D7"/>
    <w:rsid w:val="00B0739B"/>
    <w:rsid w:val="00B1512E"/>
    <w:rsid w:val="00B20A21"/>
    <w:rsid w:val="00B24F76"/>
    <w:rsid w:val="00B30951"/>
    <w:rsid w:val="00B4107B"/>
    <w:rsid w:val="00B41E89"/>
    <w:rsid w:val="00B434AB"/>
    <w:rsid w:val="00B44978"/>
    <w:rsid w:val="00B44F0E"/>
    <w:rsid w:val="00B500BE"/>
    <w:rsid w:val="00B50C05"/>
    <w:rsid w:val="00B539EB"/>
    <w:rsid w:val="00B53CD1"/>
    <w:rsid w:val="00B54031"/>
    <w:rsid w:val="00B60DD1"/>
    <w:rsid w:val="00B62FEA"/>
    <w:rsid w:val="00B65B55"/>
    <w:rsid w:val="00B72E40"/>
    <w:rsid w:val="00B761F5"/>
    <w:rsid w:val="00B76924"/>
    <w:rsid w:val="00B823C9"/>
    <w:rsid w:val="00B848F6"/>
    <w:rsid w:val="00B87454"/>
    <w:rsid w:val="00B90BBF"/>
    <w:rsid w:val="00B96BD7"/>
    <w:rsid w:val="00B97847"/>
    <w:rsid w:val="00BA10CE"/>
    <w:rsid w:val="00BB020A"/>
    <w:rsid w:val="00BB063F"/>
    <w:rsid w:val="00BB318F"/>
    <w:rsid w:val="00BC3BD2"/>
    <w:rsid w:val="00BC4E8D"/>
    <w:rsid w:val="00BC575A"/>
    <w:rsid w:val="00BD0C76"/>
    <w:rsid w:val="00BD4BAC"/>
    <w:rsid w:val="00BD5780"/>
    <w:rsid w:val="00BE07B7"/>
    <w:rsid w:val="00BE1D71"/>
    <w:rsid w:val="00BE2692"/>
    <w:rsid w:val="00BE411E"/>
    <w:rsid w:val="00BE42E5"/>
    <w:rsid w:val="00BE43DE"/>
    <w:rsid w:val="00BF09A4"/>
    <w:rsid w:val="00C12F7C"/>
    <w:rsid w:val="00C14035"/>
    <w:rsid w:val="00C21D13"/>
    <w:rsid w:val="00C328E8"/>
    <w:rsid w:val="00C37EE9"/>
    <w:rsid w:val="00C460C3"/>
    <w:rsid w:val="00C5732E"/>
    <w:rsid w:val="00C57716"/>
    <w:rsid w:val="00C61871"/>
    <w:rsid w:val="00C7152E"/>
    <w:rsid w:val="00C717E0"/>
    <w:rsid w:val="00C9307E"/>
    <w:rsid w:val="00C961F7"/>
    <w:rsid w:val="00C96563"/>
    <w:rsid w:val="00CA04C8"/>
    <w:rsid w:val="00CA44F6"/>
    <w:rsid w:val="00CA6873"/>
    <w:rsid w:val="00CB1A00"/>
    <w:rsid w:val="00CB25E9"/>
    <w:rsid w:val="00CB342D"/>
    <w:rsid w:val="00CC336A"/>
    <w:rsid w:val="00CC59F5"/>
    <w:rsid w:val="00CC5E68"/>
    <w:rsid w:val="00CD60AE"/>
    <w:rsid w:val="00CE0A2E"/>
    <w:rsid w:val="00CE488D"/>
    <w:rsid w:val="00CE6271"/>
    <w:rsid w:val="00CF03B4"/>
    <w:rsid w:val="00CF2D18"/>
    <w:rsid w:val="00CF3F1F"/>
    <w:rsid w:val="00CF537B"/>
    <w:rsid w:val="00CF5FE3"/>
    <w:rsid w:val="00CF6C2A"/>
    <w:rsid w:val="00D015CE"/>
    <w:rsid w:val="00D02FB2"/>
    <w:rsid w:val="00D0470C"/>
    <w:rsid w:val="00D051FD"/>
    <w:rsid w:val="00D07734"/>
    <w:rsid w:val="00D078E8"/>
    <w:rsid w:val="00D078EC"/>
    <w:rsid w:val="00D21043"/>
    <w:rsid w:val="00D22241"/>
    <w:rsid w:val="00D324CB"/>
    <w:rsid w:val="00D3438F"/>
    <w:rsid w:val="00D41496"/>
    <w:rsid w:val="00D44C27"/>
    <w:rsid w:val="00D45073"/>
    <w:rsid w:val="00D458D3"/>
    <w:rsid w:val="00D50B9B"/>
    <w:rsid w:val="00D515B6"/>
    <w:rsid w:val="00D54977"/>
    <w:rsid w:val="00D5604D"/>
    <w:rsid w:val="00D5666C"/>
    <w:rsid w:val="00D57584"/>
    <w:rsid w:val="00D60602"/>
    <w:rsid w:val="00D639AD"/>
    <w:rsid w:val="00D649FA"/>
    <w:rsid w:val="00D70CBB"/>
    <w:rsid w:val="00D735BB"/>
    <w:rsid w:val="00D774AB"/>
    <w:rsid w:val="00D80841"/>
    <w:rsid w:val="00D840C5"/>
    <w:rsid w:val="00D860C5"/>
    <w:rsid w:val="00D917B5"/>
    <w:rsid w:val="00D960DB"/>
    <w:rsid w:val="00DA1C32"/>
    <w:rsid w:val="00DA5369"/>
    <w:rsid w:val="00DA7369"/>
    <w:rsid w:val="00DB7871"/>
    <w:rsid w:val="00DC0F04"/>
    <w:rsid w:val="00DC49D7"/>
    <w:rsid w:val="00DD2580"/>
    <w:rsid w:val="00DD54A3"/>
    <w:rsid w:val="00DD7ADE"/>
    <w:rsid w:val="00DE36B9"/>
    <w:rsid w:val="00DE37E0"/>
    <w:rsid w:val="00DF3A9D"/>
    <w:rsid w:val="00DF578F"/>
    <w:rsid w:val="00E079DA"/>
    <w:rsid w:val="00E1044F"/>
    <w:rsid w:val="00E1152A"/>
    <w:rsid w:val="00E12832"/>
    <w:rsid w:val="00E1285F"/>
    <w:rsid w:val="00E133BF"/>
    <w:rsid w:val="00E13533"/>
    <w:rsid w:val="00E14EEB"/>
    <w:rsid w:val="00E15AFE"/>
    <w:rsid w:val="00E212D8"/>
    <w:rsid w:val="00E245BE"/>
    <w:rsid w:val="00E255EE"/>
    <w:rsid w:val="00E304E4"/>
    <w:rsid w:val="00E35898"/>
    <w:rsid w:val="00E4648F"/>
    <w:rsid w:val="00E53540"/>
    <w:rsid w:val="00E5411D"/>
    <w:rsid w:val="00E56502"/>
    <w:rsid w:val="00E57B9A"/>
    <w:rsid w:val="00E650D3"/>
    <w:rsid w:val="00E73691"/>
    <w:rsid w:val="00E80B5A"/>
    <w:rsid w:val="00E859DE"/>
    <w:rsid w:val="00E90FCD"/>
    <w:rsid w:val="00E92912"/>
    <w:rsid w:val="00E947E0"/>
    <w:rsid w:val="00E94DF3"/>
    <w:rsid w:val="00E95B78"/>
    <w:rsid w:val="00E96DB5"/>
    <w:rsid w:val="00EA01CB"/>
    <w:rsid w:val="00EC2462"/>
    <w:rsid w:val="00EC4200"/>
    <w:rsid w:val="00ED0356"/>
    <w:rsid w:val="00ED16F7"/>
    <w:rsid w:val="00ED1BEB"/>
    <w:rsid w:val="00ED4443"/>
    <w:rsid w:val="00ED4645"/>
    <w:rsid w:val="00EE123A"/>
    <w:rsid w:val="00EF74B5"/>
    <w:rsid w:val="00F06410"/>
    <w:rsid w:val="00F07A86"/>
    <w:rsid w:val="00F1061E"/>
    <w:rsid w:val="00F1162C"/>
    <w:rsid w:val="00F16F61"/>
    <w:rsid w:val="00F16FA8"/>
    <w:rsid w:val="00F2004B"/>
    <w:rsid w:val="00F30C94"/>
    <w:rsid w:val="00F30DDD"/>
    <w:rsid w:val="00F34CAE"/>
    <w:rsid w:val="00F4694F"/>
    <w:rsid w:val="00F50720"/>
    <w:rsid w:val="00F533BB"/>
    <w:rsid w:val="00F540D6"/>
    <w:rsid w:val="00F56454"/>
    <w:rsid w:val="00F57B61"/>
    <w:rsid w:val="00F62895"/>
    <w:rsid w:val="00F66D6E"/>
    <w:rsid w:val="00F71D7B"/>
    <w:rsid w:val="00F73792"/>
    <w:rsid w:val="00F838DC"/>
    <w:rsid w:val="00F83B03"/>
    <w:rsid w:val="00F84C72"/>
    <w:rsid w:val="00F85E63"/>
    <w:rsid w:val="00F86D37"/>
    <w:rsid w:val="00F90D56"/>
    <w:rsid w:val="00F9561F"/>
    <w:rsid w:val="00FA126E"/>
    <w:rsid w:val="00FA32EE"/>
    <w:rsid w:val="00FA7E5A"/>
    <w:rsid w:val="00FB3218"/>
    <w:rsid w:val="00FB32E1"/>
    <w:rsid w:val="00FB7598"/>
    <w:rsid w:val="00FB7906"/>
    <w:rsid w:val="00FC1397"/>
    <w:rsid w:val="00FC42D5"/>
    <w:rsid w:val="00FC44C1"/>
    <w:rsid w:val="00FC55ED"/>
    <w:rsid w:val="00FC5AF0"/>
    <w:rsid w:val="00FD45DB"/>
    <w:rsid w:val="00FD7698"/>
    <w:rsid w:val="00FE061C"/>
    <w:rsid w:val="00FE1A01"/>
    <w:rsid w:val="00FE6639"/>
    <w:rsid w:val="00FF36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20C5"/>
  <w15:docId w15:val="{3068397F-A561-4810-B1CA-D616584D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A62"/>
  </w:style>
  <w:style w:type="paragraph" w:styleId="Nadpis1">
    <w:name w:val="heading 1"/>
    <w:basedOn w:val="Normln"/>
    <w:next w:val="Normln"/>
    <w:link w:val="Nadpis1Char"/>
    <w:qFormat/>
    <w:rsid w:val="000A21C7"/>
    <w:pPr>
      <w:keepNext/>
      <w:spacing w:before="240" w:after="60" w:line="240" w:lineRule="auto"/>
      <w:jc w:val="center"/>
      <w:outlineLvl w:val="0"/>
    </w:pPr>
    <w:rPr>
      <w:rFonts w:ascii="Times New Roman" w:eastAsia="Times New Roman" w:hAnsi="Times New Roman" w:cs="Times New Roman"/>
      <w:kern w:val="32"/>
      <w:sz w:val="44"/>
      <w:szCs w:val="32"/>
      <w:lang w:eastAsia="cs-CZ"/>
    </w:rPr>
  </w:style>
  <w:style w:type="paragraph" w:styleId="Nadpis3">
    <w:name w:val="heading 3"/>
    <w:basedOn w:val="Normln"/>
    <w:next w:val="Normln"/>
    <w:link w:val="Nadpis3Char"/>
    <w:uiPriority w:val="9"/>
    <w:semiHidden/>
    <w:unhideWhenUsed/>
    <w:qFormat/>
    <w:rsid w:val="0070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7009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21C7"/>
    <w:rPr>
      <w:rFonts w:ascii="Times New Roman" w:eastAsia="Times New Roman" w:hAnsi="Times New Roman" w:cs="Times New Roman"/>
      <w:kern w:val="32"/>
      <w:sz w:val="44"/>
      <w:szCs w:val="32"/>
      <w:lang w:eastAsia="cs-CZ"/>
    </w:rPr>
  </w:style>
  <w:style w:type="paragraph" w:customStyle="1" w:styleId="Default">
    <w:name w:val="Default"/>
    <w:rsid w:val="00760179"/>
    <w:pPr>
      <w:widowControl w:val="0"/>
      <w:autoSpaceDE w:val="0"/>
      <w:autoSpaceDN w:val="0"/>
      <w:adjustRightInd w:val="0"/>
      <w:spacing w:after="0" w:line="240" w:lineRule="auto"/>
    </w:pPr>
    <w:rPr>
      <w:rFonts w:ascii="News Serif EE" w:eastAsia="Times New Roman" w:hAnsi="News Serif EE" w:cs="Times New Roman"/>
      <w:color w:val="000000"/>
      <w:sz w:val="24"/>
      <w:szCs w:val="24"/>
      <w:lang w:eastAsia="cs-CZ"/>
    </w:rPr>
  </w:style>
  <w:style w:type="paragraph" w:styleId="Odstavecseseznamem">
    <w:name w:val="List Paragraph"/>
    <w:basedOn w:val="Normln"/>
    <w:uiPriority w:val="34"/>
    <w:qFormat/>
    <w:rsid w:val="00B60DD1"/>
    <w:pPr>
      <w:ind w:left="720"/>
      <w:contextualSpacing/>
    </w:pPr>
  </w:style>
  <w:style w:type="character" w:styleId="Hypertextovodkaz">
    <w:name w:val="Hyperlink"/>
    <w:basedOn w:val="Standardnpsmoodstavce"/>
    <w:uiPriority w:val="99"/>
    <w:unhideWhenUsed/>
    <w:rsid w:val="00134C8C"/>
    <w:rPr>
      <w:color w:val="0563C1" w:themeColor="hyperlink"/>
      <w:u w:val="single"/>
    </w:rPr>
  </w:style>
  <w:style w:type="paragraph" w:customStyle="1" w:styleId="walnut-Odstavec2">
    <w:name w:val="walnut - Odstavec 2"/>
    <w:basedOn w:val="Normln"/>
    <w:qFormat/>
    <w:rsid w:val="00A27711"/>
    <w:pPr>
      <w:suppressAutoHyphens/>
      <w:spacing w:after="57" w:line="240" w:lineRule="auto"/>
      <w:jc w:val="both"/>
      <w:textAlignment w:val="baseline"/>
      <w:outlineLvl w:val="2"/>
    </w:pPr>
    <w:rPr>
      <w:rFonts w:ascii="Calibri" w:eastAsia="Andale Sans UI" w:hAnsi="Calibri" w:cs="Tahoma"/>
      <w:color w:val="00000A"/>
      <w:szCs w:val="24"/>
      <w:lang w:eastAsia="ja-JP" w:bidi="fa-IR"/>
    </w:rPr>
  </w:style>
  <w:style w:type="character" w:customStyle="1" w:styleId="IndexLink">
    <w:name w:val="Index Link"/>
    <w:qFormat/>
    <w:rsid w:val="00D078E8"/>
    <w:rPr>
      <w:rFonts w:ascii="Calibri" w:hAnsi="Calibri"/>
    </w:rPr>
  </w:style>
  <w:style w:type="character" w:styleId="Odkaznakoment">
    <w:name w:val="annotation reference"/>
    <w:basedOn w:val="Standardnpsmoodstavce"/>
    <w:uiPriority w:val="99"/>
    <w:unhideWhenUsed/>
    <w:qFormat/>
    <w:rsid w:val="00A45CF0"/>
    <w:rPr>
      <w:sz w:val="16"/>
      <w:szCs w:val="16"/>
    </w:rPr>
  </w:style>
  <w:style w:type="paragraph" w:styleId="Textkomente">
    <w:name w:val="annotation text"/>
    <w:basedOn w:val="Normln"/>
    <w:link w:val="TextkomenteChar"/>
    <w:uiPriority w:val="99"/>
    <w:unhideWhenUsed/>
    <w:qFormat/>
    <w:rsid w:val="00A45CF0"/>
    <w:pPr>
      <w:spacing w:line="240" w:lineRule="auto"/>
    </w:pPr>
    <w:rPr>
      <w:sz w:val="20"/>
      <w:szCs w:val="20"/>
    </w:rPr>
  </w:style>
  <w:style w:type="character" w:customStyle="1" w:styleId="TextkomenteChar">
    <w:name w:val="Text komentáře Char"/>
    <w:basedOn w:val="Standardnpsmoodstavce"/>
    <w:link w:val="Textkomente"/>
    <w:uiPriority w:val="99"/>
    <w:qFormat/>
    <w:rsid w:val="00A45CF0"/>
    <w:rPr>
      <w:sz w:val="20"/>
      <w:szCs w:val="20"/>
    </w:rPr>
  </w:style>
  <w:style w:type="paragraph" w:styleId="Pedmtkomente">
    <w:name w:val="annotation subject"/>
    <w:basedOn w:val="Textkomente"/>
    <w:next w:val="Textkomente"/>
    <w:link w:val="PedmtkomenteChar"/>
    <w:uiPriority w:val="99"/>
    <w:semiHidden/>
    <w:unhideWhenUsed/>
    <w:rsid w:val="00A45CF0"/>
    <w:rPr>
      <w:b/>
      <w:bCs/>
    </w:rPr>
  </w:style>
  <w:style w:type="character" w:customStyle="1" w:styleId="PedmtkomenteChar">
    <w:name w:val="Předmět komentáře Char"/>
    <w:basedOn w:val="TextkomenteChar"/>
    <w:link w:val="Pedmtkomente"/>
    <w:uiPriority w:val="99"/>
    <w:semiHidden/>
    <w:rsid w:val="00A45CF0"/>
    <w:rPr>
      <w:b/>
      <w:bCs/>
      <w:sz w:val="20"/>
      <w:szCs w:val="20"/>
    </w:rPr>
  </w:style>
  <w:style w:type="paragraph" w:styleId="Textbubliny">
    <w:name w:val="Balloon Text"/>
    <w:basedOn w:val="Normln"/>
    <w:link w:val="TextbublinyChar"/>
    <w:uiPriority w:val="99"/>
    <w:semiHidden/>
    <w:unhideWhenUsed/>
    <w:rsid w:val="00A45C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5CF0"/>
    <w:rPr>
      <w:rFonts w:ascii="Segoe UI" w:hAnsi="Segoe UI" w:cs="Segoe UI"/>
      <w:sz w:val="18"/>
      <w:szCs w:val="18"/>
    </w:rPr>
  </w:style>
  <w:style w:type="character" w:customStyle="1" w:styleId="Nadpis3Char">
    <w:name w:val="Nadpis 3 Char"/>
    <w:basedOn w:val="Standardnpsmoodstavce"/>
    <w:link w:val="Nadpis3"/>
    <w:uiPriority w:val="9"/>
    <w:semiHidden/>
    <w:rsid w:val="00700928"/>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700928"/>
    <w:rPr>
      <w:rFonts w:asciiTheme="majorHAnsi" w:eastAsiaTheme="majorEastAsia" w:hAnsiTheme="majorHAnsi" w:cstheme="majorBidi"/>
      <w:color w:val="2E74B5" w:themeColor="accent1" w:themeShade="BF"/>
    </w:rPr>
  </w:style>
  <w:style w:type="paragraph" w:customStyle="1" w:styleId="Normln2">
    <w:name w:val="Normální2"/>
    <w:rsid w:val="00852284"/>
    <w:pPr>
      <w:spacing w:after="0" w:line="240" w:lineRule="auto"/>
    </w:pPr>
    <w:rPr>
      <w:rFonts w:ascii="Times New Roman" w:eastAsia="Arial Unicode MS" w:hAnsi="Times New Roman" w:cs="Arial Unicode MS"/>
      <w:color w:val="000000"/>
      <w:sz w:val="20"/>
      <w:szCs w:val="20"/>
      <w:u w:color="000000"/>
      <w:lang w:val="en-US" w:eastAsia="cs-CZ"/>
    </w:rPr>
  </w:style>
  <w:style w:type="character" w:customStyle="1" w:styleId="dn">
    <w:name w:val="Žádný"/>
    <w:rsid w:val="00852284"/>
  </w:style>
  <w:style w:type="character" w:styleId="Siln">
    <w:name w:val="Strong"/>
    <w:basedOn w:val="Standardnpsmoodstavce"/>
    <w:uiPriority w:val="22"/>
    <w:qFormat/>
    <w:rsid w:val="00AB5B9B"/>
    <w:rPr>
      <w:b/>
      <w:bCs/>
    </w:rPr>
  </w:style>
  <w:style w:type="character" w:customStyle="1" w:styleId="Nevyeenzmnka1">
    <w:name w:val="Nevyřešená zmínka1"/>
    <w:basedOn w:val="Standardnpsmoodstavce"/>
    <w:uiPriority w:val="99"/>
    <w:semiHidden/>
    <w:unhideWhenUsed/>
    <w:rsid w:val="006D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7307">
      <w:bodyDiv w:val="1"/>
      <w:marLeft w:val="0"/>
      <w:marRight w:val="0"/>
      <w:marTop w:val="0"/>
      <w:marBottom w:val="0"/>
      <w:divBdr>
        <w:top w:val="none" w:sz="0" w:space="0" w:color="auto"/>
        <w:left w:val="none" w:sz="0" w:space="0" w:color="auto"/>
        <w:bottom w:val="none" w:sz="0" w:space="0" w:color="auto"/>
        <w:right w:val="none" w:sz="0" w:space="0" w:color="auto"/>
      </w:divBdr>
      <w:divsChild>
        <w:div w:id="1185360695">
          <w:marLeft w:val="0"/>
          <w:marRight w:val="0"/>
          <w:marTop w:val="0"/>
          <w:marBottom w:val="0"/>
          <w:divBdr>
            <w:top w:val="none" w:sz="0" w:space="0" w:color="auto"/>
            <w:left w:val="none" w:sz="0" w:space="0" w:color="auto"/>
            <w:bottom w:val="none" w:sz="0" w:space="0" w:color="auto"/>
            <w:right w:val="none" w:sz="0" w:space="0" w:color="auto"/>
          </w:divBdr>
        </w:div>
        <w:div w:id="1979987428">
          <w:marLeft w:val="0"/>
          <w:marRight w:val="0"/>
          <w:marTop w:val="0"/>
          <w:marBottom w:val="0"/>
          <w:divBdr>
            <w:top w:val="none" w:sz="0" w:space="0" w:color="auto"/>
            <w:left w:val="none" w:sz="0" w:space="0" w:color="auto"/>
            <w:bottom w:val="none" w:sz="0" w:space="0" w:color="auto"/>
            <w:right w:val="none" w:sz="0" w:space="0" w:color="auto"/>
          </w:divBdr>
        </w:div>
        <w:div w:id="2107995912">
          <w:marLeft w:val="0"/>
          <w:marRight w:val="0"/>
          <w:marTop w:val="0"/>
          <w:marBottom w:val="0"/>
          <w:divBdr>
            <w:top w:val="none" w:sz="0" w:space="0" w:color="auto"/>
            <w:left w:val="none" w:sz="0" w:space="0" w:color="auto"/>
            <w:bottom w:val="none" w:sz="0" w:space="0" w:color="auto"/>
            <w:right w:val="none" w:sz="0" w:space="0" w:color="auto"/>
          </w:divBdr>
        </w:div>
      </w:divsChild>
    </w:div>
    <w:div w:id="841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obile.cz/dcpublic/Cenik_sluzeb_T-Mobile_zakaznici_s_ramcovou_smlouvou-II.pdf" TargetMode="External"/><Relationship Id="rId3" Type="http://schemas.openxmlformats.org/officeDocument/2006/relationships/styles" Target="styles.xml"/><Relationship Id="rId7" Type="http://schemas.openxmlformats.org/officeDocument/2006/relationships/hyperlink" Target="tel:+42072307718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epodatelna@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01F6-DB8F-419E-9EBD-3766897B5C49}">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106</TotalTime>
  <Pages>10</Pages>
  <Words>4519</Words>
  <Characters>26668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Ondráčková Jana</dc:creator>
  <cp:keywords/>
  <dc:description/>
  <cp:lastModifiedBy>Janouchová Miroslava</cp:lastModifiedBy>
  <cp:revision>16</cp:revision>
  <cp:lastPrinted>2023-08-04T11:13:00Z</cp:lastPrinted>
  <dcterms:created xsi:type="dcterms:W3CDTF">2023-05-16T14:13:00Z</dcterms:created>
  <dcterms:modified xsi:type="dcterms:W3CDTF">2023-08-08T09:28:00Z</dcterms:modified>
</cp:coreProperties>
</file>